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85" w:rsidRPr="006E709F" w:rsidRDefault="00320785" w:rsidP="00C7136B">
      <w:r w:rsidRPr="006E709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85pt;height:81.2pt" o:ole="" fillcolor="window">
            <v:imagedata r:id="rId8" o:title=""/>
          </v:shape>
          <o:OLEObject Type="Embed" ProgID="Word.Picture.8" ShapeID="_x0000_i1025" DrawAspect="Content" ObjectID="_1771222748" r:id="rId9"/>
        </w:object>
      </w:r>
    </w:p>
    <w:p w:rsidR="00320785" w:rsidRPr="006E709F" w:rsidRDefault="00320785" w:rsidP="00C7136B">
      <w:pPr>
        <w:pStyle w:val="ShortT"/>
        <w:spacing w:before="240"/>
      </w:pPr>
      <w:r w:rsidRPr="006E709F">
        <w:t xml:space="preserve">Corporations </w:t>
      </w:r>
      <w:r w:rsidR="000C4237">
        <w:t>Regulations 2</w:t>
      </w:r>
      <w:r w:rsidRPr="006E709F">
        <w:t>001</w:t>
      </w:r>
    </w:p>
    <w:p w:rsidR="00320785" w:rsidRPr="006E709F" w:rsidRDefault="00320785" w:rsidP="00C7136B">
      <w:pPr>
        <w:pStyle w:val="CompiledActNo"/>
        <w:spacing w:before="240"/>
      </w:pPr>
      <w:r w:rsidRPr="006E709F">
        <w:t>Statutory Rules No.</w:t>
      </w:r>
      <w:r w:rsidR="00DA13DE" w:rsidRPr="006E709F">
        <w:t> </w:t>
      </w:r>
      <w:r w:rsidRPr="006E709F">
        <w:t>193, 2001</w:t>
      </w:r>
    </w:p>
    <w:p w:rsidR="00320785" w:rsidRPr="006E709F" w:rsidRDefault="00320785" w:rsidP="00320785">
      <w:pPr>
        <w:pStyle w:val="MadeunderText"/>
      </w:pPr>
      <w:r w:rsidRPr="006E709F">
        <w:t>made under the</w:t>
      </w:r>
    </w:p>
    <w:p w:rsidR="00320785" w:rsidRPr="006E709F" w:rsidRDefault="00320785" w:rsidP="00320785">
      <w:pPr>
        <w:pStyle w:val="CompiledMadeUnder"/>
        <w:spacing w:before="240"/>
      </w:pPr>
      <w:r w:rsidRPr="006E709F">
        <w:t>Corporations Act 2001</w:t>
      </w:r>
    </w:p>
    <w:p w:rsidR="00320785" w:rsidRPr="006E709F" w:rsidRDefault="00320785" w:rsidP="00C7136B">
      <w:pPr>
        <w:spacing w:before="1000"/>
        <w:rPr>
          <w:rFonts w:cs="Arial"/>
          <w:b/>
          <w:sz w:val="32"/>
          <w:szCs w:val="32"/>
        </w:rPr>
      </w:pPr>
      <w:r w:rsidRPr="006E709F">
        <w:rPr>
          <w:rFonts w:cs="Arial"/>
          <w:b/>
          <w:sz w:val="32"/>
          <w:szCs w:val="32"/>
        </w:rPr>
        <w:t>Compilation No.</w:t>
      </w:r>
      <w:r w:rsidR="00DA13DE" w:rsidRPr="006E709F">
        <w:rPr>
          <w:rFonts w:cs="Arial"/>
          <w:b/>
          <w:sz w:val="32"/>
          <w:szCs w:val="32"/>
        </w:rPr>
        <w:t> </w:t>
      </w:r>
      <w:r w:rsidRPr="006E709F">
        <w:rPr>
          <w:rFonts w:cs="Arial"/>
          <w:b/>
          <w:sz w:val="32"/>
          <w:szCs w:val="32"/>
        </w:rPr>
        <w:fldChar w:fldCharType="begin"/>
      </w:r>
      <w:r w:rsidRPr="006E709F">
        <w:rPr>
          <w:rFonts w:cs="Arial"/>
          <w:b/>
          <w:sz w:val="32"/>
          <w:szCs w:val="32"/>
        </w:rPr>
        <w:instrText xml:space="preserve"> DOCPROPERTY  CompilationNumber </w:instrText>
      </w:r>
      <w:r w:rsidRPr="006E709F">
        <w:rPr>
          <w:rFonts w:cs="Arial"/>
          <w:b/>
          <w:sz w:val="32"/>
          <w:szCs w:val="32"/>
        </w:rPr>
        <w:fldChar w:fldCharType="separate"/>
      </w:r>
      <w:r w:rsidR="00FE42FF">
        <w:rPr>
          <w:rFonts w:cs="Arial"/>
          <w:b/>
          <w:sz w:val="32"/>
          <w:szCs w:val="32"/>
        </w:rPr>
        <w:t>195</w:t>
      </w:r>
      <w:r w:rsidRPr="006E709F">
        <w:rPr>
          <w:rFonts w:cs="Arial"/>
          <w:b/>
          <w:sz w:val="32"/>
          <w:szCs w:val="32"/>
        </w:rPr>
        <w:fldChar w:fldCharType="end"/>
      </w:r>
    </w:p>
    <w:p w:rsidR="00320785" w:rsidRPr="006E709F" w:rsidRDefault="00320785" w:rsidP="00F335F7">
      <w:pPr>
        <w:tabs>
          <w:tab w:val="left" w:pos="2551"/>
        </w:tabs>
        <w:spacing w:before="480"/>
        <w:rPr>
          <w:rFonts w:cs="Arial"/>
          <w:sz w:val="24"/>
        </w:rPr>
      </w:pPr>
      <w:r w:rsidRPr="006E709F">
        <w:rPr>
          <w:rFonts w:cs="Arial"/>
          <w:b/>
          <w:sz w:val="24"/>
        </w:rPr>
        <w:t>Compilation date:</w:t>
      </w:r>
      <w:r w:rsidR="005E4A95" w:rsidRPr="006E709F">
        <w:rPr>
          <w:rFonts w:cs="Arial"/>
          <w:sz w:val="24"/>
        </w:rPr>
        <w:tab/>
      </w:r>
      <w:r w:rsidR="00D23153" w:rsidRPr="00FE42FF">
        <w:rPr>
          <w:rFonts w:cs="Arial"/>
          <w:sz w:val="24"/>
        </w:rPr>
        <w:fldChar w:fldCharType="begin"/>
      </w:r>
      <w:r w:rsidR="008640AA" w:rsidRPr="00FE42FF">
        <w:rPr>
          <w:rFonts w:cs="Arial"/>
          <w:sz w:val="24"/>
        </w:rPr>
        <w:instrText>DOCPROPERTY StartDate \@ "d MMMM yyyy" \* MERGEFORMAT</w:instrText>
      </w:r>
      <w:r w:rsidR="00D23153" w:rsidRPr="00FE42FF">
        <w:rPr>
          <w:rFonts w:cs="Arial"/>
          <w:sz w:val="24"/>
        </w:rPr>
        <w:fldChar w:fldCharType="separate"/>
      </w:r>
      <w:r w:rsidR="00FE42FF" w:rsidRPr="00FE42FF">
        <w:rPr>
          <w:rFonts w:cs="Arial"/>
          <w:bCs/>
          <w:sz w:val="24"/>
        </w:rPr>
        <w:t>1</w:t>
      </w:r>
      <w:r w:rsidR="00FE42FF" w:rsidRPr="00FE42FF">
        <w:rPr>
          <w:rFonts w:cs="Arial"/>
          <w:sz w:val="24"/>
        </w:rPr>
        <w:t xml:space="preserve"> March 2024</w:t>
      </w:r>
      <w:r w:rsidR="00D23153" w:rsidRPr="00FE42FF">
        <w:rPr>
          <w:rFonts w:cs="Arial"/>
          <w:sz w:val="24"/>
        </w:rPr>
        <w:fldChar w:fldCharType="end"/>
      </w:r>
    </w:p>
    <w:p w:rsidR="00320785" w:rsidRPr="006E709F" w:rsidRDefault="00F335F7" w:rsidP="00F335F7">
      <w:pPr>
        <w:tabs>
          <w:tab w:val="left" w:pos="2551"/>
        </w:tabs>
        <w:spacing w:before="240"/>
        <w:ind w:left="2551" w:hanging="2551"/>
        <w:rPr>
          <w:rFonts w:cs="Arial"/>
          <w:sz w:val="24"/>
        </w:rPr>
      </w:pPr>
      <w:r>
        <w:rPr>
          <w:rFonts w:cs="Arial"/>
          <w:b/>
          <w:sz w:val="24"/>
        </w:rPr>
        <w:t>Includes amendments:</w:t>
      </w:r>
      <w:r w:rsidR="00320785" w:rsidRPr="006E709F">
        <w:rPr>
          <w:rFonts w:cs="Arial"/>
          <w:sz w:val="24"/>
        </w:rPr>
        <w:tab/>
      </w:r>
      <w:r w:rsidR="007A1CA7" w:rsidRPr="00FE42FF">
        <w:rPr>
          <w:rFonts w:cs="Arial"/>
          <w:sz w:val="24"/>
        </w:rPr>
        <w:fldChar w:fldCharType="begin"/>
      </w:r>
      <w:r w:rsidR="007A1CA7" w:rsidRPr="00FE42FF">
        <w:rPr>
          <w:rFonts w:cs="Arial"/>
          <w:sz w:val="24"/>
        </w:rPr>
        <w:instrText xml:space="preserve"> DOCPROPERTY IncludesUpTo </w:instrText>
      </w:r>
      <w:r w:rsidR="007A1CA7" w:rsidRPr="00FE42FF">
        <w:rPr>
          <w:rFonts w:cs="Arial"/>
          <w:sz w:val="24"/>
        </w:rPr>
        <w:fldChar w:fldCharType="separate"/>
      </w:r>
      <w:r w:rsidR="00FE42FF" w:rsidRPr="00FE42FF">
        <w:rPr>
          <w:rFonts w:cs="Arial"/>
          <w:sz w:val="24"/>
        </w:rPr>
        <w:t>F2024L00199</w:t>
      </w:r>
      <w:r w:rsidR="007A1CA7" w:rsidRPr="00FE42FF">
        <w:rPr>
          <w:rFonts w:cs="Arial"/>
          <w:sz w:val="24"/>
        </w:rPr>
        <w:fldChar w:fldCharType="end"/>
      </w:r>
    </w:p>
    <w:p w:rsidR="00320785" w:rsidRPr="006E709F" w:rsidRDefault="00320785" w:rsidP="00F335F7">
      <w:pPr>
        <w:tabs>
          <w:tab w:val="left" w:pos="2551"/>
        </w:tabs>
        <w:spacing w:before="240" w:after="240"/>
        <w:rPr>
          <w:rFonts w:cs="Arial"/>
          <w:sz w:val="24"/>
          <w:szCs w:val="24"/>
        </w:rPr>
      </w:pPr>
      <w:r w:rsidRPr="006E709F">
        <w:rPr>
          <w:rFonts w:cs="Arial"/>
          <w:b/>
          <w:sz w:val="24"/>
        </w:rPr>
        <w:t>Registered:</w:t>
      </w:r>
      <w:r w:rsidR="005E4A95" w:rsidRPr="006E709F">
        <w:rPr>
          <w:rFonts w:cs="Arial"/>
          <w:sz w:val="24"/>
        </w:rPr>
        <w:tab/>
      </w:r>
      <w:r w:rsidR="00D23153" w:rsidRPr="00FE42FF">
        <w:rPr>
          <w:rFonts w:cs="Arial"/>
          <w:sz w:val="24"/>
        </w:rPr>
        <w:fldChar w:fldCharType="begin"/>
      </w:r>
      <w:r w:rsidR="00D23153" w:rsidRPr="00FE42FF">
        <w:rPr>
          <w:rFonts w:cs="Arial"/>
          <w:sz w:val="24"/>
        </w:rPr>
        <w:instrText xml:space="preserve"> IF </w:instrText>
      </w:r>
      <w:r w:rsidR="00D23153" w:rsidRPr="00FE42FF">
        <w:rPr>
          <w:rFonts w:cs="Arial"/>
          <w:sz w:val="24"/>
        </w:rPr>
        <w:fldChar w:fldCharType="begin"/>
      </w:r>
      <w:r w:rsidR="00D23153" w:rsidRPr="00FE42FF">
        <w:rPr>
          <w:rFonts w:cs="Arial"/>
          <w:sz w:val="24"/>
        </w:rPr>
        <w:instrText xml:space="preserve"> DOCPROPERTY RegisteredDate </w:instrText>
      </w:r>
      <w:r w:rsidR="00D23153" w:rsidRPr="00FE42FF">
        <w:rPr>
          <w:rFonts w:cs="Arial"/>
          <w:sz w:val="24"/>
        </w:rPr>
        <w:fldChar w:fldCharType="separate"/>
      </w:r>
      <w:r w:rsidR="00FE42FF" w:rsidRPr="00FE42FF">
        <w:rPr>
          <w:rFonts w:cs="Arial"/>
          <w:sz w:val="24"/>
        </w:rPr>
        <w:instrText>6 March 2024</w:instrText>
      </w:r>
      <w:r w:rsidR="00D23153" w:rsidRPr="00FE42FF">
        <w:rPr>
          <w:rFonts w:cs="Arial"/>
          <w:sz w:val="24"/>
        </w:rPr>
        <w:fldChar w:fldCharType="end"/>
      </w:r>
      <w:r w:rsidR="00D23153" w:rsidRPr="00FE42FF">
        <w:rPr>
          <w:rFonts w:cs="Arial"/>
          <w:sz w:val="24"/>
        </w:rPr>
        <w:instrText xml:space="preserve"> = #1/1/1901# "Unknown" </w:instrText>
      </w:r>
      <w:r w:rsidR="00D23153" w:rsidRPr="00FE42FF">
        <w:rPr>
          <w:rFonts w:cs="Arial"/>
          <w:sz w:val="24"/>
        </w:rPr>
        <w:fldChar w:fldCharType="begin"/>
      </w:r>
      <w:r w:rsidR="00D23153" w:rsidRPr="00FE42FF">
        <w:rPr>
          <w:rFonts w:cs="Arial"/>
          <w:sz w:val="24"/>
        </w:rPr>
        <w:instrText xml:space="preserve"> DOCPROPERTY RegisteredDate \@ "d MMMM yyyy" </w:instrText>
      </w:r>
      <w:r w:rsidR="00D23153" w:rsidRPr="00FE42FF">
        <w:rPr>
          <w:rFonts w:cs="Arial"/>
          <w:sz w:val="24"/>
        </w:rPr>
        <w:fldChar w:fldCharType="separate"/>
      </w:r>
      <w:r w:rsidR="00FE42FF" w:rsidRPr="00FE42FF">
        <w:rPr>
          <w:rFonts w:cs="Arial"/>
          <w:sz w:val="24"/>
        </w:rPr>
        <w:instrText>6 March 2024</w:instrText>
      </w:r>
      <w:r w:rsidR="00D23153" w:rsidRPr="00FE42FF">
        <w:rPr>
          <w:rFonts w:cs="Arial"/>
          <w:sz w:val="24"/>
        </w:rPr>
        <w:fldChar w:fldCharType="end"/>
      </w:r>
      <w:r w:rsidR="00D23153" w:rsidRPr="00FE42FF">
        <w:rPr>
          <w:rFonts w:cs="Arial"/>
          <w:sz w:val="24"/>
        </w:rPr>
        <w:instrText xml:space="preserve"> \*MERGEFORMAT </w:instrText>
      </w:r>
      <w:r w:rsidR="00D23153" w:rsidRPr="00FE42FF">
        <w:rPr>
          <w:rFonts w:cs="Arial"/>
          <w:sz w:val="24"/>
        </w:rPr>
        <w:fldChar w:fldCharType="separate"/>
      </w:r>
      <w:r w:rsidR="00FE42FF" w:rsidRPr="00FE42FF">
        <w:rPr>
          <w:rFonts w:cs="Arial"/>
          <w:noProof/>
          <w:sz w:val="24"/>
        </w:rPr>
        <w:t>6 March 2024</w:t>
      </w:r>
      <w:r w:rsidR="00D23153" w:rsidRPr="00FE42FF">
        <w:rPr>
          <w:rFonts w:cs="Arial"/>
          <w:sz w:val="24"/>
        </w:rPr>
        <w:fldChar w:fldCharType="end"/>
      </w:r>
    </w:p>
    <w:p w:rsidR="00320785" w:rsidRPr="006E709F" w:rsidRDefault="00320785" w:rsidP="00320785">
      <w:pPr>
        <w:spacing w:before="120"/>
        <w:rPr>
          <w:rFonts w:cs="Arial"/>
          <w:sz w:val="24"/>
        </w:rPr>
      </w:pPr>
      <w:r w:rsidRPr="006E709F">
        <w:rPr>
          <w:rFonts w:cs="Arial"/>
          <w:sz w:val="24"/>
        </w:rPr>
        <w:t>This compilation is in 7 volumes</w:t>
      </w:r>
    </w:p>
    <w:p w:rsidR="00320785" w:rsidRPr="006E709F" w:rsidRDefault="00320785" w:rsidP="008640AA">
      <w:pPr>
        <w:tabs>
          <w:tab w:val="left" w:pos="1440"/>
        </w:tabs>
        <w:spacing w:before="240"/>
        <w:rPr>
          <w:rFonts w:cs="Arial"/>
          <w:sz w:val="24"/>
          <w:szCs w:val="24"/>
        </w:rPr>
      </w:pPr>
      <w:r w:rsidRPr="006E709F">
        <w:rPr>
          <w:rFonts w:cs="Arial"/>
          <w:sz w:val="24"/>
          <w:szCs w:val="24"/>
        </w:rPr>
        <w:t>Volume 1:</w:t>
      </w:r>
      <w:r w:rsidRPr="006E709F">
        <w:rPr>
          <w:rFonts w:cs="Arial"/>
          <w:sz w:val="24"/>
          <w:szCs w:val="24"/>
        </w:rPr>
        <w:tab/>
        <w:t>regulations</w:t>
      </w:r>
      <w:r w:rsidR="00DA13DE" w:rsidRPr="006E709F">
        <w:rPr>
          <w:rFonts w:cs="Arial"/>
          <w:sz w:val="24"/>
          <w:szCs w:val="24"/>
        </w:rPr>
        <w:t> </w:t>
      </w:r>
      <w:r w:rsidRPr="006E709F">
        <w:rPr>
          <w:rFonts w:cs="Arial"/>
          <w:sz w:val="24"/>
          <w:szCs w:val="24"/>
        </w:rPr>
        <w:t>1.0.01–6D.5.</w:t>
      </w:r>
      <w:r w:rsidR="0039239A" w:rsidRPr="006E709F">
        <w:rPr>
          <w:rFonts w:cs="Arial"/>
          <w:sz w:val="24"/>
          <w:szCs w:val="24"/>
        </w:rPr>
        <w:t>03</w:t>
      </w:r>
    </w:p>
    <w:p w:rsidR="00320785" w:rsidRPr="006E709F" w:rsidRDefault="00320785" w:rsidP="008640AA">
      <w:pPr>
        <w:tabs>
          <w:tab w:val="left" w:pos="1440"/>
        </w:tabs>
        <w:rPr>
          <w:rFonts w:cs="Arial"/>
          <w:sz w:val="24"/>
          <w:szCs w:val="24"/>
        </w:rPr>
      </w:pPr>
      <w:r w:rsidRPr="006E709F">
        <w:rPr>
          <w:rFonts w:cs="Arial"/>
          <w:sz w:val="24"/>
          <w:szCs w:val="24"/>
        </w:rPr>
        <w:t>Volume 2:</w:t>
      </w:r>
      <w:r w:rsidRPr="006E709F">
        <w:rPr>
          <w:rFonts w:cs="Arial"/>
          <w:sz w:val="24"/>
          <w:szCs w:val="24"/>
        </w:rPr>
        <w:tab/>
        <w:t>regulations</w:t>
      </w:r>
      <w:r w:rsidR="00DA13DE" w:rsidRPr="006E709F">
        <w:rPr>
          <w:rFonts w:cs="Arial"/>
          <w:sz w:val="24"/>
          <w:szCs w:val="24"/>
        </w:rPr>
        <w:t> </w:t>
      </w:r>
      <w:r w:rsidRPr="006E709F">
        <w:rPr>
          <w:rFonts w:cs="Arial"/>
          <w:sz w:val="24"/>
          <w:szCs w:val="24"/>
        </w:rPr>
        <w:t>7.1.0</w:t>
      </w:r>
      <w:r w:rsidR="0054260B">
        <w:rPr>
          <w:rFonts w:cs="Arial"/>
          <w:sz w:val="24"/>
          <w:szCs w:val="24"/>
        </w:rPr>
        <w:t>4</w:t>
      </w:r>
      <w:r w:rsidRPr="006E709F">
        <w:rPr>
          <w:rFonts w:cs="Arial"/>
          <w:sz w:val="24"/>
          <w:szCs w:val="24"/>
        </w:rPr>
        <w:t>–7.6.08E</w:t>
      </w:r>
    </w:p>
    <w:p w:rsidR="00320785" w:rsidRPr="006E709F" w:rsidRDefault="00320785" w:rsidP="008640AA">
      <w:pPr>
        <w:tabs>
          <w:tab w:val="left" w:pos="1440"/>
        </w:tabs>
        <w:rPr>
          <w:rFonts w:cs="Arial"/>
          <w:sz w:val="24"/>
          <w:szCs w:val="24"/>
        </w:rPr>
      </w:pPr>
      <w:r w:rsidRPr="006E709F">
        <w:rPr>
          <w:rFonts w:cs="Arial"/>
          <w:sz w:val="24"/>
          <w:szCs w:val="24"/>
        </w:rPr>
        <w:t>Volume 3:</w:t>
      </w:r>
      <w:r w:rsidRPr="006E709F">
        <w:rPr>
          <w:rFonts w:cs="Arial"/>
          <w:sz w:val="24"/>
          <w:szCs w:val="24"/>
        </w:rPr>
        <w:tab/>
        <w:t>regulations</w:t>
      </w:r>
      <w:r w:rsidR="00DA13DE" w:rsidRPr="006E709F">
        <w:rPr>
          <w:rFonts w:cs="Arial"/>
          <w:sz w:val="24"/>
          <w:szCs w:val="24"/>
        </w:rPr>
        <w:t> </w:t>
      </w:r>
      <w:r w:rsidRPr="006E709F">
        <w:rPr>
          <w:rFonts w:cs="Arial"/>
          <w:sz w:val="24"/>
          <w:szCs w:val="24"/>
        </w:rPr>
        <w:t>7.7.01–</w:t>
      </w:r>
      <w:r w:rsidR="006C30E7" w:rsidRPr="006E709F">
        <w:rPr>
          <w:rFonts w:cs="Arial"/>
          <w:sz w:val="24"/>
          <w:szCs w:val="24"/>
        </w:rPr>
        <w:t>8B.5.20</w:t>
      </w:r>
    </w:p>
    <w:p w:rsidR="00320785" w:rsidRPr="006E709F" w:rsidRDefault="00320785" w:rsidP="008640AA">
      <w:pPr>
        <w:tabs>
          <w:tab w:val="left" w:pos="1440"/>
        </w:tabs>
        <w:rPr>
          <w:rFonts w:cs="Arial"/>
          <w:sz w:val="24"/>
          <w:szCs w:val="24"/>
        </w:rPr>
      </w:pPr>
      <w:r w:rsidRPr="006E709F">
        <w:rPr>
          <w:rFonts w:cs="Arial"/>
          <w:sz w:val="24"/>
          <w:szCs w:val="24"/>
        </w:rPr>
        <w:t>Volume 4:</w:t>
      </w:r>
      <w:r w:rsidRPr="006E709F">
        <w:rPr>
          <w:rFonts w:cs="Arial"/>
          <w:sz w:val="24"/>
          <w:szCs w:val="24"/>
        </w:rPr>
        <w:tab/>
        <w:t>regulations</w:t>
      </w:r>
      <w:r w:rsidR="00DA13DE" w:rsidRPr="006E709F">
        <w:rPr>
          <w:rFonts w:cs="Arial"/>
          <w:sz w:val="24"/>
          <w:szCs w:val="24"/>
        </w:rPr>
        <w:t> </w:t>
      </w:r>
      <w:r w:rsidRPr="006E709F">
        <w:rPr>
          <w:rFonts w:cs="Arial"/>
          <w:sz w:val="24"/>
          <w:szCs w:val="24"/>
        </w:rPr>
        <w:t>9.1.01–12.9.03</w:t>
      </w:r>
    </w:p>
    <w:p w:rsidR="00320785" w:rsidRPr="006E709F" w:rsidRDefault="00320785" w:rsidP="008640AA">
      <w:pPr>
        <w:tabs>
          <w:tab w:val="left" w:pos="1440"/>
        </w:tabs>
        <w:rPr>
          <w:rFonts w:cs="Arial"/>
          <w:sz w:val="24"/>
          <w:szCs w:val="24"/>
        </w:rPr>
      </w:pPr>
      <w:r w:rsidRPr="006E709F">
        <w:rPr>
          <w:rFonts w:cs="Arial"/>
          <w:sz w:val="24"/>
          <w:szCs w:val="24"/>
        </w:rPr>
        <w:t>Volume 5:</w:t>
      </w:r>
      <w:r w:rsidRPr="006E709F">
        <w:rPr>
          <w:rFonts w:cs="Arial"/>
          <w:sz w:val="24"/>
          <w:szCs w:val="24"/>
        </w:rPr>
        <w:tab/>
        <w:t>Schedules</w:t>
      </w:r>
      <w:r w:rsidR="00DA13DE" w:rsidRPr="006E709F">
        <w:rPr>
          <w:rFonts w:cs="Arial"/>
          <w:sz w:val="24"/>
          <w:szCs w:val="24"/>
        </w:rPr>
        <w:t> </w:t>
      </w:r>
      <w:r w:rsidRPr="006E709F">
        <w:rPr>
          <w:rFonts w:cs="Arial"/>
          <w:sz w:val="24"/>
          <w:szCs w:val="24"/>
        </w:rPr>
        <w:t>1, 2 and 2A</w:t>
      </w:r>
    </w:p>
    <w:p w:rsidR="00320785" w:rsidRPr="006E709F" w:rsidRDefault="00320785" w:rsidP="008640AA">
      <w:pPr>
        <w:tabs>
          <w:tab w:val="left" w:pos="1440"/>
        </w:tabs>
        <w:rPr>
          <w:rFonts w:cs="Arial"/>
          <w:b/>
          <w:sz w:val="24"/>
          <w:szCs w:val="24"/>
        </w:rPr>
      </w:pPr>
      <w:r w:rsidRPr="006E709F">
        <w:rPr>
          <w:rFonts w:cs="Arial"/>
          <w:b/>
          <w:sz w:val="24"/>
          <w:szCs w:val="24"/>
        </w:rPr>
        <w:t>Volume 6:</w:t>
      </w:r>
      <w:r w:rsidRPr="006E709F">
        <w:rPr>
          <w:rFonts w:cs="Arial"/>
          <w:b/>
          <w:sz w:val="24"/>
          <w:szCs w:val="24"/>
        </w:rPr>
        <w:tab/>
        <w:t>Schedules</w:t>
      </w:r>
      <w:r w:rsidR="00DA13DE" w:rsidRPr="006E709F">
        <w:rPr>
          <w:rFonts w:cs="Arial"/>
          <w:b/>
          <w:sz w:val="24"/>
          <w:szCs w:val="24"/>
        </w:rPr>
        <w:t> </w:t>
      </w:r>
      <w:r w:rsidRPr="006E709F">
        <w:rPr>
          <w:rFonts w:cs="Arial"/>
          <w:b/>
          <w:sz w:val="24"/>
          <w:szCs w:val="24"/>
        </w:rPr>
        <w:t>3–1</w:t>
      </w:r>
      <w:r w:rsidR="005B6849" w:rsidRPr="006E709F">
        <w:rPr>
          <w:rFonts w:cs="Arial"/>
          <w:b/>
          <w:sz w:val="24"/>
          <w:szCs w:val="24"/>
        </w:rPr>
        <w:t>3</w:t>
      </w:r>
    </w:p>
    <w:p w:rsidR="00320785" w:rsidRPr="006E709F" w:rsidRDefault="00320785" w:rsidP="008640AA">
      <w:pPr>
        <w:tabs>
          <w:tab w:val="left" w:pos="1440"/>
        </w:tabs>
        <w:rPr>
          <w:rFonts w:cs="Arial"/>
          <w:sz w:val="24"/>
          <w:szCs w:val="24"/>
        </w:rPr>
      </w:pPr>
      <w:r w:rsidRPr="006E709F">
        <w:rPr>
          <w:rFonts w:cs="Arial"/>
          <w:sz w:val="24"/>
          <w:szCs w:val="24"/>
        </w:rPr>
        <w:t>Volume 7:</w:t>
      </w:r>
      <w:r w:rsidRPr="006E709F">
        <w:rPr>
          <w:rFonts w:cs="Arial"/>
          <w:sz w:val="24"/>
          <w:szCs w:val="24"/>
        </w:rPr>
        <w:tab/>
        <w:t>Endnotes</w:t>
      </w:r>
    </w:p>
    <w:p w:rsidR="00FF147E" w:rsidRPr="006E709F" w:rsidRDefault="00320785" w:rsidP="00A71E0C">
      <w:pPr>
        <w:spacing w:before="120" w:after="240"/>
        <w:rPr>
          <w:rFonts w:cs="Arial"/>
          <w:sz w:val="24"/>
        </w:rPr>
      </w:pPr>
      <w:r w:rsidRPr="006E709F">
        <w:rPr>
          <w:rFonts w:cs="Arial"/>
          <w:sz w:val="24"/>
        </w:rPr>
        <w:t>Each volume has its own contents</w:t>
      </w:r>
    </w:p>
    <w:p w:rsidR="00320785" w:rsidRPr="006E709F" w:rsidRDefault="00320785" w:rsidP="00C7136B">
      <w:pPr>
        <w:pageBreakBefore/>
        <w:rPr>
          <w:rFonts w:cs="Arial"/>
          <w:b/>
          <w:sz w:val="32"/>
          <w:szCs w:val="32"/>
        </w:rPr>
      </w:pPr>
      <w:r w:rsidRPr="006E709F">
        <w:rPr>
          <w:rFonts w:cs="Arial"/>
          <w:b/>
          <w:sz w:val="32"/>
          <w:szCs w:val="32"/>
        </w:rPr>
        <w:lastRenderedPageBreak/>
        <w:t>About this compilation</w:t>
      </w:r>
    </w:p>
    <w:p w:rsidR="00320785" w:rsidRPr="006E709F" w:rsidRDefault="00320785" w:rsidP="00C7136B">
      <w:pPr>
        <w:spacing w:before="240"/>
        <w:rPr>
          <w:rFonts w:cs="Arial"/>
        </w:rPr>
      </w:pPr>
      <w:r w:rsidRPr="006E709F">
        <w:rPr>
          <w:rFonts w:cs="Arial"/>
          <w:b/>
          <w:szCs w:val="22"/>
        </w:rPr>
        <w:t>This compilation</w:t>
      </w:r>
    </w:p>
    <w:p w:rsidR="00320785" w:rsidRPr="006E709F" w:rsidRDefault="00320785" w:rsidP="00C7136B">
      <w:pPr>
        <w:spacing w:before="120" w:after="120"/>
        <w:rPr>
          <w:rFonts w:cs="Arial"/>
          <w:szCs w:val="22"/>
        </w:rPr>
      </w:pPr>
      <w:r w:rsidRPr="006E709F">
        <w:rPr>
          <w:rFonts w:cs="Arial"/>
          <w:szCs w:val="22"/>
        </w:rPr>
        <w:t xml:space="preserve">This is a compilation of the </w:t>
      </w:r>
      <w:r w:rsidRPr="006E709F">
        <w:rPr>
          <w:rFonts w:cs="Arial"/>
          <w:i/>
          <w:szCs w:val="22"/>
        </w:rPr>
        <w:fldChar w:fldCharType="begin"/>
      </w:r>
      <w:r w:rsidRPr="006E709F">
        <w:rPr>
          <w:rFonts w:cs="Arial"/>
          <w:i/>
          <w:szCs w:val="22"/>
        </w:rPr>
        <w:instrText xml:space="preserve"> STYLEREF  ShortT </w:instrText>
      </w:r>
      <w:r w:rsidRPr="006E709F">
        <w:rPr>
          <w:rFonts w:cs="Arial"/>
          <w:i/>
          <w:szCs w:val="22"/>
        </w:rPr>
        <w:fldChar w:fldCharType="separate"/>
      </w:r>
      <w:r w:rsidR="00FE42FF">
        <w:rPr>
          <w:rFonts w:cs="Arial"/>
          <w:i/>
          <w:noProof/>
          <w:szCs w:val="22"/>
        </w:rPr>
        <w:t>Corporations Regulations 2001</w:t>
      </w:r>
      <w:r w:rsidRPr="006E709F">
        <w:rPr>
          <w:rFonts w:cs="Arial"/>
          <w:i/>
          <w:szCs w:val="22"/>
        </w:rPr>
        <w:fldChar w:fldCharType="end"/>
      </w:r>
      <w:r w:rsidRPr="006E709F">
        <w:rPr>
          <w:rFonts w:cs="Arial"/>
          <w:szCs w:val="22"/>
        </w:rPr>
        <w:t xml:space="preserve"> that shows the text of the law as amended and in force on </w:t>
      </w:r>
      <w:r w:rsidRPr="00FE42FF">
        <w:rPr>
          <w:rFonts w:cs="Arial"/>
          <w:szCs w:val="22"/>
        </w:rPr>
        <w:fldChar w:fldCharType="begin"/>
      </w:r>
      <w:r w:rsidR="008640AA" w:rsidRPr="00FE42FF">
        <w:rPr>
          <w:rFonts w:cs="Arial"/>
          <w:szCs w:val="22"/>
        </w:rPr>
        <w:instrText>DOCPROPERTY StartDate \@ "d MMMM yyyy" \* MERGEFORMAT</w:instrText>
      </w:r>
      <w:r w:rsidRPr="00FE42FF">
        <w:rPr>
          <w:rFonts w:cs="Arial"/>
          <w:szCs w:val="22"/>
        </w:rPr>
        <w:fldChar w:fldCharType="separate"/>
      </w:r>
      <w:r w:rsidR="00FE42FF" w:rsidRPr="00FE42FF">
        <w:rPr>
          <w:rFonts w:cs="Arial"/>
          <w:szCs w:val="22"/>
        </w:rPr>
        <w:t>1 March 2024</w:t>
      </w:r>
      <w:r w:rsidRPr="00FE42FF">
        <w:rPr>
          <w:rFonts w:cs="Arial"/>
          <w:szCs w:val="22"/>
        </w:rPr>
        <w:fldChar w:fldCharType="end"/>
      </w:r>
      <w:r w:rsidRPr="006E709F">
        <w:rPr>
          <w:rFonts w:cs="Arial"/>
          <w:szCs w:val="22"/>
        </w:rPr>
        <w:t xml:space="preserve"> (the </w:t>
      </w:r>
      <w:r w:rsidRPr="006E709F">
        <w:rPr>
          <w:rFonts w:cs="Arial"/>
          <w:b/>
          <w:i/>
          <w:szCs w:val="22"/>
        </w:rPr>
        <w:t>compilation date</w:t>
      </w:r>
      <w:r w:rsidRPr="006E709F">
        <w:rPr>
          <w:rFonts w:cs="Arial"/>
          <w:szCs w:val="22"/>
        </w:rPr>
        <w:t>).</w:t>
      </w:r>
    </w:p>
    <w:p w:rsidR="00320785" w:rsidRPr="006E709F" w:rsidRDefault="00320785" w:rsidP="00C7136B">
      <w:pPr>
        <w:spacing w:after="120"/>
        <w:rPr>
          <w:rFonts w:cs="Arial"/>
          <w:szCs w:val="22"/>
        </w:rPr>
      </w:pPr>
      <w:r w:rsidRPr="006E709F">
        <w:rPr>
          <w:rFonts w:cs="Arial"/>
          <w:szCs w:val="22"/>
        </w:rPr>
        <w:t xml:space="preserve">The notes at the end of this compilation (the </w:t>
      </w:r>
      <w:r w:rsidRPr="006E709F">
        <w:rPr>
          <w:rFonts w:cs="Arial"/>
          <w:b/>
          <w:i/>
          <w:szCs w:val="22"/>
        </w:rPr>
        <w:t>endnotes</w:t>
      </w:r>
      <w:r w:rsidRPr="006E709F">
        <w:rPr>
          <w:rFonts w:cs="Arial"/>
          <w:szCs w:val="22"/>
        </w:rPr>
        <w:t>) include information about amending laws and the amendment history of provisions of the compiled law.</w:t>
      </w:r>
    </w:p>
    <w:p w:rsidR="00320785" w:rsidRPr="006E709F" w:rsidRDefault="00320785" w:rsidP="00C7136B">
      <w:pPr>
        <w:tabs>
          <w:tab w:val="left" w:pos="5640"/>
        </w:tabs>
        <w:spacing w:before="120" w:after="120"/>
        <w:rPr>
          <w:rFonts w:cs="Arial"/>
          <w:b/>
          <w:szCs w:val="22"/>
        </w:rPr>
      </w:pPr>
      <w:r w:rsidRPr="006E709F">
        <w:rPr>
          <w:rFonts w:cs="Arial"/>
          <w:b/>
          <w:szCs w:val="22"/>
        </w:rPr>
        <w:t>Uncommenced amendments</w:t>
      </w:r>
    </w:p>
    <w:p w:rsidR="00320785" w:rsidRPr="006E709F" w:rsidRDefault="00320785" w:rsidP="00C7136B">
      <w:pPr>
        <w:spacing w:after="120"/>
        <w:rPr>
          <w:rFonts w:cs="Arial"/>
          <w:szCs w:val="22"/>
        </w:rPr>
      </w:pPr>
      <w:r w:rsidRPr="006E709F">
        <w:rPr>
          <w:rFonts w:cs="Arial"/>
          <w:szCs w:val="22"/>
        </w:rPr>
        <w:t xml:space="preserve">The effect of uncommenced amendments is not shown in the text of the compiled law. Any uncommenced amendments affecting the law are accessible on the </w:t>
      </w:r>
      <w:r w:rsidR="00A57DDC" w:rsidRPr="006E709F">
        <w:rPr>
          <w:rFonts w:cs="Arial"/>
          <w:szCs w:val="22"/>
        </w:rPr>
        <w:t>Register</w:t>
      </w:r>
      <w:r w:rsidRPr="006E709F">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20785" w:rsidRPr="006E709F" w:rsidRDefault="00320785" w:rsidP="00C7136B">
      <w:pPr>
        <w:spacing w:before="120" w:after="120"/>
        <w:rPr>
          <w:rFonts w:cs="Arial"/>
          <w:b/>
          <w:szCs w:val="22"/>
        </w:rPr>
      </w:pPr>
      <w:r w:rsidRPr="006E709F">
        <w:rPr>
          <w:rFonts w:cs="Arial"/>
          <w:b/>
          <w:szCs w:val="22"/>
        </w:rPr>
        <w:t>Application, saving and transitional provisions for provisions and amendments</w:t>
      </w:r>
    </w:p>
    <w:p w:rsidR="00320785" w:rsidRPr="006E709F" w:rsidRDefault="00320785" w:rsidP="00C7136B">
      <w:pPr>
        <w:spacing w:after="120"/>
        <w:rPr>
          <w:rFonts w:cs="Arial"/>
          <w:szCs w:val="22"/>
        </w:rPr>
      </w:pPr>
      <w:r w:rsidRPr="006E709F">
        <w:rPr>
          <w:rFonts w:cs="Arial"/>
          <w:szCs w:val="22"/>
        </w:rPr>
        <w:t>If the operation of a provision or amendment of the compiled law is affected by an application, saving or transitional provision that is not included in this compilation, details are included in the endnotes.</w:t>
      </w:r>
    </w:p>
    <w:p w:rsidR="00320785" w:rsidRPr="006E709F" w:rsidRDefault="00320785" w:rsidP="00C7136B">
      <w:pPr>
        <w:spacing w:after="120"/>
        <w:rPr>
          <w:rFonts w:cs="Arial"/>
          <w:b/>
          <w:szCs w:val="22"/>
        </w:rPr>
      </w:pPr>
      <w:r w:rsidRPr="006E709F">
        <w:rPr>
          <w:rFonts w:cs="Arial"/>
          <w:b/>
          <w:szCs w:val="22"/>
        </w:rPr>
        <w:t>Editorial changes</w:t>
      </w:r>
    </w:p>
    <w:p w:rsidR="00320785" w:rsidRPr="006E709F" w:rsidRDefault="00320785" w:rsidP="00C7136B">
      <w:pPr>
        <w:spacing w:after="120"/>
        <w:rPr>
          <w:rFonts w:cs="Arial"/>
          <w:szCs w:val="22"/>
        </w:rPr>
      </w:pPr>
      <w:r w:rsidRPr="006E709F">
        <w:rPr>
          <w:rFonts w:cs="Arial"/>
          <w:szCs w:val="22"/>
        </w:rPr>
        <w:t>For more information about any editorial changes made in this compilation, see the endnotes.</w:t>
      </w:r>
    </w:p>
    <w:p w:rsidR="00320785" w:rsidRPr="006E709F" w:rsidRDefault="00320785" w:rsidP="00C7136B">
      <w:pPr>
        <w:spacing w:before="120" w:after="120"/>
        <w:rPr>
          <w:rFonts w:cs="Arial"/>
          <w:b/>
          <w:szCs w:val="22"/>
        </w:rPr>
      </w:pPr>
      <w:r w:rsidRPr="006E709F">
        <w:rPr>
          <w:rFonts w:cs="Arial"/>
          <w:b/>
          <w:szCs w:val="22"/>
        </w:rPr>
        <w:t>Modifications</w:t>
      </w:r>
    </w:p>
    <w:p w:rsidR="00320785" w:rsidRPr="006E709F" w:rsidRDefault="00320785" w:rsidP="00C7136B">
      <w:pPr>
        <w:spacing w:after="120"/>
        <w:rPr>
          <w:rFonts w:cs="Arial"/>
          <w:szCs w:val="22"/>
        </w:rPr>
      </w:pPr>
      <w:r w:rsidRPr="006E709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20785" w:rsidRPr="006E709F" w:rsidRDefault="00320785" w:rsidP="00C7136B">
      <w:pPr>
        <w:spacing w:before="80" w:after="120"/>
        <w:rPr>
          <w:rFonts w:cs="Arial"/>
          <w:b/>
          <w:szCs w:val="22"/>
        </w:rPr>
      </w:pPr>
      <w:r w:rsidRPr="006E709F">
        <w:rPr>
          <w:rFonts w:cs="Arial"/>
          <w:b/>
          <w:szCs w:val="22"/>
        </w:rPr>
        <w:t>Self</w:t>
      </w:r>
      <w:r w:rsidR="000C4237">
        <w:rPr>
          <w:rFonts w:cs="Arial"/>
          <w:b/>
          <w:szCs w:val="22"/>
        </w:rPr>
        <w:noBreakHyphen/>
      </w:r>
      <w:r w:rsidRPr="006E709F">
        <w:rPr>
          <w:rFonts w:cs="Arial"/>
          <w:b/>
          <w:szCs w:val="22"/>
        </w:rPr>
        <w:t>repealing provisions</w:t>
      </w:r>
    </w:p>
    <w:p w:rsidR="00320785" w:rsidRPr="006E709F" w:rsidRDefault="00320785" w:rsidP="00C7136B">
      <w:pPr>
        <w:spacing w:after="120"/>
        <w:rPr>
          <w:rFonts w:cs="Arial"/>
          <w:szCs w:val="22"/>
        </w:rPr>
      </w:pPr>
      <w:r w:rsidRPr="006E709F">
        <w:rPr>
          <w:rFonts w:cs="Arial"/>
          <w:szCs w:val="22"/>
        </w:rPr>
        <w:t>If a provision of the compiled law has been repealed in accordance with a provision of the law, details are included in the endnotes.</w:t>
      </w:r>
    </w:p>
    <w:p w:rsidR="00320785" w:rsidRPr="006E709F" w:rsidRDefault="00320785" w:rsidP="00C7136B">
      <w:pPr>
        <w:pStyle w:val="Header"/>
        <w:tabs>
          <w:tab w:val="clear" w:pos="4150"/>
          <w:tab w:val="clear" w:pos="8307"/>
        </w:tabs>
      </w:pPr>
      <w:r w:rsidRPr="000C4237">
        <w:rPr>
          <w:rStyle w:val="CharChapNo"/>
        </w:rPr>
        <w:t xml:space="preserve"> </w:t>
      </w:r>
      <w:r w:rsidRPr="000C4237">
        <w:rPr>
          <w:rStyle w:val="CharChapText"/>
        </w:rPr>
        <w:t xml:space="preserve"> </w:t>
      </w:r>
    </w:p>
    <w:p w:rsidR="00320785" w:rsidRPr="006E709F" w:rsidRDefault="00320785" w:rsidP="00C7136B">
      <w:pPr>
        <w:pStyle w:val="Header"/>
        <w:tabs>
          <w:tab w:val="clear" w:pos="4150"/>
          <w:tab w:val="clear" w:pos="8307"/>
        </w:tabs>
      </w:pPr>
      <w:r w:rsidRPr="000C4237">
        <w:rPr>
          <w:rStyle w:val="CharPartNo"/>
        </w:rPr>
        <w:t xml:space="preserve"> </w:t>
      </w:r>
      <w:r w:rsidRPr="000C4237">
        <w:rPr>
          <w:rStyle w:val="CharPartText"/>
        </w:rPr>
        <w:t xml:space="preserve"> </w:t>
      </w:r>
    </w:p>
    <w:p w:rsidR="00320785" w:rsidRPr="006E709F" w:rsidRDefault="00320785" w:rsidP="00C7136B">
      <w:pPr>
        <w:pStyle w:val="Header"/>
        <w:tabs>
          <w:tab w:val="clear" w:pos="4150"/>
          <w:tab w:val="clear" w:pos="8307"/>
        </w:tabs>
      </w:pPr>
      <w:r w:rsidRPr="000C4237">
        <w:rPr>
          <w:rStyle w:val="CharDivNo"/>
        </w:rPr>
        <w:t xml:space="preserve"> </w:t>
      </w:r>
      <w:r w:rsidRPr="000C4237">
        <w:rPr>
          <w:rStyle w:val="CharDivText"/>
        </w:rPr>
        <w:t xml:space="preserve"> </w:t>
      </w:r>
    </w:p>
    <w:p w:rsidR="00320785" w:rsidRPr="006E709F" w:rsidRDefault="00320785" w:rsidP="00C7136B">
      <w:pPr>
        <w:sectPr w:rsidR="00320785" w:rsidRPr="006E709F" w:rsidSect="0052661F">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9E74E8" w:rsidRPr="006E709F" w:rsidRDefault="009E74E8" w:rsidP="00F61F77">
      <w:pPr>
        <w:keepNext/>
        <w:keepLines/>
        <w:tabs>
          <w:tab w:val="left" w:pos="7230"/>
        </w:tabs>
        <w:rPr>
          <w:sz w:val="36"/>
        </w:rPr>
      </w:pPr>
      <w:r w:rsidRPr="006E709F">
        <w:rPr>
          <w:sz w:val="36"/>
        </w:rPr>
        <w:lastRenderedPageBreak/>
        <w:t>Contents</w:t>
      </w:r>
    </w:p>
    <w:p w:rsidR="00FE42FF" w:rsidRDefault="00DC7276">
      <w:pPr>
        <w:pStyle w:val="TOC1"/>
        <w:rPr>
          <w:rFonts w:asciiTheme="minorHAnsi" w:eastAsiaTheme="minorEastAsia" w:hAnsiTheme="minorHAnsi" w:cstheme="minorBidi"/>
          <w:b w:val="0"/>
          <w:noProof/>
          <w:kern w:val="0"/>
          <w:sz w:val="22"/>
          <w:szCs w:val="22"/>
        </w:rPr>
      </w:pPr>
      <w:r w:rsidRPr="006E709F">
        <w:fldChar w:fldCharType="begin"/>
      </w:r>
      <w:r w:rsidRPr="006E709F">
        <w:instrText xml:space="preserve"> TOC \o "1-9" </w:instrText>
      </w:r>
      <w:r w:rsidRPr="006E709F">
        <w:fldChar w:fldCharType="separate"/>
      </w:r>
      <w:r w:rsidR="00FE42FF">
        <w:rPr>
          <w:noProof/>
        </w:rPr>
        <w:t>Schedule 3—Specified offices</w:t>
      </w:r>
      <w:r w:rsidR="00FE42FF" w:rsidRPr="00FE42FF">
        <w:rPr>
          <w:b w:val="0"/>
          <w:noProof/>
          <w:sz w:val="18"/>
        </w:rPr>
        <w:tab/>
      </w:r>
      <w:r w:rsidR="00FE42FF" w:rsidRPr="00FE42FF">
        <w:rPr>
          <w:b w:val="0"/>
          <w:noProof/>
          <w:sz w:val="18"/>
        </w:rPr>
        <w:fldChar w:fldCharType="begin"/>
      </w:r>
      <w:r w:rsidR="00FE42FF" w:rsidRPr="00FE42FF">
        <w:rPr>
          <w:b w:val="0"/>
          <w:noProof/>
          <w:sz w:val="18"/>
        </w:rPr>
        <w:instrText xml:space="preserve"> PAGEREF _Toc160609694 \h </w:instrText>
      </w:r>
      <w:r w:rsidR="00FE42FF" w:rsidRPr="00FE42FF">
        <w:rPr>
          <w:b w:val="0"/>
          <w:noProof/>
          <w:sz w:val="18"/>
        </w:rPr>
      </w:r>
      <w:r w:rsidR="00FE42FF" w:rsidRPr="00FE42FF">
        <w:rPr>
          <w:b w:val="0"/>
          <w:noProof/>
          <w:sz w:val="18"/>
        </w:rPr>
        <w:fldChar w:fldCharType="separate"/>
      </w:r>
      <w:r w:rsidR="00FE42FF" w:rsidRPr="00FE42FF">
        <w:rPr>
          <w:b w:val="0"/>
          <w:noProof/>
          <w:sz w:val="18"/>
        </w:rPr>
        <w:t>1</w:t>
      </w:r>
      <w:r w:rsidR="00FE42FF"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4—Prescribed amounts</w:t>
      </w:r>
      <w:r w:rsidRPr="00FE42FF">
        <w:rPr>
          <w:b w:val="0"/>
          <w:noProof/>
          <w:sz w:val="18"/>
        </w:rPr>
        <w:tab/>
      </w:r>
      <w:r w:rsidRPr="00FE42FF">
        <w:rPr>
          <w:b w:val="0"/>
          <w:noProof/>
          <w:sz w:val="18"/>
        </w:rPr>
        <w:fldChar w:fldCharType="begin"/>
      </w:r>
      <w:r w:rsidRPr="00FE42FF">
        <w:rPr>
          <w:b w:val="0"/>
          <w:noProof/>
          <w:sz w:val="18"/>
        </w:rPr>
        <w:instrText xml:space="preserve"> PAGEREF _Toc160609695 \h </w:instrText>
      </w:r>
      <w:r w:rsidRPr="00FE42FF">
        <w:rPr>
          <w:b w:val="0"/>
          <w:noProof/>
          <w:sz w:val="18"/>
        </w:rPr>
      </w:r>
      <w:r w:rsidRPr="00FE42FF">
        <w:rPr>
          <w:b w:val="0"/>
          <w:noProof/>
          <w:sz w:val="18"/>
        </w:rPr>
        <w:fldChar w:fldCharType="separate"/>
      </w:r>
      <w:r w:rsidRPr="00FE42FF">
        <w:rPr>
          <w:b w:val="0"/>
          <w:noProof/>
          <w:sz w:val="18"/>
        </w:rPr>
        <w:t>3</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5C—Conduct of auditor—relevant relationships</w:t>
      </w:r>
      <w:r w:rsidRPr="00FE42FF">
        <w:rPr>
          <w:b w:val="0"/>
          <w:noProof/>
          <w:sz w:val="18"/>
        </w:rPr>
        <w:tab/>
      </w:r>
      <w:r w:rsidRPr="00FE42FF">
        <w:rPr>
          <w:b w:val="0"/>
          <w:noProof/>
          <w:sz w:val="18"/>
        </w:rPr>
        <w:fldChar w:fldCharType="begin"/>
      </w:r>
      <w:r w:rsidRPr="00FE42FF">
        <w:rPr>
          <w:b w:val="0"/>
          <w:noProof/>
          <w:sz w:val="18"/>
        </w:rPr>
        <w:instrText xml:space="preserve"> PAGEREF _Toc160609696 \h </w:instrText>
      </w:r>
      <w:r w:rsidRPr="00FE42FF">
        <w:rPr>
          <w:b w:val="0"/>
          <w:noProof/>
          <w:sz w:val="18"/>
        </w:rPr>
      </w:r>
      <w:r w:rsidRPr="00FE42FF">
        <w:rPr>
          <w:b w:val="0"/>
          <w:noProof/>
          <w:sz w:val="18"/>
        </w:rPr>
        <w:fldChar w:fldCharType="separate"/>
      </w:r>
      <w:r w:rsidRPr="00FE42FF">
        <w:rPr>
          <w:b w:val="0"/>
          <w:noProof/>
          <w:sz w:val="18"/>
        </w:rPr>
        <w:t>6</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w:t>
      </w:r>
      <w:r>
        <w:rPr>
          <w:noProof/>
        </w:rPr>
        <w:tab/>
        <w:t>Money owed—debt</w:t>
      </w:r>
      <w:r w:rsidRPr="00FE42FF">
        <w:rPr>
          <w:noProof/>
        </w:rPr>
        <w:tab/>
      </w:r>
      <w:r w:rsidRPr="00FE42FF">
        <w:rPr>
          <w:noProof/>
        </w:rPr>
        <w:fldChar w:fldCharType="begin"/>
      </w:r>
      <w:r w:rsidRPr="00FE42FF">
        <w:rPr>
          <w:noProof/>
        </w:rPr>
        <w:instrText xml:space="preserve"> PAGEREF _Toc160609697 \h </w:instrText>
      </w:r>
      <w:r w:rsidRPr="00FE42FF">
        <w:rPr>
          <w:noProof/>
        </w:rPr>
      </w:r>
      <w:r w:rsidRPr="00FE42FF">
        <w:rPr>
          <w:noProof/>
        </w:rPr>
        <w:fldChar w:fldCharType="separate"/>
      </w:r>
      <w:r w:rsidRPr="00FE42FF">
        <w:rPr>
          <w:noProof/>
        </w:rPr>
        <w:t>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w:t>
      </w:r>
      <w:r>
        <w:rPr>
          <w:noProof/>
        </w:rPr>
        <w:tab/>
        <w:t>Money owed—deposit account</w:t>
      </w:r>
      <w:r w:rsidRPr="00FE42FF">
        <w:rPr>
          <w:noProof/>
        </w:rPr>
        <w:tab/>
      </w:r>
      <w:r w:rsidRPr="00FE42FF">
        <w:rPr>
          <w:noProof/>
        </w:rPr>
        <w:fldChar w:fldCharType="begin"/>
      </w:r>
      <w:r w:rsidRPr="00FE42FF">
        <w:rPr>
          <w:noProof/>
        </w:rPr>
        <w:instrText xml:space="preserve"> PAGEREF _Toc160609698 \h </w:instrText>
      </w:r>
      <w:r w:rsidRPr="00FE42FF">
        <w:rPr>
          <w:noProof/>
        </w:rPr>
      </w:r>
      <w:r w:rsidRPr="00FE42FF">
        <w:rPr>
          <w:noProof/>
        </w:rPr>
        <w:fldChar w:fldCharType="separate"/>
      </w:r>
      <w:r w:rsidRPr="00FE42FF">
        <w:rPr>
          <w:noProof/>
        </w:rPr>
        <w:t>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3</w:t>
      </w:r>
      <w:r>
        <w:rPr>
          <w:noProof/>
        </w:rPr>
        <w:tab/>
        <w:t>Public company auditor (annual appointments at AGMs to fill vacancies)</w:t>
      </w:r>
      <w:r w:rsidRPr="00FE42FF">
        <w:rPr>
          <w:noProof/>
        </w:rPr>
        <w:tab/>
      </w:r>
      <w:r w:rsidRPr="00FE42FF">
        <w:rPr>
          <w:noProof/>
        </w:rPr>
        <w:fldChar w:fldCharType="begin"/>
      </w:r>
      <w:r w:rsidRPr="00FE42FF">
        <w:rPr>
          <w:noProof/>
        </w:rPr>
        <w:instrText xml:space="preserve"> PAGEREF _Toc160609699 \h </w:instrText>
      </w:r>
      <w:r w:rsidRPr="00FE42FF">
        <w:rPr>
          <w:noProof/>
        </w:rPr>
      </w:r>
      <w:r w:rsidRPr="00FE42FF">
        <w:rPr>
          <w:noProof/>
        </w:rPr>
        <w:fldChar w:fldCharType="separate"/>
      </w:r>
      <w:r w:rsidRPr="00FE42FF">
        <w:rPr>
          <w:noProof/>
        </w:rPr>
        <w:t>7</w:t>
      </w:r>
      <w:r w:rsidRPr="00FE42FF">
        <w:rPr>
          <w:noProof/>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6—Availability of names</w:t>
      </w:r>
      <w:r w:rsidRPr="00FE42FF">
        <w:rPr>
          <w:b w:val="0"/>
          <w:noProof/>
          <w:sz w:val="18"/>
        </w:rPr>
        <w:tab/>
      </w:r>
      <w:r w:rsidRPr="00FE42FF">
        <w:rPr>
          <w:b w:val="0"/>
          <w:noProof/>
          <w:sz w:val="18"/>
        </w:rPr>
        <w:fldChar w:fldCharType="begin"/>
      </w:r>
      <w:r w:rsidRPr="00FE42FF">
        <w:rPr>
          <w:b w:val="0"/>
          <w:noProof/>
          <w:sz w:val="18"/>
        </w:rPr>
        <w:instrText xml:space="preserve"> PAGEREF _Toc160609700 \h </w:instrText>
      </w:r>
      <w:r w:rsidRPr="00FE42FF">
        <w:rPr>
          <w:b w:val="0"/>
          <w:noProof/>
          <w:sz w:val="18"/>
        </w:rPr>
      </w:r>
      <w:r w:rsidRPr="00FE42FF">
        <w:rPr>
          <w:b w:val="0"/>
          <w:noProof/>
          <w:sz w:val="18"/>
        </w:rPr>
        <w:fldChar w:fldCharType="separate"/>
      </w:r>
      <w:r w:rsidRPr="00FE42FF">
        <w:rPr>
          <w:b w:val="0"/>
          <w:noProof/>
          <w:sz w:val="18"/>
        </w:rPr>
        <w:t>8</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1—Rules for ascertaining whether names are identical</w:t>
      </w:r>
      <w:r w:rsidRPr="00FE42FF">
        <w:rPr>
          <w:b w:val="0"/>
          <w:noProof/>
          <w:sz w:val="18"/>
        </w:rPr>
        <w:tab/>
      </w:r>
      <w:r w:rsidRPr="00FE42FF">
        <w:rPr>
          <w:b w:val="0"/>
          <w:noProof/>
          <w:sz w:val="18"/>
        </w:rPr>
        <w:fldChar w:fldCharType="begin"/>
      </w:r>
      <w:r w:rsidRPr="00FE42FF">
        <w:rPr>
          <w:b w:val="0"/>
          <w:noProof/>
          <w:sz w:val="18"/>
        </w:rPr>
        <w:instrText xml:space="preserve"> PAGEREF _Toc160609701 \h </w:instrText>
      </w:r>
      <w:r w:rsidRPr="00FE42FF">
        <w:rPr>
          <w:b w:val="0"/>
          <w:noProof/>
          <w:sz w:val="18"/>
        </w:rPr>
      </w:r>
      <w:r w:rsidRPr="00FE42FF">
        <w:rPr>
          <w:b w:val="0"/>
          <w:noProof/>
          <w:sz w:val="18"/>
        </w:rPr>
        <w:fldChar w:fldCharType="separate"/>
      </w:r>
      <w:r w:rsidRPr="00FE42FF">
        <w:rPr>
          <w:b w:val="0"/>
          <w:noProof/>
          <w:sz w:val="18"/>
        </w:rPr>
        <w:t>8</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2—Names unacceptable for registration</w:t>
      </w:r>
      <w:r w:rsidRPr="00FE42FF">
        <w:rPr>
          <w:b w:val="0"/>
          <w:noProof/>
          <w:sz w:val="18"/>
        </w:rPr>
        <w:tab/>
      </w:r>
      <w:r w:rsidRPr="00FE42FF">
        <w:rPr>
          <w:b w:val="0"/>
          <w:noProof/>
          <w:sz w:val="18"/>
        </w:rPr>
        <w:fldChar w:fldCharType="begin"/>
      </w:r>
      <w:r w:rsidRPr="00FE42FF">
        <w:rPr>
          <w:b w:val="0"/>
          <w:noProof/>
          <w:sz w:val="18"/>
        </w:rPr>
        <w:instrText xml:space="preserve"> PAGEREF _Toc160609702 \h </w:instrText>
      </w:r>
      <w:r w:rsidRPr="00FE42FF">
        <w:rPr>
          <w:b w:val="0"/>
          <w:noProof/>
          <w:sz w:val="18"/>
        </w:rPr>
      </w:r>
      <w:r w:rsidRPr="00FE42FF">
        <w:rPr>
          <w:b w:val="0"/>
          <w:noProof/>
          <w:sz w:val="18"/>
        </w:rPr>
        <w:fldChar w:fldCharType="separate"/>
      </w:r>
      <w:r w:rsidRPr="00FE42FF">
        <w:rPr>
          <w:b w:val="0"/>
          <w:noProof/>
          <w:sz w:val="18"/>
        </w:rPr>
        <w:t>9</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3—Restricted words and phrases</w:t>
      </w:r>
      <w:r w:rsidRPr="00FE42FF">
        <w:rPr>
          <w:b w:val="0"/>
          <w:noProof/>
          <w:sz w:val="18"/>
        </w:rPr>
        <w:tab/>
      </w:r>
      <w:r w:rsidRPr="00FE42FF">
        <w:rPr>
          <w:b w:val="0"/>
          <w:noProof/>
          <w:sz w:val="18"/>
        </w:rPr>
        <w:fldChar w:fldCharType="begin"/>
      </w:r>
      <w:r w:rsidRPr="00FE42FF">
        <w:rPr>
          <w:b w:val="0"/>
          <w:noProof/>
          <w:sz w:val="18"/>
        </w:rPr>
        <w:instrText xml:space="preserve"> PAGEREF _Toc160609703 \h </w:instrText>
      </w:r>
      <w:r w:rsidRPr="00FE42FF">
        <w:rPr>
          <w:b w:val="0"/>
          <w:noProof/>
          <w:sz w:val="18"/>
        </w:rPr>
      </w:r>
      <w:r w:rsidRPr="00FE42FF">
        <w:rPr>
          <w:b w:val="0"/>
          <w:noProof/>
          <w:sz w:val="18"/>
        </w:rPr>
        <w:fldChar w:fldCharType="separate"/>
      </w:r>
      <w:r w:rsidRPr="00FE42FF">
        <w:rPr>
          <w:b w:val="0"/>
          <w:noProof/>
          <w:sz w:val="18"/>
        </w:rPr>
        <w:t>11</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4—Consent required to use restricted words and phrases</w:t>
      </w:r>
      <w:r w:rsidRPr="00FE42FF">
        <w:rPr>
          <w:b w:val="0"/>
          <w:noProof/>
          <w:sz w:val="18"/>
        </w:rPr>
        <w:tab/>
      </w:r>
      <w:r w:rsidRPr="00FE42FF">
        <w:rPr>
          <w:b w:val="0"/>
          <w:noProof/>
          <w:sz w:val="18"/>
        </w:rPr>
        <w:fldChar w:fldCharType="begin"/>
      </w:r>
      <w:r w:rsidRPr="00FE42FF">
        <w:rPr>
          <w:b w:val="0"/>
          <w:noProof/>
          <w:sz w:val="18"/>
        </w:rPr>
        <w:instrText xml:space="preserve"> PAGEREF _Toc160609704 \h </w:instrText>
      </w:r>
      <w:r w:rsidRPr="00FE42FF">
        <w:rPr>
          <w:b w:val="0"/>
          <w:noProof/>
          <w:sz w:val="18"/>
        </w:rPr>
      </w:r>
      <w:r w:rsidRPr="00FE42FF">
        <w:rPr>
          <w:b w:val="0"/>
          <w:noProof/>
          <w:sz w:val="18"/>
        </w:rPr>
        <w:fldChar w:fldCharType="separate"/>
      </w:r>
      <w:r w:rsidRPr="00FE42FF">
        <w:rPr>
          <w:b w:val="0"/>
          <w:noProof/>
          <w:sz w:val="18"/>
        </w:rPr>
        <w:t>12</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5—Names relating to financial institutions for use of which consent is required</w:t>
      </w:r>
      <w:r w:rsidRPr="00FE42FF">
        <w:rPr>
          <w:b w:val="0"/>
          <w:noProof/>
          <w:sz w:val="18"/>
        </w:rPr>
        <w:tab/>
      </w:r>
      <w:r w:rsidRPr="00FE42FF">
        <w:rPr>
          <w:b w:val="0"/>
          <w:noProof/>
          <w:sz w:val="18"/>
        </w:rPr>
        <w:fldChar w:fldCharType="begin"/>
      </w:r>
      <w:r w:rsidRPr="00FE42FF">
        <w:rPr>
          <w:b w:val="0"/>
          <w:noProof/>
          <w:sz w:val="18"/>
        </w:rPr>
        <w:instrText xml:space="preserve"> PAGEREF _Toc160609705 \h </w:instrText>
      </w:r>
      <w:r w:rsidRPr="00FE42FF">
        <w:rPr>
          <w:b w:val="0"/>
          <w:noProof/>
          <w:sz w:val="18"/>
        </w:rPr>
      </w:r>
      <w:r w:rsidRPr="00FE42FF">
        <w:rPr>
          <w:b w:val="0"/>
          <w:noProof/>
          <w:sz w:val="18"/>
        </w:rPr>
        <w:fldChar w:fldCharType="separate"/>
      </w:r>
      <w:r w:rsidRPr="00FE42FF">
        <w:rPr>
          <w:b w:val="0"/>
          <w:noProof/>
          <w:sz w:val="18"/>
        </w:rPr>
        <w:t>13</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7—Exemptions from requirements to set out certain corporate particulars</w:t>
      </w:r>
      <w:r w:rsidRPr="00FE42FF">
        <w:rPr>
          <w:b w:val="0"/>
          <w:noProof/>
          <w:sz w:val="18"/>
        </w:rPr>
        <w:tab/>
      </w:r>
      <w:r w:rsidRPr="00FE42FF">
        <w:rPr>
          <w:b w:val="0"/>
          <w:noProof/>
          <w:sz w:val="18"/>
        </w:rPr>
        <w:fldChar w:fldCharType="begin"/>
      </w:r>
      <w:r w:rsidRPr="00FE42FF">
        <w:rPr>
          <w:b w:val="0"/>
          <w:noProof/>
          <w:sz w:val="18"/>
        </w:rPr>
        <w:instrText xml:space="preserve"> PAGEREF _Toc160609706 \h </w:instrText>
      </w:r>
      <w:r w:rsidRPr="00FE42FF">
        <w:rPr>
          <w:b w:val="0"/>
          <w:noProof/>
          <w:sz w:val="18"/>
        </w:rPr>
      </w:r>
      <w:r w:rsidRPr="00FE42FF">
        <w:rPr>
          <w:b w:val="0"/>
          <w:noProof/>
          <w:sz w:val="18"/>
        </w:rPr>
        <w:fldChar w:fldCharType="separate"/>
      </w:r>
      <w:r w:rsidRPr="00FE42FF">
        <w:rPr>
          <w:b w:val="0"/>
          <w:noProof/>
          <w:sz w:val="18"/>
        </w:rPr>
        <w:t>14</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7001</w:t>
      </w:r>
      <w:r>
        <w:rPr>
          <w:noProof/>
        </w:rPr>
        <w:tab/>
        <w:t>Definitions for Schedule 7</w:t>
      </w:r>
      <w:r w:rsidRPr="00FE42FF">
        <w:rPr>
          <w:noProof/>
        </w:rPr>
        <w:tab/>
      </w:r>
      <w:r w:rsidRPr="00FE42FF">
        <w:rPr>
          <w:noProof/>
        </w:rPr>
        <w:fldChar w:fldCharType="begin"/>
      </w:r>
      <w:r w:rsidRPr="00FE42FF">
        <w:rPr>
          <w:noProof/>
        </w:rPr>
        <w:instrText xml:space="preserve"> PAGEREF _Toc160609707 \h </w:instrText>
      </w:r>
      <w:r w:rsidRPr="00FE42FF">
        <w:rPr>
          <w:noProof/>
        </w:rPr>
      </w:r>
      <w:r w:rsidRPr="00FE42FF">
        <w:rPr>
          <w:noProof/>
        </w:rPr>
        <w:fldChar w:fldCharType="separate"/>
      </w:r>
      <w:r w:rsidRPr="00FE42FF">
        <w:rPr>
          <w:noProof/>
        </w:rPr>
        <w:t>14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7002</w:t>
      </w:r>
      <w:r>
        <w:rPr>
          <w:noProof/>
        </w:rPr>
        <w:tab/>
        <w:t>Exemption for certain IATA documents</w:t>
      </w:r>
      <w:r w:rsidRPr="00FE42FF">
        <w:rPr>
          <w:noProof/>
        </w:rPr>
        <w:tab/>
      </w:r>
      <w:r w:rsidRPr="00FE42FF">
        <w:rPr>
          <w:noProof/>
        </w:rPr>
        <w:fldChar w:fldCharType="begin"/>
      </w:r>
      <w:r w:rsidRPr="00FE42FF">
        <w:rPr>
          <w:noProof/>
        </w:rPr>
        <w:instrText xml:space="preserve"> PAGEREF _Toc160609708 \h </w:instrText>
      </w:r>
      <w:r w:rsidRPr="00FE42FF">
        <w:rPr>
          <w:noProof/>
        </w:rPr>
      </w:r>
      <w:r w:rsidRPr="00FE42FF">
        <w:rPr>
          <w:noProof/>
        </w:rPr>
        <w:fldChar w:fldCharType="separate"/>
      </w:r>
      <w:r w:rsidRPr="00FE42FF">
        <w:rPr>
          <w:noProof/>
        </w:rPr>
        <w:t>14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7003</w:t>
      </w:r>
      <w:r>
        <w:rPr>
          <w:noProof/>
        </w:rPr>
        <w:tab/>
        <w:t>Exemption for bills of lading and sea waybills</w:t>
      </w:r>
      <w:r w:rsidRPr="00FE42FF">
        <w:rPr>
          <w:noProof/>
        </w:rPr>
        <w:tab/>
      </w:r>
      <w:r w:rsidRPr="00FE42FF">
        <w:rPr>
          <w:noProof/>
        </w:rPr>
        <w:fldChar w:fldCharType="begin"/>
      </w:r>
      <w:r w:rsidRPr="00FE42FF">
        <w:rPr>
          <w:noProof/>
        </w:rPr>
        <w:instrText xml:space="preserve"> PAGEREF _Toc160609709 \h </w:instrText>
      </w:r>
      <w:r w:rsidRPr="00FE42FF">
        <w:rPr>
          <w:noProof/>
        </w:rPr>
      </w:r>
      <w:r w:rsidRPr="00FE42FF">
        <w:rPr>
          <w:noProof/>
        </w:rPr>
        <w:fldChar w:fldCharType="separate"/>
      </w:r>
      <w:r w:rsidRPr="00FE42FF">
        <w:rPr>
          <w:noProof/>
        </w:rPr>
        <w:t>14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7004</w:t>
      </w:r>
      <w:r>
        <w:rPr>
          <w:noProof/>
        </w:rPr>
        <w:tab/>
        <w:t>Exemptions—quotation of ACNs and ARBNs</w:t>
      </w:r>
      <w:r w:rsidRPr="00FE42FF">
        <w:rPr>
          <w:noProof/>
        </w:rPr>
        <w:tab/>
      </w:r>
      <w:r w:rsidRPr="00FE42FF">
        <w:rPr>
          <w:noProof/>
        </w:rPr>
        <w:fldChar w:fldCharType="begin"/>
      </w:r>
      <w:r w:rsidRPr="00FE42FF">
        <w:rPr>
          <w:noProof/>
        </w:rPr>
        <w:instrText xml:space="preserve"> PAGEREF _Toc160609710 \h </w:instrText>
      </w:r>
      <w:r w:rsidRPr="00FE42FF">
        <w:rPr>
          <w:noProof/>
        </w:rPr>
      </w:r>
      <w:r w:rsidRPr="00FE42FF">
        <w:rPr>
          <w:noProof/>
        </w:rPr>
        <w:fldChar w:fldCharType="separate"/>
      </w:r>
      <w:r w:rsidRPr="00FE42FF">
        <w:rPr>
          <w:noProof/>
        </w:rPr>
        <w:t>15</w:t>
      </w:r>
      <w:r w:rsidRPr="00FE42FF">
        <w:rPr>
          <w:noProof/>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7A—Content of annual transparency report</w:t>
      </w:r>
      <w:r w:rsidRPr="00FE42FF">
        <w:rPr>
          <w:b w:val="0"/>
          <w:noProof/>
          <w:sz w:val="18"/>
        </w:rPr>
        <w:tab/>
      </w:r>
      <w:r w:rsidRPr="00FE42FF">
        <w:rPr>
          <w:b w:val="0"/>
          <w:noProof/>
          <w:sz w:val="18"/>
        </w:rPr>
        <w:fldChar w:fldCharType="begin"/>
      </w:r>
      <w:r w:rsidRPr="00FE42FF">
        <w:rPr>
          <w:b w:val="0"/>
          <w:noProof/>
          <w:sz w:val="18"/>
        </w:rPr>
        <w:instrText xml:space="preserve"> PAGEREF _Toc160609711 \h </w:instrText>
      </w:r>
      <w:r w:rsidRPr="00FE42FF">
        <w:rPr>
          <w:b w:val="0"/>
          <w:noProof/>
          <w:sz w:val="18"/>
        </w:rPr>
      </w:r>
      <w:r w:rsidRPr="00FE42FF">
        <w:rPr>
          <w:b w:val="0"/>
          <w:noProof/>
          <w:sz w:val="18"/>
        </w:rPr>
        <w:fldChar w:fldCharType="separate"/>
      </w:r>
      <w:r w:rsidRPr="00FE42FF">
        <w:rPr>
          <w:b w:val="0"/>
          <w:noProof/>
          <w:sz w:val="18"/>
        </w:rPr>
        <w:t>16</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1—Interpretation for Schedule 7A</w:t>
      </w:r>
      <w:r w:rsidRPr="00FE42FF">
        <w:rPr>
          <w:b w:val="0"/>
          <w:noProof/>
          <w:sz w:val="18"/>
        </w:rPr>
        <w:tab/>
      </w:r>
      <w:r w:rsidRPr="00FE42FF">
        <w:rPr>
          <w:b w:val="0"/>
          <w:noProof/>
          <w:sz w:val="18"/>
        </w:rPr>
        <w:fldChar w:fldCharType="begin"/>
      </w:r>
      <w:r w:rsidRPr="00FE42FF">
        <w:rPr>
          <w:b w:val="0"/>
          <w:noProof/>
          <w:sz w:val="18"/>
        </w:rPr>
        <w:instrText xml:space="preserve"> PAGEREF _Toc160609712 \h </w:instrText>
      </w:r>
      <w:r w:rsidRPr="00FE42FF">
        <w:rPr>
          <w:b w:val="0"/>
          <w:noProof/>
          <w:sz w:val="18"/>
        </w:rPr>
      </w:r>
      <w:r w:rsidRPr="00FE42FF">
        <w:rPr>
          <w:b w:val="0"/>
          <w:noProof/>
          <w:sz w:val="18"/>
        </w:rPr>
        <w:fldChar w:fldCharType="separate"/>
      </w:r>
      <w:r w:rsidRPr="00FE42FF">
        <w:rPr>
          <w:b w:val="0"/>
          <w:noProof/>
          <w:sz w:val="18"/>
        </w:rPr>
        <w:t>16</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7A101</w:t>
      </w:r>
      <w:r>
        <w:rPr>
          <w:noProof/>
        </w:rPr>
        <w:tab/>
        <w:t>Interpretation</w:t>
      </w:r>
      <w:r w:rsidRPr="00FE42FF">
        <w:rPr>
          <w:noProof/>
        </w:rPr>
        <w:tab/>
      </w:r>
      <w:r w:rsidRPr="00FE42FF">
        <w:rPr>
          <w:noProof/>
        </w:rPr>
        <w:fldChar w:fldCharType="begin"/>
      </w:r>
      <w:r w:rsidRPr="00FE42FF">
        <w:rPr>
          <w:noProof/>
        </w:rPr>
        <w:instrText xml:space="preserve"> PAGEREF _Toc160609713 \h </w:instrText>
      </w:r>
      <w:r w:rsidRPr="00FE42FF">
        <w:rPr>
          <w:noProof/>
        </w:rPr>
      </w:r>
      <w:r w:rsidRPr="00FE42FF">
        <w:rPr>
          <w:noProof/>
        </w:rPr>
        <w:fldChar w:fldCharType="separate"/>
      </w:r>
      <w:r w:rsidRPr="00FE42FF">
        <w:rPr>
          <w:noProof/>
        </w:rPr>
        <w:t>16</w:t>
      </w:r>
      <w:r w:rsidRPr="00FE42FF">
        <w:rPr>
          <w:noProof/>
        </w:rPr>
        <w:fldChar w:fldCharType="end"/>
      </w:r>
    </w:p>
    <w:p w:rsidR="00FE42FF" w:rsidRDefault="00FE42FF" w:rsidP="007C7081">
      <w:pPr>
        <w:pStyle w:val="TOC2"/>
        <w:keepNext w:val="0"/>
        <w:keepLines w:val="0"/>
        <w:rPr>
          <w:rFonts w:asciiTheme="minorHAnsi" w:eastAsiaTheme="minorEastAsia" w:hAnsiTheme="minorHAnsi" w:cstheme="minorBidi"/>
          <w:b w:val="0"/>
          <w:noProof/>
          <w:kern w:val="0"/>
          <w:sz w:val="22"/>
          <w:szCs w:val="22"/>
        </w:rPr>
      </w:pPr>
      <w:r>
        <w:rPr>
          <w:noProof/>
        </w:rPr>
        <w:t>Part 2—Prescribed information for audit firm or authorised audit company</w:t>
      </w:r>
      <w:r w:rsidRPr="00FE42FF">
        <w:rPr>
          <w:b w:val="0"/>
          <w:noProof/>
          <w:sz w:val="18"/>
        </w:rPr>
        <w:tab/>
      </w:r>
      <w:r w:rsidRPr="00FE42FF">
        <w:rPr>
          <w:b w:val="0"/>
          <w:noProof/>
          <w:sz w:val="18"/>
        </w:rPr>
        <w:fldChar w:fldCharType="begin"/>
      </w:r>
      <w:r w:rsidRPr="00FE42FF">
        <w:rPr>
          <w:b w:val="0"/>
          <w:noProof/>
          <w:sz w:val="18"/>
        </w:rPr>
        <w:instrText xml:space="preserve"> PAGEREF _Toc160609714 \h </w:instrText>
      </w:r>
      <w:r w:rsidRPr="00FE42FF">
        <w:rPr>
          <w:b w:val="0"/>
          <w:noProof/>
          <w:sz w:val="18"/>
        </w:rPr>
      </w:r>
      <w:r w:rsidRPr="00FE42FF">
        <w:rPr>
          <w:b w:val="0"/>
          <w:noProof/>
          <w:sz w:val="18"/>
        </w:rPr>
        <w:fldChar w:fldCharType="separate"/>
      </w:r>
      <w:r w:rsidRPr="00FE42FF">
        <w:rPr>
          <w:b w:val="0"/>
          <w:noProof/>
          <w:sz w:val="18"/>
        </w:rPr>
        <w:t>17</w:t>
      </w:r>
      <w:r w:rsidRPr="00FE42FF">
        <w:rPr>
          <w:b w:val="0"/>
          <w:noProof/>
          <w:sz w:val="18"/>
        </w:rPr>
        <w:fldChar w:fldCharType="end"/>
      </w:r>
    </w:p>
    <w:p w:rsidR="00FE42FF" w:rsidRDefault="00FE42FF" w:rsidP="007C7081">
      <w:pPr>
        <w:pStyle w:val="TOC2"/>
        <w:keepNext w:val="0"/>
        <w:keepLines w:val="0"/>
        <w:rPr>
          <w:rFonts w:asciiTheme="minorHAnsi" w:eastAsiaTheme="minorEastAsia" w:hAnsiTheme="minorHAnsi" w:cstheme="minorBidi"/>
          <w:b w:val="0"/>
          <w:noProof/>
          <w:kern w:val="0"/>
          <w:sz w:val="22"/>
          <w:szCs w:val="22"/>
        </w:rPr>
      </w:pPr>
      <w:r>
        <w:rPr>
          <w:noProof/>
        </w:rPr>
        <w:t>Part 3—Prescribed information for individual auditor</w:t>
      </w:r>
      <w:r w:rsidRPr="00FE42FF">
        <w:rPr>
          <w:b w:val="0"/>
          <w:noProof/>
          <w:sz w:val="18"/>
        </w:rPr>
        <w:tab/>
      </w:r>
      <w:r w:rsidRPr="00FE42FF">
        <w:rPr>
          <w:b w:val="0"/>
          <w:noProof/>
          <w:sz w:val="18"/>
        </w:rPr>
        <w:fldChar w:fldCharType="begin"/>
      </w:r>
      <w:r w:rsidRPr="00FE42FF">
        <w:rPr>
          <w:b w:val="0"/>
          <w:noProof/>
          <w:sz w:val="18"/>
        </w:rPr>
        <w:instrText xml:space="preserve"> PAGEREF _Toc160609715 \h </w:instrText>
      </w:r>
      <w:r w:rsidRPr="00FE42FF">
        <w:rPr>
          <w:b w:val="0"/>
          <w:noProof/>
          <w:sz w:val="18"/>
        </w:rPr>
      </w:r>
      <w:r w:rsidRPr="00FE42FF">
        <w:rPr>
          <w:b w:val="0"/>
          <w:noProof/>
          <w:sz w:val="18"/>
        </w:rPr>
        <w:fldChar w:fldCharType="separate"/>
      </w:r>
      <w:r w:rsidRPr="00FE42FF">
        <w:rPr>
          <w:b w:val="0"/>
          <w:noProof/>
          <w:sz w:val="18"/>
        </w:rPr>
        <w:t>18</w:t>
      </w:r>
      <w:r w:rsidRPr="00FE42FF">
        <w:rPr>
          <w:b w:val="0"/>
          <w:noProof/>
          <w:sz w:val="18"/>
        </w:rPr>
        <w:fldChar w:fldCharType="end"/>
      </w:r>
    </w:p>
    <w:p w:rsidR="00FE42FF" w:rsidRDefault="00FE42FF" w:rsidP="007C7081">
      <w:pPr>
        <w:pStyle w:val="TOC1"/>
        <w:keepNext w:val="0"/>
        <w:keepLines w:val="0"/>
        <w:rPr>
          <w:rFonts w:asciiTheme="minorHAnsi" w:eastAsiaTheme="minorEastAsia" w:hAnsiTheme="minorHAnsi" w:cstheme="minorBidi"/>
          <w:b w:val="0"/>
          <w:noProof/>
          <w:kern w:val="0"/>
          <w:sz w:val="22"/>
          <w:szCs w:val="22"/>
        </w:rPr>
      </w:pPr>
      <w:r>
        <w:rPr>
          <w:noProof/>
        </w:rPr>
        <w:t>Schedule 8—Schemes of arrangement under Part 5.1 of the Act</w:t>
      </w:r>
      <w:r w:rsidRPr="00FE42FF">
        <w:rPr>
          <w:b w:val="0"/>
          <w:noProof/>
          <w:sz w:val="18"/>
        </w:rPr>
        <w:tab/>
      </w:r>
      <w:r w:rsidRPr="00FE42FF">
        <w:rPr>
          <w:b w:val="0"/>
          <w:noProof/>
          <w:sz w:val="18"/>
        </w:rPr>
        <w:fldChar w:fldCharType="begin"/>
      </w:r>
      <w:r w:rsidRPr="00FE42FF">
        <w:rPr>
          <w:b w:val="0"/>
          <w:noProof/>
          <w:sz w:val="18"/>
        </w:rPr>
        <w:instrText xml:space="preserve"> PAGEREF _Toc160609716 \h </w:instrText>
      </w:r>
      <w:r w:rsidRPr="00FE42FF">
        <w:rPr>
          <w:b w:val="0"/>
          <w:noProof/>
          <w:sz w:val="18"/>
        </w:rPr>
      </w:r>
      <w:r w:rsidRPr="00FE42FF">
        <w:rPr>
          <w:b w:val="0"/>
          <w:noProof/>
          <w:sz w:val="18"/>
        </w:rPr>
        <w:fldChar w:fldCharType="separate"/>
      </w:r>
      <w:r w:rsidRPr="00FE42FF">
        <w:rPr>
          <w:b w:val="0"/>
          <w:noProof/>
          <w:sz w:val="18"/>
        </w:rPr>
        <w:t>19</w:t>
      </w:r>
      <w:r w:rsidRPr="00FE42FF">
        <w:rPr>
          <w:b w:val="0"/>
          <w:noProof/>
          <w:sz w:val="18"/>
        </w:rPr>
        <w:fldChar w:fldCharType="end"/>
      </w:r>
    </w:p>
    <w:p w:rsidR="00FE42FF" w:rsidRDefault="00FE42FF" w:rsidP="007C7081">
      <w:pPr>
        <w:pStyle w:val="TOC2"/>
        <w:keepNext w:val="0"/>
        <w:keepLines w:val="0"/>
        <w:rPr>
          <w:rFonts w:asciiTheme="minorHAnsi" w:eastAsiaTheme="minorEastAsia" w:hAnsiTheme="minorHAnsi" w:cstheme="minorBidi"/>
          <w:b w:val="0"/>
          <w:noProof/>
          <w:kern w:val="0"/>
          <w:sz w:val="22"/>
          <w:szCs w:val="22"/>
        </w:rPr>
      </w:pPr>
      <w:r>
        <w:rPr>
          <w:noProof/>
        </w:rPr>
        <w:t>Chapter 5—External administration</w:t>
      </w:r>
      <w:r w:rsidRPr="00FE42FF">
        <w:rPr>
          <w:b w:val="0"/>
          <w:noProof/>
          <w:sz w:val="18"/>
        </w:rPr>
        <w:tab/>
      </w:r>
      <w:r w:rsidRPr="00FE42FF">
        <w:rPr>
          <w:b w:val="0"/>
          <w:noProof/>
          <w:sz w:val="18"/>
        </w:rPr>
        <w:fldChar w:fldCharType="begin"/>
      </w:r>
      <w:r w:rsidRPr="00FE42FF">
        <w:rPr>
          <w:b w:val="0"/>
          <w:noProof/>
          <w:sz w:val="18"/>
        </w:rPr>
        <w:instrText xml:space="preserve"> PAGEREF _Toc160609717 \h </w:instrText>
      </w:r>
      <w:r w:rsidRPr="00FE42FF">
        <w:rPr>
          <w:b w:val="0"/>
          <w:noProof/>
          <w:sz w:val="18"/>
        </w:rPr>
      </w:r>
      <w:r w:rsidRPr="00FE42FF">
        <w:rPr>
          <w:b w:val="0"/>
          <w:noProof/>
          <w:sz w:val="18"/>
        </w:rPr>
        <w:fldChar w:fldCharType="separate"/>
      </w:r>
      <w:r w:rsidRPr="00FE42FF">
        <w:rPr>
          <w:b w:val="0"/>
          <w:noProof/>
          <w:sz w:val="18"/>
        </w:rPr>
        <w:t>19</w:t>
      </w:r>
      <w:r w:rsidRPr="00FE42FF">
        <w:rPr>
          <w:b w:val="0"/>
          <w:noProof/>
          <w:sz w:val="18"/>
        </w:rPr>
        <w:fldChar w:fldCharType="end"/>
      </w:r>
    </w:p>
    <w:p w:rsidR="00FE42FF" w:rsidRDefault="00FE42FF" w:rsidP="007C7081">
      <w:pPr>
        <w:pStyle w:val="TOC3"/>
        <w:keepNext w:val="0"/>
        <w:keepLines w:val="0"/>
        <w:rPr>
          <w:rFonts w:asciiTheme="minorHAnsi" w:eastAsiaTheme="minorEastAsia" w:hAnsiTheme="minorHAnsi" w:cstheme="minorBidi"/>
          <w:b w:val="0"/>
          <w:noProof/>
          <w:kern w:val="0"/>
          <w:szCs w:val="22"/>
        </w:rPr>
      </w:pPr>
      <w:r>
        <w:rPr>
          <w:noProof/>
        </w:rPr>
        <w:t>Part 1—Interpretation and application</w:t>
      </w:r>
      <w:r w:rsidRPr="00FE42FF">
        <w:rPr>
          <w:b w:val="0"/>
          <w:noProof/>
          <w:sz w:val="18"/>
        </w:rPr>
        <w:tab/>
      </w:r>
      <w:r w:rsidRPr="00FE42FF">
        <w:rPr>
          <w:b w:val="0"/>
          <w:noProof/>
          <w:sz w:val="18"/>
        </w:rPr>
        <w:fldChar w:fldCharType="begin"/>
      </w:r>
      <w:r w:rsidRPr="00FE42FF">
        <w:rPr>
          <w:b w:val="0"/>
          <w:noProof/>
          <w:sz w:val="18"/>
        </w:rPr>
        <w:instrText xml:space="preserve"> PAGEREF _Toc160609718 \h </w:instrText>
      </w:r>
      <w:r w:rsidRPr="00FE42FF">
        <w:rPr>
          <w:b w:val="0"/>
          <w:noProof/>
          <w:sz w:val="18"/>
        </w:rPr>
      </w:r>
      <w:r w:rsidRPr="00FE42FF">
        <w:rPr>
          <w:b w:val="0"/>
          <w:noProof/>
          <w:sz w:val="18"/>
        </w:rPr>
        <w:fldChar w:fldCharType="separate"/>
      </w:r>
      <w:r w:rsidRPr="00FE42FF">
        <w:rPr>
          <w:b w:val="0"/>
          <w:noProof/>
          <w:sz w:val="18"/>
        </w:rPr>
        <w:t>19</w:t>
      </w:r>
      <w:r w:rsidRPr="00FE42FF">
        <w:rPr>
          <w:b w:val="0"/>
          <w:noProof/>
          <w:sz w:val="18"/>
        </w:rPr>
        <w:fldChar w:fldCharType="end"/>
      </w:r>
    </w:p>
    <w:p w:rsidR="00FE42FF" w:rsidRDefault="00FE42FF" w:rsidP="007C7081">
      <w:pPr>
        <w:pStyle w:val="TOC3"/>
        <w:keepNext w:val="0"/>
        <w:keepLines w:val="0"/>
        <w:rPr>
          <w:rFonts w:asciiTheme="minorHAnsi" w:eastAsiaTheme="minorEastAsia" w:hAnsiTheme="minorHAnsi" w:cstheme="minorBidi"/>
          <w:b w:val="0"/>
          <w:noProof/>
          <w:kern w:val="0"/>
          <w:szCs w:val="22"/>
        </w:rPr>
      </w:pPr>
      <w:r>
        <w:rPr>
          <w:noProof/>
        </w:rPr>
        <w:t>Part 2—Prescribed information relating to proposed compromise or arrangement with creditors or class of creditors</w:t>
      </w:r>
      <w:r w:rsidRPr="00FE42FF">
        <w:rPr>
          <w:b w:val="0"/>
          <w:noProof/>
          <w:sz w:val="18"/>
        </w:rPr>
        <w:tab/>
      </w:r>
      <w:r w:rsidRPr="00FE42FF">
        <w:rPr>
          <w:b w:val="0"/>
          <w:noProof/>
          <w:sz w:val="18"/>
        </w:rPr>
        <w:fldChar w:fldCharType="begin"/>
      </w:r>
      <w:r w:rsidRPr="00FE42FF">
        <w:rPr>
          <w:b w:val="0"/>
          <w:noProof/>
          <w:sz w:val="18"/>
        </w:rPr>
        <w:instrText xml:space="preserve"> PAGEREF _Toc160609719 \h </w:instrText>
      </w:r>
      <w:r w:rsidRPr="00FE42FF">
        <w:rPr>
          <w:b w:val="0"/>
          <w:noProof/>
          <w:sz w:val="18"/>
        </w:rPr>
      </w:r>
      <w:r w:rsidRPr="00FE42FF">
        <w:rPr>
          <w:b w:val="0"/>
          <w:noProof/>
          <w:sz w:val="18"/>
        </w:rPr>
        <w:fldChar w:fldCharType="separate"/>
      </w:r>
      <w:r w:rsidRPr="00FE42FF">
        <w:rPr>
          <w:b w:val="0"/>
          <w:noProof/>
          <w:sz w:val="18"/>
        </w:rPr>
        <w:t>20</w:t>
      </w:r>
      <w:r w:rsidRPr="00FE42FF">
        <w:rPr>
          <w:b w:val="0"/>
          <w:noProof/>
          <w:sz w:val="18"/>
        </w:rPr>
        <w:fldChar w:fldCharType="end"/>
      </w:r>
    </w:p>
    <w:p w:rsidR="00FE42FF" w:rsidRDefault="00FE42FF" w:rsidP="007C7081">
      <w:pPr>
        <w:pStyle w:val="TOC3"/>
        <w:keepNext w:val="0"/>
        <w:keepLines w:val="0"/>
        <w:rPr>
          <w:rFonts w:asciiTheme="minorHAnsi" w:eastAsiaTheme="minorEastAsia" w:hAnsiTheme="minorHAnsi" w:cstheme="minorBidi"/>
          <w:b w:val="0"/>
          <w:noProof/>
          <w:kern w:val="0"/>
          <w:szCs w:val="22"/>
        </w:rPr>
      </w:pPr>
      <w:r>
        <w:rPr>
          <w:noProof/>
        </w:rPr>
        <w:t>Part 3—Prescribed information relating to proposed compromise or arrangement with members or a class of members</w:t>
      </w:r>
      <w:r w:rsidRPr="00FE42FF">
        <w:rPr>
          <w:b w:val="0"/>
          <w:noProof/>
          <w:sz w:val="18"/>
        </w:rPr>
        <w:tab/>
      </w:r>
      <w:r w:rsidRPr="00FE42FF">
        <w:rPr>
          <w:b w:val="0"/>
          <w:noProof/>
          <w:sz w:val="18"/>
        </w:rPr>
        <w:fldChar w:fldCharType="begin"/>
      </w:r>
      <w:r w:rsidRPr="00FE42FF">
        <w:rPr>
          <w:b w:val="0"/>
          <w:noProof/>
          <w:sz w:val="18"/>
        </w:rPr>
        <w:instrText xml:space="preserve"> PAGEREF _Toc160609720 \h </w:instrText>
      </w:r>
      <w:r w:rsidRPr="00FE42FF">
        <w:rPr>
          <w:b w:val="0"/>
          <w:noProof/>
          <w:sz w:val="18"/>
        </w:rPr>
      </w:r>
      <w:r w:rsidRPr="00FE42FF">
        <w:rPr>
          <w:b w:val="0"/>
          <w:noProof/>
          <w:sz w:val="18"/>
        </w:rPr>
        <w:fldChar w:fldCharType="separate"/>
      </w:r>
      <w:r w:rsidRPr="00FE42FF">
        <w:rPr>
          <w:b w:val="0"/>
          <w:noProof/>
          <w:sz w:val="18"/>
        </w:rPr>
        <w:t>21</w:t>
      </w:r>
      <w:r w:rsidRPr="00FE42FF">
        <w:rPr>
          <w:b w:val="0"/>
          <w:noProof/>
          <w:sz w:val="18"/>
        </w:rPr>
        <w:fldChar w:fldCharType="end"/>
      </w:r>
    </w:p>
    <w:p w:rsidR="00FE42FF" w:rsidRDefault="00FE42FF" w:rsidP="007C7081">
      <w:pPr>
        <w:pStyle w:val="TOC3"/>
        <w:keepNext w:val="0"/>
        <w:keepLines w:val="0"/>
        <w:rPr>
          <w:rFonts w:asciiTheme="minorHAnsi" w:eastAsiaTheme="minorEastAsia" w:hAnsiTheme="minorHAnsi" w:cstheme="minorBidi"/>
          <w:b w:val="0"/>
          <w:noProof/>
          <w:kern w:val="0"/>
          <w:szCs w:val="22"/>
        </w:rPr>
      </w:pPr>
      <w:r>
        <w:rPr>
          <w:noProof/>
        </w:rPr>
        <w:t>Part 4—Prescribed information relating to proposed compromise or arrangement with members or class of members for transfer to a trustee</w:t>
      </w:r>
      <w:r w:rsidRPr="00FE42FF">
        <w:rPr>
          <w:b w:val="0"/>
          <w:noProof/>
          <w:sz w:val="18"/>
        </w:rPr>
        <w:tab/>
      </w:r>
      <w:r w:rsidRPr="00FE42FF">
        <w:rPr>
          <w:b w:val="0"/>
          <w:noProof/>
          <w:sz w:val="18"/>
        </w:rPr>
        <w:fldChar w:fldCharType="begin"/>
      </w:r>
      <w:r w:rsidRPr="00FE42FF">
        <w:rPr>
          <w:b w:val="0"/>
          <w:noProof/>
          <w:sz w:val="18"/>
        </w:rPr>
        <w:instrText xml:space="preserve"> PAGEREF _Toc160609721 \h </w:instrText>
      </w:r>
      <w:r w:rsidRPr="00FE42FF">
        <w:rPr>
          <w:b w:val="0"/>
          <w:noProof/>
          <w:sz w:val="18"/>
        </w:rPr>
      </w:r>
      <w:r w:rsidRPr="00FE42FF">
        <w:rPr>
          <w:b w:val="0"/>
          <w:noProof/>
          <w:sz w:val="18"/>
        </w:rPr>
        <w:fldChar w:fldCharType="separate"/>
      </w:r>
      <w:r w:rsidRPr="00FE42FF">
        <w:rPr>
          <w:b w:val="0"/>
          <w:noProof/>
          <w:sz w:val="18"/>
        </w:rPr>
        <w:t>25</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8A—Deed of company arrangement—prescribed provisions</w:t>
      </w:r>
      <w:r w:rsidRPr="00FE42FF">
        <w:rPr>
          <w:b w:val="0"/>
          <w:noProof/>
          <w:sz w:val="18"/>
        </w:rPr>
        <w:tab/>
      </w:r>
      <w:r w:rsidRPr="00FE42FF">
        <w:rPr>
          <w:b w:val="0"/>
          <w:noProof/>
          <w:sz w:val="18"/>
        </w:rPr>
        <w:fldChar w:fldCharType="begin"/>
      </w:r>
      <w:r w:rsidRPr="00FE42FF">
        <w:rPr>
          <w:b w:val="0"/>
          <w:noProof/>
          <w:sz w:val="18"/>
        </w:rPr>
        <w:instrText xml:space="preserve"> PAGEREF _Toc160609722 \h </w:instrText>
      </w:r>
      <w:r w:rsidRPr="00FE42FF">
        <w:rPr>
          <w:b w:val="0"/>
          <w:noProof/>
          <w:sz w:val="18"/>
        </w:rPr>
      </w:r>
      <w:r w:rsidRPr="00FE42FF">
        <w:rPr>
          <w:b w:val="0"/>
          <w:noProof/>
          <w:sz w:val="18"/>
        </w:rPr>
        <w:fldChar w:fldCharType="separate"/>
      </w:r>
      <w:r w:rsidRPr="00FE42FF">
        <w:rPr>
          <w:b w:val="0"/>
          <w:noProof/>
          <w:sz w:val="18"/>
        </w:rPr>
        <w:t>26</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w:t>
      </w:r>
      <w:r>
        <w:rPr>
          <w:noProof/>
        </w:rPr>
        <w:tab/>
        <w:t>Administrator deemed agent of company</w:t>
      </w:r>
      <w:r w:rsidRPr="00FE42FF">
        <w:rPr>
          <w:noProof/>
        </w:rPr>
        <w:tab/>
      </w:r>
      <w:r w:rsidRPr="00FE42FF">
        <w:rPr>
          <w:noProof/>
        </w:rPr>
        <w:fldChar w:fldCharType="begin"/>
      </w:r>
      <w:r w:rsidRPr="00FE42FF">
        <w:rPr>
          <w:noProof/>
        </w:rPr>
        <w:instrText xml:space="preserve"> PAGEREF _Toc160609723 \h </w:instrText>
      </w:r>
      <w:r w:rsidRPr="00FE42FF">
        <w:rPr>
          <w:noProof/>
        </w:rPr>
      </w:r>
      <w:r w:rsidRPr="00FE42FF">
        <w:rPr>
          <w:noProof/>
        </w:rPr>
        <w:fldChar w:fldCharType="separate"/>
      </w:r>
      <w:r w:rsidRPr="00FE42FF">
        <w:rPr>
          <w:noProof/>
        </w:rPr>
        <w:t>26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w:t>
      </w:r>
      <w:r>
        <w:rPr>
          <w:noProof/>
        </w:rPr>
        <w:tab/>
        <w:t>Powers of administrator</w:t>
      </w:r>
      <w:r w:rsidRPr="00FE42FF">
        <w:rPr>
          <w:noProof/>
        </w:rPr>
        <w:tab/>
      </w:r>
      <w:r w:rsidRPr="00FE42FF">
        <w:rPr>
          <w:noProof/>
        </w:rPr>
        <w:fldChar w:fldCharType="begin"/>
      </w:r>
      <w:r w:rsidRPr="00FE42FF">
        <w:rPr>
          <w:noProof/>
        </w:rPr>
        <w:instrText xml:space="preserve"> PAGEREF _Toc160609724 \h </w:instrText>
      </w:r>
      <w:r w:rsidRPr="00FE42FF">
        <w:rPr>
          <w:noProof/>
        </w:rPr>
      </w:r>
      <w:r w:rsidRPr="00FE42FF">
        <w:rPr>
          <w:noProof/>
        </w:rPr>
        <w:fldChar w:fldCharType="separate"/>
      </w:r>
      <w:r w:rsidRPr="00FE42FF">
        <w:rPr>
          <w:noProof/>
        </w:rPr>
        <w:t>26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3</w:t>
      </w:r>
      <w:r>
        <w:rPr>
          <w:noProof/>
        </w:rPr>
        <w:tab/>
        <w:t>Termination of deed where arrangement fails</w:t>
      </w:r>
      <w:r w:rsidRPr="00FE42FF">
        <w:rPr>
          <w:noProof/>
        </w:rPr>
        <w:tab/>
      </w:r>
      <w:r w:rsidRPr="00FE42FF">
        <w:rPr>
          <w:noProof/>
        </w:rPr>
        <w:fldChar w:fldCharType="begin"/>
      </w:r>
      <w:r w:rsidRPr="00FE42FF">
        <w:rPr>
          <w:noProof/>
        </w:rPr>
        <w:instrText xml:space="preserve"> PAGEREF _Toc160609725 \h </w:instrText>
      </w:r>
      <w:r w:rsidRPr="00FE42FF">
        <w:rPr>
          <w:noProof/>
        </w:rPr>
      </w:r>
      <w:r w:rsidRPr="00FE42FF">
        <w:rPr>
          <w:noProof/>
        </w:rPr>
        <w:fldChar w:fldCharType="separate"/>
      </w:r>
      <w:r w:rsidRPr="00FE42FF">
        <w:rPr>
          <w:noProof/>
        </w:rPr>
        <w:t>28</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4</w:t>
      </w:r>
      <w:r>
        <w:rPr>
          <w:noProof/>
        </w:rPr>
        <w:tab/>
        <w:t>Priority</w:t>
      </w:r>
      <w:r w:rsidRPr="00FE42FF">
        <w:rPr>
          <w:noProof/>
        </w:rPr>
        <w:tab/>
      </w:r>
      <w:r w:rsidRPr="00FE42FF">
        <w:rPr>
          <w:noProof/>
        </w:rPr>
        <w:fldChar w:fldCharType="begin"/>
      </w:r>
      <w:r w:rsidRPr="00FE42FF">
        <w:rPr>
          <w:noProof/>
        </w:rPr>
        <w:instrText xml:space="preserve"> PAGEREF _Toc160609726 \h </w:instrText>
      </w:r>
      <w:r w:rsidRPr="00FE42FF">
        <w:rPr>
          <w:noProof/>
        </w:rPr>
      </w:r>
      <w:r w:rsidRPr="00FE42FF">
        <w:rPr>
          <w:noProof/>
        </w:rPr>
        <w:fldChar w:fldCharType="separate"/>
      </w:r>
      <w:r w:rsidRPr="00FE42FF">
        <w:rPr>
          <w:noProof/>
        </w:rPr>
        <w:t>28</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5</w:t>
      </w:r>
      <w:r>
        <w:rPr>
          <w:noProof/>
        </w:rPr>
        <w:tab/>
        <w:t>Discharge of debts</w:t>
      </w:r>
      <w:r w:rsidRPr="00FE42FF">
        <w:rPr>
          <w:noProof/>
        </w:rPr>
        <w:tab/>
      </w:r>
      <w:r w:rsidRPr="00FE42FF">
        <w:rPr>
          <w:noProof/>
        </w:rPr>
        <w:fldChar w:fldCharType="begin"/>
      </w:r>
      <w:r w:rsidRPr="00FE42FF">
        <w:rPr>
          <w:noProof/>
        </w:rPr>
        <w:instrText xml:space="preserve"> PAGEREF _Toc160609727 \h </w:instrText>
      </w:r>
      <w:r w:rsidRPr="00FE42FF">
        <w:rPr>
          <w:noProof/>
        </w:rPr>
      </w:r>
      <w:r w:rsidRPr="00FE42FF">
        <w:rPr>
          <w:noProof/>
        </w:rPr>
        <w:fldChar w:fldCharType="separate"/>
      </w:r>
      <w:r w:rsidRPr="00FE42FF">
        <w:rPr>
          <w:noProof/>
        </w:rPr>
        <w:t>28</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6</w:t>
      </w:r>
      <w:r>
        <w:rPr>
          <w:noProof/>
        </w:rPr>
        <w:tab/>
        <w:t>Claims extinguished</w:t>
      </w:r>
      <w:r w:rsidRPr="00FE42FF">
        <w:rPr>
          <w:noProof/>
        </w:rPr>
        <w:tab/>
      </w:r>
      <w:r w:rsidRPr="00FE42FF">
        <w:rPr>
          <w:noProof/>
        </w:rPr>
        <w:fldChar w:fldCharType="begin"/>
      </w:r>
      <w:r w:rsidRPr="00FE42FF">
        <w:rPr>
          <w:noProof/>
        </w:rPr>
        <w:instrText xml:space="preserve"> PAGEREF _Toc160609728 \h </w:instrText>
      </w:r>
      <w:r w:rsidRPr="00FE42FF">
        <w:rPr>
          <w:noProof/>
        </w:rPr>
      </w:r>
      <w:r w:rsidRPr="00FE42FF">
        <w:rPr>
          <w:noProof/>
        </w:rPr>
        <w:fldChar w:fldCharType="separate"/>
      </w:r>
      <w:r w:rsidRPr="00FE42FF">
        <w:rPr>
          <w:noProof/>
        </w:rPr>
        <w:t>28</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w:t>
      </w:r>
      <w:r>
        <w:rPr>
          <w:noProof/>
        </w:rPr>
        <w:tab/>
        <w:t>Bar to creditors’ claims</w:t>
      </w:r>
      <w:r w:rsidRPr="00FE42FF">
        <w:rPr>
          <w:noProof/>
        </w:rPr>
        <w:tab/>
      </w:r>
      <w:r w:rsidRPr="00FE42FF">
        <w:rPr>
          <w:noProof/>
        </w:rPr>
        <w:fldChar w:fldCharType="begin"/>
      </w:r>
      <w:r w:rsidRPr="00FE42FF">
        <w:rPr>
          <w:noProof/>
        </w:rPr>
        <w:instrText xml:space="preserve"> PAGEREF _Toc160609729 \h </w:instrText>
      </w:r>
      <w:r w:rsidRPr="00FE42FF">
        <w:rPr>
          <w:noProof/>
        </w:rPr>
      </w:r>
      <w:r w:rsidRPr="00FE42FF">
        <w:rPr>
          <w:noProof/>
        </w:rPr>
        <w:fldChar w:fldCharType="separate"/>
      </w:r>
      <w:r w:rsidRPr="00FE42FF">
        <w:rPr>
          <w:noProof/>
        </w:rPr>
        <w:t>28</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8</w:t>
      </w:r>
      <w:r>
        <w:rPr>
          <w:noProof/>
        </w:rPr>
        <w:tab/>
        <w:t>Making claims</w:t>
      </w:r>
      <w:r w:rsidRPr="00FE42FF">
        <w:rPr>
          <w:noProof/>
        </w:rPr>
        <w:tab/>
      </w:r>
      <w:r w:rsidRPr="00FE42FF">
        <w:rPr>
          <w:noProof/>
        </w:rPr>
        <w:fldChar w:fldCharType="begin"/>
      </w:r>
      <w:r w:rsidRPr="00FE42FF">
        <w:rPr>
          <w:noProof/>
        </w:rPr>
        <w:instrText xml:space="preserve"> PAGEREF _Toc160609730 \h </w:instrText>
      </w:r>
      <w:r w:rsidRPr="00FE42FF">
        <w:rPr>
          <w:noProof/>
        </w:rPr>
      </w:r>
      <w:r w:rsidRPr="00FE42FF">
        <w:rPr>
          <w:noProof/>
        </w:rPr>
        <w:fldChar w:fldCharType="separate"/>
      </w:r>
      <w:r w:rsidRPr="00FE42FF">
        <w:rPr>
          <w:noProof/>
        </w:rPr>
        <w:t>29</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10</w:t>
      </w:r>
      <w:r>
        <w:rPr>
          <w:noProof/>
        </w:rPr>
        <w:tab/>
        <w:t>Lodging of accounts</w:t>
      </w:r>
      <w:r w:rsidRPr="00FE42FF">
        <w:rPr>
          <w:noProof/>
        </w:rPr>
        <w:tab/>
      </w:r>
      <w:r w:rsidRPr="00FE42FF">
        <w:rPr>
          <w:noProof/>
        </w:rPr>
        <w:fldChar w:fldCharType="begin"/>
      </w:r>
      <w:r w:rsidRPr="00FE42FF">
        <w:rPr>
          <w:noProof/>
        </w:rPr>
        <w:instrText xml:space="preserve"> PAGEREF _Toc160609731 \h </w:instrText>
      </w:r>
      <w:r w:rsidRPr="00FE42FF">
        <w:rPr>
          <w:noProof/>
        </w:rPr>
      </w:r>
      <w:r w:rsidRPr="00FE42FF">
        <w:rPr>
          <w:noProof/>
        </w:rPr>
        <w:fldChar w:fldCharType="separate"/>
      </w:r>
      <w:r w:rsidRPr="00FE42FF">
        <w:rPr>
          <w:noProof/>
        </w:rPr>
        <w:t>29</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11</w:t>
      </w:r>
      <w:r>
        <w:rPr>
          <w:noProof/>
        </w:rPr>
        <w:tab/>
        <w:t>Committee of inspection</w:t>
      </w:r>
      <w:r w:rsidRPr="00FE42FF">
        <w:rPr>
          <w:noProof/>
        </w:rPr>
        <w:tab/>
      </w:r>
      <w:r w:rsidRPr="00FE42FF">
        <w:rPr>
          <w:noProof/>
        </w:rPr>
        <w:fldChar w:fldCharType="begin"/>
      </w:r>
      <w:r w:rsidRPr="00FE42FF">
        <w:rPr>
          <w:noProof/>
        </w:rPr>
        <w:instrText xml:space="preserve"> PAGEREF _Toc160609732 \h </w:instrText>
      </w:r>
      <w:r w:rsidRPr="00FE42FF">
        <w:rPr>
          <w:noProof/>
        </w:rPr>
      </w:r>
      <w:r w:rsidRPr="00FE42FF">
        <w:rPr>
          <w:noProof/>
        </w:rPr>
        <w:fldChar w:fldCharType="separate"/>
      </w:r>
      <w:r w:rsidRPr="00FE42FF">
        <w:rPr>
          <w:noProof/>
        </w:rPr>
        <w:t>29</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12</w:t>
      </w:r>
      <w:r>
        <w:rPr>
          <w:noProof/>
        </w:rPr>
        <w:tab/>
        <w:t>Termination of deed where arrangement achieves purpose</w:t>
      </w:r>
      <w:r w:rsidRPr="00FE42FF">
        <w:rPr>
          <w:noProof/>
        </w:rPr>
        <w:tab/>
      </w:r>
      <w:r w:rsidRPr="00FE42FF">
        <w:rPr>
          <w:noProof/>
        </w:rPr>
        <w:fldChar w:fldCharType="begin"/>
      </w:r>
      <w:r w:rsidRPr="00FE42FF">
        <w:rPr>
          <w:noProof/>
        </w:rPr>
        <w:instrText xml:space="preserve"> PAGEREF _Toc160609733 \h </w:instrText>
      </w:r>
      <w:r w:rsidRPr="00FE42FF">
        <w:rPr>
          <w:noProof/>
        </w:rPr>
      </w:r>
      <w:r w:rsidRPr="00FE42FF">
        <w:rPr>
          <w:noProof/>
        </w:rPr>
        <w:fldChar w:fldCharType="separate"/>
      </w:r>
      <w:r w:rsidRPr="00FE42FF">
        <w:rPr>
          <w:noProof/>
        </w:rPr>
        <w:t>30</w:t>
      </w:r>
      <w:r w:rsidRPr="00FE42FF">
        <w:rPr>
          <w:noProof/>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8AA—Trustee companies</w:t>
      </w:r>
      <w:r w:rsidRPr="00FE42FF">
        <w:rPr>
          <w:b w:val="0"/>
          <w:noProof/>
          <w:sz w:val="18"/>
        </w:rPr>
        <w:tab/>
      </w:r>
      <w:r w:rsidRPr="00FE42FF">
        <w:rPr>
          <w:b w:val="0"/>
          <w:noProof/>
          <w:sz w:val="18"/>
        </w:rPr>
        <w:fldChar w:fldCharType="begin"/>
      </w:r>
      <w:r w:rsidRPr="00FE42FF">
        <w:rPr>
          <w:b w:val="0"/>
          <w:noProof/>
          <w:sz w:val="18"/>
        </w:rPr>
        <w:instrText xml:space="preserve"> PAGEREF _Toc160609734 \h </w:instrText>
      </w:r>
      <w:r w:rsidRPr="00FE42FF">
        <w:rPr>
          <w:b w:val="0"/>
          <w:noProof/>
          <w:sz w:val="18"/>
        </w:rPr>
      </w:r>
      <w:r w:rsidRPr="00FE42FF">
        <w:rPr>
          <w:b w:val="0"/>
          <w:noProof/>
          <w:sz w:val="18"/>
        </w:rPr>
        <w:fldChar w:fldCharType="separate"/>
      </w:r>
      <w:r w:rsidRPr="00FE42FF">
        <w:rPr>
          <w:b w:val="0"/>
          <w:noProof/>
          <w:sz w:val="18"/>
        </w:rPr>
        <w:t>31</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8AB—Prescribed State and Territory provisions for paragraph 601RAE(4)(a) of the Act</w:t>
      </w:r>
      <w:r w:rsidRPr="00FE42FF">
        <w:rPr>
          <w:b w:val="0"/>
          <w:noProof/>
          <w:sz w:val="18"/>
        </w:rPr>
        <w:tab/>
      </w:r>
      <w:r w:rsidRPr="00FE42FF">
        <w:rPr>
          <w:b w:val="0"/>
          <w:noProof/>
          <w:sz w:val="18"/>
        </w:rPr>
        <w:fldChar w:fldCharType="begin"/>
      </w:r>
      <w:r w:rsidRPr="00FE42FF">
        <w:rPr>
          <w:b w:val="0"/>
          <w:noProof/>
          <w:sz w:val="18"/>
        </w:rPr>
        <w:instrText xml:space="preserve"> PAGEREF _Toc160609735 \h </w:instrText>
      </w:r>
      <w:r w:rsidRPr="00FE42FF">
        <w:rPr>
          <w:b w:val="0"/>
          <w:noProof/>
          <w:sz w:val="18"/>
        </w:rPr>
      </w:r>
      <w:r w:rsidRPr="00FE42FF">
        <w:rPr>
          <w:b w:val="0"/>
          <w:noProof/>
          <w:sz w:val="18"/>
        </w:rPr>
        <w:fldChar w:fldCharType="separate"/>
      </w:r>
      <w:r w:rsidRPr="00FE42FF">
        <w:rPr>
          <w:b w:val="0"/>
          <w:noProof/>
          <w:sz w:val="18"/>
        </w:rPr>
        <w:t>32</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8AC—Prescribed State and Territory laws and provisions for paragraph 601RAE(4)(b) of the Act—estate administration</w:t>
      </w:r>
      <w:r w:rsidRPr="00FE42FF">
        <w:rPr>
          <w:b w:val="0"/>
          <w:noProof/>
          <w:sz w:val="18"/>
        </w:rPr>
        <w:tab/>
      </w:r>
      <w:r w:rsidRPr="00FE42FF">
        <w:rPr>
          <w:b w:val="0"/>
          <w:noProof/>
          <w:sz w:val="18"/>
        </w:rPr>
        <w:fldChar w:fldCharType="begin"/>
      </w:r>
      <w:r w:rsidRPr="00FE42FF">
        <w:rPr>
          <w:b w:val="0"/>
          <w:noProof/>
          <w:sz w:val="18"/>
        </w:rPr>
        <w:instrText xml:space="preserve"> PAGEREF _Toc160609736 \h </w:instrText>
      </w:r>
      <w:r w:rsidRPr="00FE42FF">
        <w:rPr>
          <w:b w:val="0"/>
          <w:noProof/>
          <w:sz w:val="18"/>
        </w:rPr>
      </w:r>
      <w:r w:rsidRPr="00FE42FF">
        <w:rPr>
          <w:b w:val="0"/>
          <w:noProof/>
          <w:sz w:val="18"/>
        </w:rPr>
        <w:fldChar w:fldCharType="separate"/>
      </w:r>
      <w:r w:rsidRPr="00FE42FF">
        <w:rPr>
          <w:b w:val="0"/>
          <w:noProof/>
          <w:sz w:val="18"/>
        </w:rPr>
        <w:t>33</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8AD—Prescribed State and Territory laws and provisions for paragraph 601RAE(4)(b) of the Act</w:t>
      </w:r>
      <w:r w:rsidRPr="00FE42FF">
        <w:rPr>
          <w:b w:val="0"/>
          <w:noProof/>
          <w:sz w:val="18"/>
        </w:rPr>
        <w:tab/>
      </w:r>
      <w:r w:rsidRPr="00FE42FF">
        <w:rPr>
          <w:b w:val="0"/>
          <w:noProof/>
          <w:sz w:val="18"/>
        </w:rPr>
        <w:fldChar w:fldCharType="begin"/>
      </w:r>
      <w:r w:rsidRPr="00FE42FF">
        <w:rPr>
          <w:b w:val="0"/>
          <w:noProof/>
          <w:sz w:val="18"/>
        </w:rPr>
        <w:instrText xml:space="preserve"> PAGEREF _Toc160609737 \h </w:instrText>
      </w:r>
      <w:r w:rsidRPr="00FE42FF">
        <w:rPr>
          <w:b w:val="0"/>
          <w:noProof/>
          <w:sz w:val="18"/>
        </w:rPr>
      </w:r>
      <w:r w:rsidRPr="00FE42FF">
        <w:rPr>
          <w:b w:val="0"/>
          <w:noProof/>
          <w:sz w:val="18"/>
        </w:rPr>
        <w:fldChar w:fldCharType="separate"/>
      </w:r>
      <w:r w:rsidRPr="00FE42FF">
        <w:rPr>
          <w:b w:val="0"/>
          <w:noProof/>
          <w:sz w:val="18"/>
        </w:rPr>
        <w:t>34</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8AE—Relevant State and Territory provisions</w:t>
      </w:r>
      <w:r w:rsidRPr="00FE42FF">
        <w:rPr>
          <w:b w:val="0"/>
          <w:noProof/>
          <w:sz w:val="18"/>
        </w:rPr>
        <w:tab/>
      </w:r>
      <w:r w:rsidRPr="00FE42FF">
        <w:rPr>
          <w:b w:val="0"/>
          <w:noProof/>
          <w:sz w:val="18"/>
        </w:rPr>
        <w:fldChar w:fldCharType="begin"/>
      </w:r>
      <w:r w:rsidRPr="00FE42FF">
        <w:rPr>
          <w:b w:val="0"/>
          <w:noProof/>
          <w:sz w:val="18"/>
        </w:rPr>
        <w:instrText xml:space="preserve"> PAGEREF _Toc160609738 \h </w:instrText>
      </w:r>
      <w:r w:rsidRPr="00FE42FF">
        <w:rPr>
          <w:b w:val="0"/>
          <w:noProof/>
          <w:sz w:val="18"/>
        </w:rPr>
      </w:r>
      <w:r w:rsidRPr="00FE42FF">
        <w:rPr>
          <w:b w:val="0"/>
          <w:noProof/>
          <w:sz w:val="18"/>
        </w:rPr>
        <w:fldChar w:fldCharType="separate"/>
      </w:r>
      <w:r w:rsidRPr="00FE42FF">
        <w:rPr>
          <w:b w:val="0"/>
          <w:noProof/>
          <w:sz w:val="18"/>
        </w:rPr>
        <w:t>36</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8C—Modifications of Part 7.5 of the Act—compensation regimes</w:t>
      </w:r>
      <w:r w:rsidRPr="00FE42FF">
        <w:rPr>
          <w:b w:val="0"/>
          <w:noProof/>
          <w:sz w:val="18"/>
        </w:rPr>
        <w:tab/>
      </w:r>
      <w:r w:rsidRPr="00FE42FF">
        <w:rPr>
          <w:b w:val="0"/>
          <w:noProof/>
          <w:sz w:val="18"/>
        </w:rPr>
        <w:fldChar w:fldCharType="begin"/>
      </w:r>
      <w:r w:rsidRPr="00FE42FF">
        <w:rPr>
          <w:b w:val="0"/>
          <w:noProof/>
          <w:sz w:val="18"/>
        </w:rPr>
        <w:instrText xml:space="preserve"> PAGEREF _Toc160609739 \h </w:instrText>
      </w:r>
      <w:r w:rsidRPr="00FE42FF">
        <w:rPr>
          <w:b w:val="0"/>
          <w:noProof/>
          <w:sz w:val="18"/>
        </w:rPr>
      </w:r>
      <w:r w:rsidRPr="00FE42FF">
        <w:rPr>
          <w:b w:val="0"/>
          <w:noProof/>
          <w:sz w:val="18"/>
        </w:rPr>
        <w:fldChar w:fldCharType="separate"/>
      </w:r>
      <w:r w:rsidRPr="00FE42FF">
        <w:rPr>
          <w:b w:val="0"/>
          <w:noProof/>
          <w:sz w:val="18"/>
        </w:rPr>
        <w:t>37</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8D—Tables for reporting portfolio holding information</w:t>
      </w:r>
      <w:r w:rsidRPr="00FE42FF">
        <w:rPr>
          <w:b w:val="0"/>
          <w:noProof/>
          <w:sz w:val="18"/>
        </w:rPr>
        <w:tab/>
      </w:r>
      <w:r w:rsidRPr="00FE42FF">
        <w:rPr>
          <w:b w:val="0"/>
          <w:noProof/>
          <w:sz w:val="18"/>
        </w:rPr>
        <w:fldChar w:fldCharType="begin"/>
      </w:r>
      <w:r w:rsidRPr="00FE42FF">
        <w:rPr>
          <w:b w:val="0"/>
          <w:noProof/>
          <w:sz w:val="18"/>
        </w:rPr>
        <w:instrText xml:space="preserve"> PAGEREF _Toc160609740 \h </w:instrText>
      </w:r>
      <w:r w:rsidRPr="00FE42FF">
        <w:rPr>
          <w:b w:val="0"/>
          <w:noProof/>
          <w:sz w:val="18"/>
        </w:rPr>
      </w:r>
      <w:r w:rsidRPr="00FE42FF">
        <w:rPr>
          <w:b w:val="0"/>
          <w:noProof/>
          <w:sz w:val="18"/>
        </w:rPr>
        <w:fldChar w:fldCharType="separate"/>
      </w:r>
      <w:r w:rsidRPr="00FE42FF">
        <w:rPr>
          <w:b w:val="0"/>
          <w:noProof/>
          <w:sz w:val="18"/>
        </w:rPr>
        <w:t>41</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w:t>
      </w:r>
      <w:r>
        <w:rPr>
          <w:noProof/>
        </w:rPr>
        <w:tab/>
        <w:t>Table 1—Assets</w:t>
      </w:r>
      <w:r w:rsidRPr="00FE42FF">
        <w:rPr>
          <w:noProof/>
        </w:rPr>
        <w:tab/>
      </w:r>
      <w:r w:rsidRPr="00FE42FF">
        <w:rPr>
          <w:noProof/>
        </w:rPr>
        <w:fldChar w:fldCharType="begin"/>
      </w:r>
      <w:r w:rsidRPr="00FE42FF">
        <w:rPr>
          <w:noProof/>
        </w:rPr>
        <w:instrText xml:space="preserve"> PAGEREF _Toc160609741 \h </w:instrText>
      </w:r>
      <w:r w:rsidRPr="00FE42FF">
        <w:rPr>
          <w:noProof/>
        </w:rPr>
      </w:r>
      <w:r w:rsidRPr="00FE42FF">
        <w:rPr>
          <w:noProof/>
        </w:rPr>
        <w:fldChar w:fldCharType="separate"/>
      </w:r>
      <w:r w:rsidRPr="00FE42FF">
        <w:rPr>
          <w:noProof/>
        </w:rPr>
        <w:t>41</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w:t>
      </w:r>
      <w:r>
        <w:rPr>
          <w:noProof/>
        </w:rPr>
        <w:tab/>
        <w:t>Table 2—Derivatives by kind of derivative</w:t>
      </w:r>
      <w:r w:rsidRPr="00FE42FF">
        <w:rPr>
          <w:noProof/>
        </w:rPr>
        <w:tab/>
      </w:r>
      <w:r w:rsidRPr="00FE42FF">
        <w:rPr>
          <w:noProof/>
        </w:rPr>
        <w:fldChar w:fldCharType="begin"/>
      </w:r>
      <w:r w:rsidRPr="00FE42FF">
        <w:rPr>
          <w:noProof/>
        </w:rPr>
        <w:instrText xml:space="preserve"> PAGEREF _Toc160609742 \h </w:instrText>
      </w:r>
      <w:r w:rsidRPr="00FE42FF">
        <w:rPr>
          <w:noProof/>
        </w:rPr>
      </w:r>
      <w:r w:rsidRPr="00FE42FF">
        <w:rPr>
          <w:noProof/>
        </w:rPr>
        <w:fldChar w:fldCharType="separate"/>
      </w:r>
      <w:r w:rsidRPr="00FE42FF">
        <w:rPr>
          <w:noProof/>
        </w:rPr>
        <w:t>44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3</w:t>
      </w:r>
      <w:r>
        <w:rPr>
          <w:noProof/>
        </w:rPr>
        <w:tab/>
        <w:t>Table 3—Derivatives by asset class</w:t>
      </w:r>
      <w:r w:rsidRPr="00FE42FF">
        <w:rPr>
          <w:noProof/>
        </w:rPr>
        <w:tab/>
      </w:r>
      <w:r w:rsidRPr="00FE42FF">
        <w:rPr>
          <w:noProof/>
        </w:rPr>
        <w:fldChar w:fldCharType="begin"/>
      </w:r>
      <w:r w:rsidRPr="00FE42FF">
        <w:rPr>
          <w:noProof/>
        </w:rPr>
        <w:instrText xml:space="preserve"> PAGEREF _Toc160609743 \h </w:instrText>
      </w:r>
      <w:r w:rsidRPr="00FE42FF">
        <w:rPr>
          <w:noProof/>
        </w:rPr>
      </w:r>
      <w:r w:rsidRPr="00FE42FF">
        <w:rPr>
          <w:noProof/>
        </w:rPr>
        <w:fldChar w:fldCharType="separate"/>
      </w:r>
      <w:r w:rsidRPr="00FE42FF">
        <w:rPr>
          <w:noProof/>
        </w:rPr>
        <w:t>44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4</w:t>
      </w:r>
      <w:r>
        <w:rPr>
          <w:noProof/>
        </w:rPr>
        <w:tab/>
        <w:t>Table 4—Derivatives by currency</w:t>
      </w:r>
      <w:r w:rsidRPr="00FE42FF">
        <w:rPr>
          <w:noProof/>
        </w:rPr>
        <w:tab/>
      </w:r>
      <w:r w:rsidRPr="00FE42FF">
        <w:rPr>
          <w:noProof/>
        </w:rPr>
        <w:fldChar w:fldCharType="begin"/>
      </w:r>
      <w:r w:rsidRPr="00FE42FF">
        <w:rPr>
          <w:noProof/>
        </w:rPr>
        <w:instrText xml:space="preserve"> PAGEREF _Toc160609744 \h </w:instrText>
      </w:r>
      <w:r w:rsidRPr="00FE42FF">
        <w:rPr>
          <w:noProof/>
        </w:rPr>
      </w:r>
      <w:r w:rsidRPr="00FE42FF">
        <w:rPr>
          <w:noProof/>
        </w:rPr>
        <w:fldChar w:fldCharType="separate"/>
      </w:r>
      <w:r w:rsidRPr="00FE42FF">
        <w:rPr>
          <w:noProof/>
        </w:rPr>
        <w:t>44</w:t>
      </w:r>
      <w:r w:rsidRPr="00FE42FF">
        <w:rPr>
          <w:noProof/>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9—Companies authorised to effect transfers under Part 7.11 of the Act</w:t>
      </w:r>
      <w:r w:rsidRPr="00FE42FF">
        <w:rPr>
          <w:b w:val="0"/>
          <w:noProof/>
          <w:sz w:val="18"/>
        </w:rPr>
        <w:tab/>
      </w:r>
      <w:r w:rsidRPr="00FE42FF">
        <w:rPr>
          <w:b w:val="0"/>
          <w:noProof/>
          <w:sz w:val="18"/>
        </w:rPr>
        <w:fldChar w:fldCharType="begin"/>
      </w:r>
      <w:r w:rsidRPr="00FE42FF">
        <w:rPr>
          <w:b w:val="0"/>
          <w:noProof/>
          <w:sz w:val="18"/>
        </w:rPr>
        <w:instrText xml:space="preserve"> PAGEREF _Toc160609745 \h </w:instrText>
      </w:r>
      <w:r w:rsidRPr="00FE42FF">
        <w:rPr>
          <w:b w:val="0"/>
          <w:noProof/>
          <w:sz w:val="18"/>
        </w:rPr>
      </w:r>
      <w:r w:rsidRPr="00FE42FF">
        <w:rPr>
          <w:b w:val="0"/>
          <w:noProof/>
          <w:sz w:val="18"/>
        </w:rPr>
        <w:fldChar w:fldCharType="separate"/>
      </w:r>
      <w:r w:rsidRPr="00FE42FF">
        <w:rPr>
          <w:b w:val="0"/>
          <w:noProof/>
          <w:sz w:val="18"/>
        </w:rPr>
        <w:t>45</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10—Disclosure of fees and other costs</w:t>
      </w:r>
      <w:r w:rsidRPr="00FE42FF">
        <w:rPr>
          <w:b w:val="0"/>
          <w:noProof/>
          <w:sz w:val="18"/>
        </w:rPr>
        <w:tab/>
      </w:r>
      <w:r w:rsidRPr="00FE42FF">
        <w:rPr>
          <w:b w:val="0"/>
          <w:noProof/>
          <w:sz w:val="18"/>
        </w:rPr>
        <w:fldChar w:fldCharType="begin"/>
      </w:r>
      <w:r w:rsidRPr="00FE42FF">
        <w:rPr>
          <w:b w:val="0"/>
          <w:noProof/>
          <w:sz w:val="18"/>
        </w:rPr>
        <w:instrText xml:space="preserve"> PAGEREF _Toc160609746 \h </w:instrText>
      </w:r>
      <w:r w:rsidRPr="00FE42FF">
        <w:rPr>
          <w:b w:val="0"/>
          <w:noProof/>
          <w:sz w:val="18"/>
        </w:rPr>
      </w:r>
      <w:r w:rsidRPr="00FE42FF">
        <w:rPr>
          <w:b w:val="0"/>
          <w:noProof/>
          <w:sz w:val="18"/>
        </w:rPr>
        <w:fldChar w:fldCharType="separate"/>
      </w:r>
      <w:r w:rsidRPr="00FE42FF">
        <w:rPr>
          <w:b w:val="0"/>
          <w:noProof/>
          <w:sz w:val="18"/>
        </w:rPr>
        <w:t>46</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1—Interpretation</w:t>
      </w:r>
      <w:r w:rsidRPr="00FE42FF">
        <w:rPr>
          <w:b w:val="0"/>
          <w:noProof/>
          <w:sz w:val="18"/>
        </w:rPr>
        <w:tab/>
      </w:r>
      <w:r w:rsidRPr="00FE42FF">
        <w:rPr>
          <w:b w:val="0"/>
          <w:noProof/>
          <w:sz w:val="18"/>
        </w:rPr>
        <w:fldChar w:fldCharType="begin"/>
      </w:r>
      <w:r w:rsidRPr="00FE42FF">
        <w:rPr>
          <w:b w:val="0"/>
          <w:noProof/>
          <w:sz w:val="18"/>
        </w:rPr>
        <w:instrText xml:space="preserve"> PAGEREF _Toc160609747 \h </w:instrText>
      </w:r>
      <w:r w:rsidRPr="00FE42FF">
        <w:rPr>
          <w:b w:val="0"/>
          <w:noProof/>
          <w:sz w:val="18"/>
        </w:rPr>
      </w:r>
      <w:r w:rsidRPr="00FE42FF">
        <w:rPr>
          <w:b w:val="0"/>
          <w:noProof/>
          <w:sz w:val="18"/>
        </w:rPr>
        <w:fldChar w:fldCharType="separate"/>
      </w:r>
      <w:r w:rsidRPr="00FE42FF">
        <w:rPr>
          <w:b w:val="0"/>
          <w:noProof/>
          <w:sz w:val="18"/>
        </w:rPr>
        <w:t>46</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101</w:t>
      </w:r>
      <w:r>
        <w:rPr>
          <w:noProof/>
        </w:rPr>
        <w:tab/>
        <w:t>Definitions</w:t>
      </w:r>
      <w:r w:rsidRPr="00FE42FF">
        <w:rPr>
          <w:noProof/>
        </w:rPr>
        <w:tab/>
      </w:r>
      <w:r w:rsidRPr="00FE42FF">
        <w:rPr>
          <w:noProof/>
        </w:rPr>
        <w:fldChar w:fldCharType="begin"/>
      </w:r>
      <w:r w:rsidRPr="00FE42FF">
        <w:rPr>
          <w:noProof/>
        </w:rPr>
        <w:instrText xml:space="preserve"> PAGEREF _Toc160609748 \h </w:instrText>
      </w:r>
      <w:r w:rsidRPr="00FE42FF">
        <w:rPr>
          <w:noProof/>
        </w:rPr>
      </w:r>
      <w:r w:rsidRPr="00FE42FF">
        <w:rPr>
          <w:noProof/>
        </w:rPr>
        <w:fldChar w:fldCharType="separate"/>
      </w:r>
      <w:r w:rsidRPr="00FE42FF">
        <w:rPr>
          <w:noProof/>
        </w:rPr>
        <w:t>46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102</w:t>
      </w:r>
      <w:r>
        <w:rPr>
          <w:noProof/>
        </w:rPr>
        <w:tab/>
        <w:t xml:space="preserve">Meaning of </w:t>
      </w:r>
      <w:r w:rsidRPr="007C3FFD">
        <w:rPr>
          <w:i/>
          <w:noProof/>
        </w:rPr>
        <w:t>management costs</w:t>
      </w:r>
      <w:r w:rsidRPr="00FE42FF">
        <w:rPr>
          <w:noProof/>
        </w:rPr>
        <w:tab/>
      </w:r>
      <w:r w:rsidRPr="00FE42FF">
        <w:rPr>
          <w:noProof/>
        </w:rPr>
        <w:fldChar w:fldCharType="begin"/>
      </w:r>
      <w:r w:rsidRPr="00FE42FF">
        <w:rPr>
          <w:noProof/>
        </w:rPr>
        <w:instrText xml:space="preserve"> PAGEREF _Toc160609749 \h </w:instrText>
      </w:r>
      <w:r w:rsidRPr="00FE42FF">
        <w:rPr>
          <w:noProof/>
        </w:rPr>
      </w:r>
      <w:r w:rsidRPr="00FE42FF">
        <w:rPr>
          <w:noProof/>
        </w:rPr>
        <w:fldChar w:fldCharType="separate"/>
      </w:r>
      <w:r w:rsidRPr="00FE42FF">
        <w:rPr>
          <w:noProof/>
        </w:rPr>
        <w:t>48</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103</w:t>
      </w:r>
      <w:r>
        <w:rPr>
          <w:noProof/>
        </w:rPr>
        <w:tab/>
        <w:t xml:space="preserve">Meaning of </w:t>
      </w:r>
      <w:r w:rsidRPr="007C3FFD">
        <w:rPr>
          <w:i/>
          <w:noProof/>
        </w:rPr>
        <w:t>transactional and operational costs</w:t>
      </w:r>
      <w:r w:rsidRPr="00FE42FF">
        <w:rPr>
          <w:noProof/>
        </w:rPr>
        <w:tab/>
      </w:r>
      <w:r w:rsidRPr="00FE42FF">
        <w:rPr>
          <w:noProof/>
        </w:rPr>
        <w:fldChar w:fldCharType="begin"/>
      </w:r>
      <w:r w:rsidRPr="00FE42FF">
        <w:rPr>
          <w:noProof/>
        </w:rPr>
        <w:instrText xml:space="preserve"> PAGEREF _Toc160609750 \h </w:instrText>
      </w:r>
      <w:r w:rsidRPr="00FE42FF">
        <w:rPr>
          <w:noProof/>
        </w:rPr>
      </w:r>
      <w:r w:rsidRPr="00FE42FF">
        <w:rPr>
          <w:noProof/>
        </w:rPr>
        <w:fldChar w:fldCharType="separate"/>
      </w:r>
      <w:r w:rsidRPr="00FE42FF">
        <w:rPr>
          <w:noProof/>
        </w:rPr>
        <w:t>49</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104</w:t>
      </w:r>
      <w:r>
        <w:rPr>
          <w:noProof/>
        </w:rPr>
        <w:tab/>
        <w:t xml:space="preserve">Meaning of </w:t>
      </w:r>
      <w:r w:rsidRPr="007C3FFD">
        <w:rPr>
          <w:i/>
          <w:noProof/>
        </w:rPr>
        <w:t>indirect cost ratio (ICR)</w:t>
      </w:r>
      <w:r w:rsidRPr="00FE42FF">
        <w:rPr>
          <w:noProof/>
        </w:rPr>
        <w:tab/>
      </w:r>
      <w:r w:rsidRPr="00FE42FF">
        <w:rPr>
          <w:noProof/>
        </w:rPr>
        <w:fldChar w:fldCharType="begin"/>
      </w:r>
      <w:r w:rsidRPr="00FE42FF">
        <w:rPr>
          <w:noProof/>
        </w:rPr>
        <w:instrText xml:space="preserve"> PAGEREF _Toc160609751 \h </w:instrText>
      </w:r>
      <w:r w:rsidRPr="00FE42FF">
        <w:rPr>
          <w:noProof/>
        </w:rPr>
      </w:r>
      <w:r w:rsidRPr="00FE42FF">
        <w:rPr>
          <w:noProof/>
        </w:rPr>
        <w:fldChar w:fldCharType="separate"/>
      </w:r>
      <w:r w:rsidRPr="00FE42FF">
        <w:rPr>
          <w:noProof/>
        </w:rPr>
        <w:t>49</w:t>
      </w:r>
      <w:r w:rsidRPr="00FE42FF">
        <w:rPr>
          <w:noProof/>
        </w:rPr>
        <w:fldChar w:fldCharType="end"/>
      </w:r>
    </w:p>
    <w:p w:rsidR="00FE42FF" w:rsidRDefault="00FE42FF" w:rsidP="00B96795">
      <w:pPr>
        <w:pStyle w:val="TOC2"/>
        <w:keepLines w:val="0"/>
        <w:rPr>
          <w:rFonts w:asciiTheme="minorHAnsi" w:eastAsiaTheme="minorEastAsia" w:hAnsiTheme="minorHAnsi" w:cstheme="minorBidi"/>
          <w:b w:val="0"/>
          <w:noProof/>
          <w:kern w:val="0"/>
          <w:sz w:val="22"/>
          <w:szCs w:val="22"/>
        </w:rPr>
      </w:pPr>
      <w:r>
        <w:rPr>
          <w:noProof/>
        </w:rPr>
        <w:t>Part 2—Fees and Costs Template, example of annual fees and costs and Consumer Advisory Warning for Product Disclosure Statements</w:t>
      </w:r>
      <w:r w:rsidRPr="00FE42FF">
        <w:rPr>
          <w:b w:val="0"/>
          <w:noProof/>
          <w:sz w:val="18"/>
        </w:rPr>
        <w:tab/>
      </w:r>
      <w:r w:rsidRPr="00FE42FF">
        <w:rPr>
          <w:b w:val="0"/>
          <w:noProof/>
          <w:sz w:val="18"/>
        </w:rPr>
        <w:fldChar w:fldCharType="begin"/>
      </w:r>
      <w:r w:rsidRPr="00FE42FF">
        <w:rPr>
          <w:b w:val="0"/>
          <w:noProof/>
          <w:sz w:val="18"/>
        </w:rPr>
        <w:instrText xml:space="preserve"> PAGEREF _Toc160609752 \h </w:instrText>
      </w:r>
      <w:r w:rsidRPr="00FE42FF">
        <w:rPr>
          <w:b w:val="0"/>
          <w:noProof/>
          <w:sz w:val="18"/>
        </w:rPr>
      </w:r>
      <w:r w:rsidRPr="00FE42FF">
        <w:rPr>
          <w:b w:val="0"/>
          <w:noProof/>
          <w:sz w:val="18"/>
        </w:rPr>
        <w:fldChar w:fldCharType="separate"/>
      </w:r>
      <w:r w:rsidRPr="00FE42FF">
        <w:rPr>
          <w:b w:val="0"/>
          <w:noProof/>
          <w:sz w:val="18"/>
        </w:rPr>
        <w:t>51</w:t>
      </w:r>
      <w:r w:rsidRPr="00FE42FF">
        <w:rPr>
          <w:b w:val="0"/>
          <w:noProof/>
          <w:sz w:val="18"/>
        </w:rPr>
        <w:fldChar w:fldCharType="end"/>
      </w:r>
    </w:p>
    <w:p w:rsidR="00FE42FF" w:rsidRDefault="00FE42FF" w:rsidP="00B96795">
      <w:pPr>
        <w:pStyle w:val="TOC3"/>
        <w:keepLines w:val="0"/>
        <w:rPr>
          <w:rFonts w:asciiTheme="minorHAnsi" w:eastAsiaTheme="minorEastAsia" w:hAnsiTheme="minorHAnsi" w:cstheme="minorBidi"/>
          <w:b w:val="0"/>
          <w:noProof/>
          <w:kern w:val="0"/>
          <w:szCs w:val="22"/>
        </w:rPr>
      </w:pPr>
      <w:r>
        <w:rPr>
          <w:noProof/>
        </w:rPr>
        <w:t>Division 1—The fees and costs template for superannuation products</w:t>
      </w:r>
      <w:r w:rsidRPr="00FE42FF">
        <w:rPr>
          <w:b w:val="0"/>
          <w:noProof/>
          <w:sz w:val="18"/>
        </w:rPr>
        <w:tab/>
      </w:r>
      <w:r w:rsidRPr="00FE42FF">
        <w:rPr>
          <w:b w:val="0"/>
          <w:noProof/>
          <w:sz w:val="18"/>
        </w:rPr>
        <w:fldChar w:fldCharType="begin"/>
      </w:r>
      <w:r w:rsidRPr="00FE42FF">
        <w:rPr>
          <w:b w:val="0"/>
          <w:noProof/>
          <w:sz w:val="18"/>
        </w:rPr>
        <w:instrText xml:space="preserve"> PAGEREF _Toc160609753 \h </w:instrText>
      </w:r>
      <w:r w:rsidRPr="00FE42FF">
        <w:rPr>
          <w:b w:val="0"/>
          <w:noProof/>
          <w:sz w:val="18"/>
        </w:rPr>
      </w:r>
      <w:r w:rsidRPr="00FE42FF">
        <w:rPr>
          <w:b w:val="0"/>
          <w:noProof/>
          <w:sz w:val="18"/>
        </w:rPr>
        <w:fldChar w:fldCharType="separate"/>
      </w:r>
      <w:r w:rsidRPr="00FE42FF">
        <w:rPr>
          <w:b w:val="0"/>
          <w:noProof/>
          <w:sz w:val="18"/>
        </w:rPr>
        <w:t>51</w:t>
      </w:r>
      <w:r w:rsidRPr="00FE42FF">
        <w:rPr>
          <w:b w:val="0"/>
          <w:noProof/>
          <w:sz w:val="18"/>
        </w:rPr>
        <w:fldChar w:fldCharType="end"/>
      </w:r>
    </w:p>
    <w:p w:rsidR="00FE42FF" w:rsidRDefault="00FE42FF" w:rsidP="00B96795">
      <w:pPr>
        <w:pStyle w:val="TOC5"/>
        <w:keepLines w:val="0"/>
        <w:rPr>
          <w:rFonts w:asciiTheme="minorHAnsi" w:eastAsiaTheme="minorEastAsia" w:hAnsiTheme="minorHAnsi" w:cstheme="minorBidi"/>
          <w:noProof/>
          <w:kern w:val="0"/>
          <w:sz w:val="22"/>
          <w:szCs w:val="22"/>
        </w:rPr>
      </w:pPr>
      <w:r>
        <w:rPr>
          <w:noProof/>
        </w:rPr>
        <w:t>201</w:t>
      </w:r>
      <w:r>
        <w:rPr>
          <w:noProof/>
        </w:rPr>
        <w:tab/>
        <w:t>Template for superannuation products</w:t>
      </w:r>
      <w:r w:rsidRPr="00FE42FF">
        <w:rPr>
          <w:noProof/>
        </w:rPr>
        <w:tab/>
      </w:r>
      <w:r w:rsidRPr="00FE42FF">
        <w:rPr>
          <w:noProof/>
        </w:rPr>
        <w:fldChar w:fldCharType="begin"/>
      </w:r>
      <w:r w:rsidRPr="00FE42FF">
        <w:rPr>
          <w:noProof/>
        </w:rPr>
        <w:instrText xml:space="preserve"> PAGEREF _Toc160609754 \h </w:instrText>
      </w:r>
      <w:r w:rsidRPr="00FE42FF">
        <w:rPr>
          <w:noProof/>
        </w:rPr>
      </w:r>
      <w:r w:rsidRPr="00FE42FF">
        <w:rPr>
          <w:noProof/>
        </w:rPr>
        <w:fldChar w:fldCharType="separate"/>
      </w:r>
      <w:r w:rsidRPr="00FE42FF">
        <w:rPr>
          <w:noProof/>
        </w:rPr>
        <w:t>51</w:t>
      </w:r>
      <w:r w:rsidRPr="00FE42FF">
        <w:rPr>
          <w:noProof/>
        </w:rPr>
        <w:fldChar w:fldCharType="end"/>
      </w:r>
    </w:p>
    <w:p w:rsidR="00FE42FF" w:rsidRDefault="00FE42FF">
      <w:pPr>
        <w:pStyle w:val="TOC3"/>
        <w:rPr>
          <w:rFonts w:asciiTheme="minorHAnsi" w:eastAsiaTheme="minorEastAsia" w:hAnsiTheme="minorHAnsi" w:cstheme="minorBidi"/>
          <w:b w:val="0"/>
          <w:noProof/>
          <w:kern w:val="0"/>
          <w:szCs w:val="22"/>
        </w:rPr>
      </w:pPr>
      <w:r>
        <w:rPr>
          <w:noProof/>
        </w:rPr>
        <w:t>Division 2—The fees and costs template for collective investment products</w:t>
      </w:r>
      <w:r w:rsidRPr="00FE42FF">
        <w:rPr>
          <w:b w:val="0"/>
          <w:noProof/>
          <w:sz w:val="18"/>
        </w:rPr>
        <w:tab/>
      </w:r>
      <w:r w:rsidRPr="00FE42FF">
        <w:rPr>
          <w:b w:val="0"/>
          <w:noProof/>
          <w:sz w:val="18"/>
        </w:rPr>
        <w:fldChar w:fldCharType="begin"/>
      </w:r>
      <w:r w:rsidRPr="00FE42FF">
        <w:rPr>
          <w:b w:val="0"/>
          <w:noProof/>
          <w:sz w:val="18"/>
        </w:rPr>
        <w:instrText xml:space="preserve"> PAGEREF _Toc160609755 \h </w:instrText>
      </w:r>
      <w:r w:rsidRPr="00FE42FF">
        <w:rPr>
          <w:b w:val="0"/>
          <w:noProof/>
          <w:sz w:val="18"/>
        </w:rPr>
      </w:r>
      <w:r w:rsidRPr="00FE42FF">
        <w:rPr>
          <w:b w:val="0"/>
          <w:noProof/>
          <w:sz w:val="18"/>
        </w:rPr>
        <w:fldChar w:fldCharType="separate"/>
      </w:r>
      <w:r w:rsidRPr="00FE42FF">
        <w:rPr>
          <w:b w:val="0"/>
          <w:noProof/>
          <w:sz w:val="18"/>
        </w:rPr>
        <w:t>53</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202</w:t>
      </w:r>
      <w:r>
        <w:rPr>
          <w:noProof/>
        </w:rPr>
        <w:tab/>
        <w:t>Template for a multiple fee structure—collective investment products</w:t>
      </w:r>
      <w:r w:rsidRPr="00FE42FF">
        <w:rPr>
          <w:noProof/>
        </w:rPr>
        <w:tab/>
      </w:r>
      <w:r w:rsidRPr="00FE42FF">
        <w:rPr>
          <w:noProof/>
        </w:rPr>
        <w:fldChar w:fldCharType="begin"/>
      </w:r>
      <w:r w:rsidRPr="00FE42FF">
        <w:rPr>
          <w:noProof/>
        </w:rPr>
        <w:instrText xml:space="preserve"> PAGEREF _Toc160609756 \h </w:instrText>
      </w:r>
      <w:r w:rsidRPr="00FE42FF">
        <w:rPr>
          <w:noProof/>
        </w:rPr>
      </w:r>
      <w:r w:rsidRPr="00FE42FF">
        <w:rPr>
          <w:noProof/>
        </w:rPr>
        <w:fldChar w:fldCharType="separate"/>
      </w:r>
      <w:r w:rsidRPr="00FE42FF">
        <w:rPr>
          <w:noProof/>
        </w:rPr>
        <w:t>53</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202A</w:t>
      </w:r>
      <w:r>
        <w:rPr>
          <w:noProof/>
        </w:rPr>
        <w:tab/>
        <w:t>Template for single fee structure—collective investment products</w:t>
      </w:r>
      <w:r w:rsidRPr="00FE42FF">
        <w:rPr>
          <w:noProof/>
        </w:rPr>
        <w:tab/>
      </w:r>
      <w:r w:rsidRPr="00FE42FF">
        <w:rPr>
          <w:noProof/>
        </w:rPr>
        <w:fldChar w:fldCharType="begin"/>
      </w:r>
      <w:r w:rsidRPr="00FE42FF">
        <w:rPr>
          <w:noProof/>
        </w:rPr>
        <w:instrText xml:space="preserve"> PAGEREF _Toc160609757 \h </w:instrText>
      </w:r>
      <w:r w:rsidRPr="00FE42FF">
        <w:rPr>
          <w:noProof/>
        </w:rPr>
      </w:r>
      <w:r w:rsidRPr="00FE42FF">
        <w:rPr>
          <w:noProof/>
        </w:rPr>
        <w:fldChar w:fldCharType="separate"/>
      </w:r>
      <w:r w:rsidRPr="00FE42FF">
        <w:rPr>
          <w:noProof/>
        </w:rPr>
        <w:t>54</w:t>
      </w:r>
      <w:r w:rsidRPr="00FE42FF">
        <w:rPr>
          <w:noProof/>
        </w:rPr>
        <w:fldChar w:fldCharType="end"/>
      </w:r>
    </w:p>
    <w:p w:rsidR="00FE42FF" w:rsidRDefault="00FE42FF">
      <w:pPr>
        <w:pStyle w:val="TOC3"/>
        <w:rPr>
          <w:rFonts w:asciiTheme="minorHAnsi" w:eastAsiaTheme="minorEastAsia" w:hAnsiTheme="minorHAnsi" w:cstheme="minorBidi"/>
          <w:b w:val="0"/>
          <w:noProof/>
          <w:kern w:val="0"/>
          <w:szCs w:val="22"/>
        </w:rPr>
      </w:pPr>
      <w:r>
        <w:rPr>
          <w:noProof/>
        </w:rPr>
        <w:t>Division 3—How to fill in the template</w:t>
      </w:r>
      <w:r w:rsidRPr="00FE42FF">
        <w:rPr>
          <w:b w:val="0"/>
          <w:noProof/>
          <w:sz w:val="18"/>
        </w:rPr>
        <w:tab/>
      </w:r>
      <w:r w:rsidRPr="00FE42FF">
        <w:rPr>
          <w:b w:val="0"/>
          <w:noProof/>
          <w:sz w:val="18"/>
        </w:rPr>
        <w:fldChar w:fldCharType="begin"/>
      </w:r>
      <w:r w:rsidRPr="00FE42FF">
        <w:rPr>
          <w:b w:val="0"/>
          <w:noProof/>
          <w:sz w:val="18"/>
        </w:rPr>
        <w:instrText xml:space="preserve"> PAGEREF _Toc160609758 \h </w:instrText>
      </w:r>
      <w:r w:rsidRPr="00FE42FF">
        <w:rPr>
          <w:b w:val="0"/>
          <w:noProof/>
          <w:sz w:val="18"/>
        </w:rPr>
      </w:r>
      <w:r w:rsidRPr="00FE42FF">
        <w:rPr>
          <w:b w:val="0"/>
          <w:noProof/>
          <w:sz w:val="18"/>
        </w:rPr>
        <w:fldChar w:fldCharType="separate"/>
      </w:r>
      <w:r w:rsidRPr="00FE42FF">
        <w:rPr>
          <w:b w:val="0"/>
          <w:noProof/>
          <w:sz w:val="18"/>
        </w:rPr>
        <w:t>56</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203</w:t>
      </w:r>
      <w:r>
        <w:rPr>
          <w:noProof/>
        </w:rPr>
        <w:tab/>
        <w:t>The preamble</w:t>
      </w:r>
      <w:r w:rsidRPr="00FE42FF">
        <w:rPr>
          <w:noProof/>
        </w:rPr>
        <w:tab/>
      </w:r>
      <w:r w:rsidRPr="00FE42FF">
        <w:rPr>
          <w:noProof/>
        </w:rPr>
        <w:fldChar w:fldCharType="begin"/>
      </w:r>
      <w:r w:rsidRPr="00FE42FF">
        <w:rPr>
          <w:noProof/>
        </w:rPr>
        <w:instrText xml:space="preserve"> PAGEREF _Toc160609759 \h </w:instrText>
      </w:r>
      <w:r w:rsidRPr="00FE42FF">
        <w:rPr>
          <w:noProof/>
        </w:rPr>
      </w:r>
      <w:r w:rsidRPr="00FE42FF">
        <w:rPr>
          <w:noProof/>
        </w:rPr>
        <w:fldChar w:fldCharType="separate"/>
      </w:r>
      <w:r w:rsidRPr="00FE42FF">
        <w:rPr>
          <w:noProof/>
        </w:rPr>
        <w:t>56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204</w:t>
      </w:r>
      <w:r>
        <w:rPr>
          <w:noProof/>
        </w:rPr>
        <w:tab/>
        <w:t>Column 2—presentation of amounts</w:t>
      </w:r>
      <w:r w:rsidRPr="00FE42FF">
        <w:rPr>
          <w:noProof/>
        </w:rPr>
        <w:tab/>
      </w:r>
      <w:r w:rsidRPr="00FE42FF">
        <w:rPr>
          <w:noProof/>
        </w:rPr>
        <w:fldChar w:fldCharType="begin"/>
      </w:r>
      <w:r w:rsidRPr="00FE42FF">
        <w:rPr>
          <w:noProof/>
        </w:rPr>
        <w:instrText xml:space="preserve"> PAGEREF _Toc160609760 \h </w:instrText>
      </w:r>
      <w:r w:rsidRPr="00FE42FF">
        <w:rPr>
          <w:noProof/>
        </w:rPr>
      </w:r>
      <w:r w:rsidRPr="00FE42FF">
        <w:rPr>
          <w:noProof/>
        </w:rPr>
        <w:fldChar w:fldCharType="separate"/>
      </w:r>
      <w:r w:rsidRPr="00FE42FF">
        <w:rPr>
          <w:noProof/>
        </w:rPr>
        <w:t>56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205</w:t>
      </w:r>
      <w:r>
        <w:rPr>
          <w:noProof/>
        </w:rPr>
        <w:tab/>
        <w:t>Column 2—include information for each MySuper product or investment option</w:t>
      </w:r>
      <w:r w:rsidRPr="00FE42FF">
        <w:rPr>
          <w:noProof/>
        </w:rPr>
        <w:tab/>
      </w:r>
      <w:r w:rsidRPr="00FE42FF">
        <w:rPr>
          <w:noProof/>
        </w:rPr>
        <w:fldChar w:fldCharType="begin"/>
      </w:r>
      <w:r w:rsidRPr="00FE42FF">
        <w:rPr>
          <w:noProof/>
        </w:rPr>
        <w:instrText xml:space="preserve"> PAGEREF _Toc160609761 \h </w:instrText>
      </w:r>
      <w:r w:rsidRPr="00FE42FF">
        <w:rPr>
          <w:noProof/>
        </w:rPr>
      </w:r>
      <w:r w:rsidRPr="00FE42FF">
        <w:rPr>
          <w:noProof/>
        </w:rPr>
        <w:fldChar w:fldCharType="separate"/>
      </w:r>
      <w:r w:rsidRPr="00FE42FF">
        <w:rPr>
          <w:noProof/>
        </w:rPr>
        <w:t>56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206</w:t>
      </w:r>
      <w:r>
        <w:rPr>
          <w:noProof/>
        </w:rPr>
        <w:tab/>
        <w:t>Presentation of multiple fee payment options</w:t>
      </w:r>
      <w:r w:rsidRPr="00FE42FF">
        <w:rPr>
          <w:noProof/>
        </w:rPr>
        <w:tab/>
      </w:r>
      <w:r w:rsidRPr="00FE42FF">
        <w:rPr>
          <w:noProof/>
        </w:rPr>
        <w:fldChar w:fldCharType="begin"/>
      </w:r>
      <w:r w:rsidRPr="00FE42FF">
        <w:rPr>
          <w:noProof/>
        </w:rPr>
        <w:instrText xml:space="preserve"> PAGEREF _Toc160609762 \h </w:instrText>
      </w:r>
      <w:r w:rsidRPr="00FE42FF">
        <w:rPr>
          <w:noProof/>
        </w:rPr>
      </w:r>
      <w:r w:rsidRPr="00FE42FF">
        <w:rPr>
          <w:noProof/>
        </w:rPr>
        <w:fldChar w:fldCharType="separate"/>
      </w:r>
      <w:r w:rsidRPr="00FE42FF">
        <w:rPr>
          <w:noProof/>
        </w:rPr>
        <w:t>57</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207</w:t>
      </w:r>
      <w:r>
        <w:rPr>
          <w:noProof/>
        </w:rPr>
        <w:tab/>
        <w:t>Column 3—how and when fees and costs are payable</w:t>
      </w:r>
      <w:r w:rsidRPr="00FE42FF">
        <w:rPr>
          <w:noProof/>
        </w:rPr>
        <w:tab/>
      </w:r>
      <w:r w:rsidRPr="00FE42FF">
        <w:rPr>
          <w:noProof/>
        </w:rPr>
        <w:fldChar w:fldCharType="begin"/>
      </w:r>
      <w:r w:rsidRPr="00FE42FF">
        <w:rPr>
          <w:noProof/>
        </w:rPr>
        <w:instrText xml:space="preserve"> PAGEREF _Toc160609763 \h </w:instrText>
      </w:r>
      <w:r w:rsidRPr="00FE42FF">
        <w:rPr>
          <w:noProof/>
        </w:rPr>
      </w:r>
      <w:r w:rsidRPr="00FE42FF">
        <w:rPr>
          <w:noProof/>
        </w:rPr>
        <w:fldChar w:fldCharType="separate"/>
      </w:r>
      <w:r w:rsidRPr="00FE42FF">
        <w:rPr>
          <w:noProof/>
        </w:rPr>
        <w:t>57</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208</w:t>
      </w:r>
      <w:r>
        <w:rPr>
          <w:noProof/>
        </w:rPr>
        <w:tab/>
        <w:t>Other material to be included in the template</w:t>
      </w:r>
      <w:r w:rsidRPr="00FE42FF">
        <w:rPr>
          <w:noProof/>
        </w:rPr>
        <w:tab/>
      </w:r>
      <w:r w:rsidRPr="00FE42FF">
        <w:rPr>
          <w:noProof/>
        </w:rPr>
        <w:fldChar w:fldCharType="begin"/>
      </w:r>
      <w:r w:rsidRPr="00FE42FF">
        <w:rPr>
          <w:noProof/>
        </w:rPr>
        <w:instrText xml:space="preserve"> PAGEREF _Toc160609764 \h </w:instrText>
      </w:r>
      <w:r w:rsidRPr="00FE42FF">
        <w:rPr>
          <w:noProof/>
        </w:rPr>
      </w:r>
      <w:r w:rsidRPr="00FE42FF">
        <w:rPr>
          <w:noProof/>
        </w:rPr>
        <w:fldChar w:fldCharType="separate"/>
      </w:r>
      <w:r w:rsidRPr="00FE42FF">
        <w:rPr>
          <w:noProof/>
        </w:rPr>
        <w:t>57</w:t>
      </w:r>
      <w:r w:rsidRPr="00FE42FF">
        <w:rPr>
          <w:noProof/>
        </w:rPr>
        <w:fldChar w:fldCharType="end"/>
      </w:r>
    </w:p>
    <w:p w:rsidR="00FE42FF" w:rsidRDefault="00FE42FF">
      <w:pPr>
        <w:pStyle w:val="TOC3"/>
        <w:rPr>
          <w:rFonts w:asciiTheme="minorHAnsi" w:eastAsiaTheme="minorEastAsia" w:hAnsiTheme="minorHAnsi" w:cstheme="minorBidi"/>
          <w:b w:val="0"/>
          <w:noProof/>
          <w:kern w:val="0"/>
          <w:szCs w:val="22"/>
        </w:rPr>
      </w:pPr>
      <w:r>
        <w:rPr>
          <w:noProof/>
        </w:rPr>
        <w:t>Division 4—Additional explanation of fees and costs</w:t>
      </w:r>
      <w:r w:rsidRPr="00FE42FF">
        <w:rPr>
          <w:b w:val="0"/>
          <w:noProof/>
          <w:sz w:val="18"/>
        </w:rPr>
        <w:tab/>
      </w:r>
      <w:r w:rsidRPr="00FE42FF">
        <w:rPr>
          <w:b w:val="0"/>
          <w:noProof/>
          <w:sz w:val="18"/>
        </w:rPr>
        <w:fldChar w:fldCharType="begin"/>
      </w:r>
      <w:r w:rsidRPr="00FE42FF">
        <w:rPr>
          <w:b w:val="0"/>
          <w:noProof/>
          <w:sz w:val="18"/>
        </w:rPr>
        <w:instrText xml:space="preserve"> PAGEREF _Toc160609765 \h </w:instrText>
      </w:r>
      <w:r w:rsidRPr="00FE42FF">
        <w:rPr>
          <w:b w:val="0"/>
          <w:noProof/>
          <w:sz w:val="18"/>
        </w:rPr>
      </w:r>
      <w:r w:rsidRPr="00FE42FF">
        <w:rPr>
          <w:b w:val="0"/>
          <w:noProof/>
          <w:sz w:val="18"/>
        </w:rPr>
        <w:fldChar w:fldCharType="separate"/>
      </w:r>
      <w:r w:rsidRPr="00FE42FF">
        <w:rPr>
          <w:b w:val="0"/>
          <w:noProof/>
          <w:sz w:val="18"/>
        </w:rPr>
        <w:t>58</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209</w:t>
      </w:r>
      <w:r>
        <w:rPr>
          <w:noProof/>
        </w:rPr>
        <w:tab/>
        <w:t>Matters to be included as additional explanation of fees and costs</w:t>
      </w:r>
      <w:r w:rsidRPr="00FE42FF">
        <w:rPr>
          <w:noProof/>
        </w:rPr>
        <w:tab/>
      </w:r>
      <w:r w:rsidRPr="00FE42FF">
        <w:rPr>
          <w:noProof/>
        </w:rPr>
        <w:fldChar w:fldCharType="begin"/>
      </w:r>
      <w:r w:rsidRPr="00FE42FF">
        <w:rPr>
          <w:noProof/>
        </w:rPr>
        <w:instrText xml:space="preserve"> PAGEREF _Toc160609766 \h </w:instrText>
      </w:r>
      <w:r w:rsidRPr="00FE42FF">
        <w:rPr>
          <w:noProof/>
        </w:rPr>
      </w:r>
      <w:r w:rsidRPr="00FE42FF">
        <w:rPr>
          <w:noProof/>
        </w:rPr>
        <w:fldChar w:fldCharType="separate"/>
      </w:r>
      <w:r w:rsidRPr="00FE42FF">
        <w:rPr>
          <w:noProof/>
        </w:rPr>
        <w:t>58</w:t>
      </w:r>
      <w:r w:rsidRPr="00FE42FF">
        <w:rPr>
          <w:noProof/>
        </w:rPr>
        <w:fldChar w:fldCharType="end"/>
      </w:r>
    </w:p>
    <w:p w:rsidR="00FE42FF" w:rsidRDefault="00FE42FF">
      <w:pPr>
        <w:pStyle w:val="TOC3"/>
        <w:rPr>
          <w:rFonts w:asciiTheme="minorHAnsi" w:eastAsiaTheme="minorEastAsia" w:hAnsiTheme="minorHAnsi" w:cstheme="minorBidi"/>
          <w:b w:val="0"/>
          <w:noProof/>
          <w:kern w:val="0"/>
          <w:szCs w:val="22"/>
        </w:rPr>
      </w:pPr>
      <w:r>
        <w:rPr>
          <w:noProof/>
        </w:rPr>
        <w:t>Division 4A—Defined fees for superannuation products</w:t>
      </w:r>
      <w:r w:rsidRPr="00FE42FF">
        <w:rPr>
          <w:b w:val="0"/>
          <w:noProof/>
          <w:sz w:val="18"/>
        </w:rPr>
        <w:tab/>
      </w:r>
      <w:r w:rsidRPr="00FE42FF">
        <w:rPr>
          <w:b w:val="0"/>
          <w:noProof/>
          <w:sz w:val="18"/>
        </w:rPr>
        <w:fldChar w:fldCharType="begin"/>
      </w:r>
      <w:r w:rsidRPr="00FE42FF">
        <w:rPr>
          <w:b w:val="0"/>
          <w:noProof/>
          <w:sz w:val="18"/>
        </w:rPr>
        <w:instrText xml:space="preserve"> PAGEREF _Toc160609767 \h </w:instrText>
      </w:r>
      <w:r w:rsidRPr="00FE42FF">
        <w:rPr>
          <w:b w:val="0"/>
          <w:noProof/>
          <w:sz w:val="18"/>
        </w:rPr>
      </w:r>
      <w:r w:rsidRPr="00FE42FF">
        <w:rPr>
          <w:b w:val="0"/>
          <w:noProof/>
          <w:sz w:val="18"/>
        </w:rPr>
        <w:fldChar w:fldCharType="separate"/>
      </w:r>
      <w:r w:rsidRPr="00FE42FF">
        <w:rPr>
          <w:b w:val="0"/>
          <w:noProof/>
          <w:sz w:val="18"/>
        </w:rPr>
        <w:t>60</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209A</w:t>
      </w:r>
      <w:r>
        <w:rPr>
          <w:noProof/>
        </w:rPr>
        <w:tab/>
        <w:t>Defined fees for superannuation products</w:t>
      </w:r>
      <w:r w:rsidRPr="00FE42FF">
        <w:rPr>
          <w:noProof/>
        </w:rPr>
        <w:tab/>
      </w:r>
      <w:r w:rsidRPr="00FE42FF">
        <w:rPr>
          <w:noProof/>
        </w:rPr>
        <w:fldChar w:fldCharType="begin"/>
      </w:r>
      <w:r w:rsidRPr="00FE42FF">
        <w:rPr>
          <w:noProof/>
        </w:rPr>
        <w:instrText xml:space="preserve"> PAGEREF _Toc160609768 \h </w:instrText>
      </w:r>
      <w:r w:rsidRPr="00FE42FF">
        <w:rPr>
          <w:noProof/>
        </w:rPr>
      </w:r>
      <w:r w:rsidRPr="00FE42FF">
        <w:rPr>
          <w:noProof/>
        </w:rPr>
        <w:fldChar w:fldCharType="separate"/>
      </w:r>
      <w:r w:rsidRPr="00FE42FF">
        <w:rPr>
          <w:noProof/>
        </w:rPr>
        <w:t>60</w:t>
      </w:r>
      <w:r w:rsidRPr="00FE42FF">
        <w:rPr>
          <w:noProof/>
        </w:rPr>
        <w:fldChar w:fldCharType="end"/>
      </w:r>
    </w:p>
    <w:p w:rsidR="00FE42FF" w:rsidRDefault="00FE42FF">
      <w:pPr>
        <w:pStyle w:val="TOC3"/>
        <w:rPr>
          <w:rFonts w:asciiTheme="minorHAnsi" w:eastAsiaTheme="minorEastAsia" w:hAnsiTheme="minorHAnsi" w:cstheme="minorBidi"/>
          <w:b w:val="0"/>
          <w:noProof/>
          <w:kern w:val="0"/>
          <w:szCs w:val="22"/>
        </w:rPr>
      </w:pPr>
      <w:r>
        <w:rPr>
          <w:noProof/>
        </w:rPr>
        <w:t>Division 5—Example of annual fees and costs</w:t>
      </w:r>
      <w:r w:rsidRPr="00FE42FF">
        <w:rPr>
          <w:b w:val="0"/>
          <w:noProof/>
          <w:sz w:val="18"/>
        </w:rPr>
        <w:tab/>
      </w:r>
      <w:r w:rsidRPr="00FE42FF">
        <w:rPr>
          <w:b w:val="0"/>
          <w:noProof/>
          <w:sz w:val="18"/>
        </w:rPr>
        <w:fldChar w:fldCharType="begin"/>
      </w:r>
      <w:r w:rsidRPr="00FE42FF">
        <w:rPr>
          <w:b w:val="0"/>
          <w:noProof/>
          <w:sz w:val="18"/>
        </w:rPr>
        <w:instrText xml:space="preserve"> PAGEREF _Toc160609769 \h </w:instrText>
      </w:r>
      <w:r w:rsidRPr="00FE42FF">
        <w:rPr>
          <w:b w:val="0"/>
          <w:noProof/>
          <w:sz w:val="18"/>
        </w:rPr>
      </w:r>
      <w:r w:rsidRPr="00FE42FF">
        <w:rPr>
          <w:b w:val="0"/>
          <w:noProof/>
          <w:sz w:val="18"/>
        </w:rPr>
        <w:fldChar w:fldCharType="separate"/>
      </w:r>
      <w:r w:rsidRPr="00FE42FF">
        <w:rPr>
          <w:b w:val="0"/>
          <w:noProof/>
          <w:sz w:val="18"/>
        </w:rPr>
        <w:t>62</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210</w:t>
      </w:r>
      <w:r>
        <w:rPr>
          <w:noProof/>
        </w:rPr>
        <w:tab/>
        <w:t>Example of annual fees and costs</w:t>
      </w:r>
      <w:r w:rsidRPr="00FE42FF">
        <w:rPr>
          <w:noProof/>
        </w:rPr>
        <w:tab/>
      </w:r>
      <w:r w:rsidRPr="00FE42FF">
        <w:rPr>
          <w:noProof/>
        </w:rPr>
        <w:fldChar w:fldCharType="begin"/>
      </w:r>
      <w:r w:rsidRPr="00FE42FF">
        <w:rPr>
          <w:noProof/>
        </w:rPr>
        <w:instrText xml:space="preserve"> PAGEREF _Toc160609770 \h </w:instrText>
      </w:r>
      <w:r w:rsidRPr="00FE42FF">
        <w:rPr>
          <w:noProof/>
        </w:rPr>
      </w:r>
      <w:r w:rsidRPr="00FE42FF">
        <w:rPr>
          <w:noProof/>
        </w:rPr>
        <w:fldChar w:fldCharType="separate"/>
      </w:r>
      <w:r w:rsidRPr="00FE42FF">
        <w:rPr>
          <w:noProof/>
        </w:rPr>
        <w:t>62</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211</w:t>
      </w:r>
      <w:r>
        <w:rPr>
          <w:noProof/>
        </w:rPr>
        <w:tab/>
        <w:t>Superannuation products—Example of annual fees and costs for a MySuper product</w:t>
      </w:r>
      <w:r w:rsidRPr="00FE42FF">
        <w:rPr>
          <w:noProof/>
        </w:rPr>
        <w:tab/>
      </w:r>
      <w:r w:rsidRPr="00FE42FF">
        <w:rPr>
          <w:noProof/>
        </w:rPr>
        <w:fldChar w:fldCharType="begin"/>
      </w:r>
      <w:r w:rsidRPr="00FE42FF">
        <w:rPr>
          <w:noProof/>
        </w:rPr>
        <w:instrText xml:space="preserve"> PAGEREF _Toc160609771 \h </w:instrText>
      </w:r>
      <w:r w:rsidRPr="00FE42FF">
        <w:rPr>
          <w:noProof/>
        </w:rPr>
      </w:r>
      <w:r w:rsidRPr="00FE42FF">
        <w:rPr>
          <w:noProof/>
        </w:rPr>
        <w:fldChar w:fldCharType="separate"/>
      </w:r>
      <w:r w:rsidRPr="00FE42FF">
        <w:rPr>
          <w:noProof/>
        </w:rPr>
        <w:t>62</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212</w:t>
      </w:r>
      <w:r>
        <w:rPr>
          <w:noProof/>
        </w:rPr>
        <w:tab/>
        <w:t>Collective investment products—Example of annual fees and costs for a balanced investment option</w:t>
      </w:r>
      <w:r w:rsidRPr="00FE42FF">
        <w:rPr>
          <w:noProof/>
        </w:rPr>
        <w:tab/>
      </w:r>
      <w:r w:rsidRPr="00FE42FF">
        <w:rPr>
          <w:noProof/>
        </w:rPr>
        <w:fldChar w:fldCharType="begin"/>
      </w:r>
      <w:r w:rsidRPr="00FE42FF">
        <w:rPr>
          <w:noProof/>
        </w:rPr>
        <w:instrText xml:space="preserve"> PAGEREF _Toc160609772 \h </w:instrText>
      </w:r>
      <w:r w:rsidRPr="00FE42FF">
        <w:rPr>
          <w:noProof/>
        </w:rPr>
      </w:r>
      <w:r w:rsidRPr="00FE42FF">
        <w:rPr>
          <w:noProof/>
        </w:rPr>
        <w:fldChar w:fldCharType="separate"/>
      </w:r>
      <w:r w:rsidRPr="00FE42FF">
        <w:rPr>
          <w:noProof/>
        </w:rPr>
        <w:t>62</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213</w:t>
      </w:r>
      <w:r>
        <w:rPr>
          <w:noProof/>
        </w:rPr>
        <w:tab/>
        <w:t>Defined benefit funds</w:t>
      </w:r>
      <w:r w:rsidRPr="00FE42FF">
        <w:rPr>
          <w:noProof/>
        </w:rPr>
        <w:tab/>
      </w:r>
      <w:r w:rsidRPr="00FE42FF">
        <w:rPr>
          <w:noProof/>
        </w:rPr>
        <w:fldChar w:fldCharType="begin"/>
      </w:r>
      <w:r w:rsidRPr="00FE42FF">
        <w:rPr>
          <w:noProof/>
        </w:rPr>
        <w:instrText xml:space="preserve"> PAGEREF _Toc160609773 \h </w:instrText>
      </w:r>
      <w:r w:rsidRPr="00FE42FF">
        <w:rPr>
          <w:noProof/>
        </w:rPr>
      </w:r>
      <w:r w:rsidRPr="00FE42FF">
        <w:rPr>
          <w:noProof/>
        </w:rPr>
        <w:fldChar w:fldCharType="separate"/>
      </w:r>
      <w:r w:rsidRPr="00FE42FF">
        <w:rPr>
          <w:noProof/>
        </w:rPr>
        <w:t>63</w:t>
      </w:r>
      <w:r w:rsidRPr="00FE42FF">
        <w:rPr>
          <w:noProof/>
        </w:rPr>
        <w:fldChar w:fldCharType="end"/>
      </w:r>
    </w:p>
    <w:p w:rsidR="00FE42FF" w:rsidRDefault="00FE42FF">
      <w:pPr>
        <w:pStyle w:val="TOC3"/>
        <w:rPr>
          <w:rFonts w:asciiTheme="minorHAnsi" w:eastAsiaTheme="minorEastAsia" w:hAnsiTheme="minorHAnsi" w:cstheme="minorBidi"/>
          <w:b w:val="0"/>
          <w:noProof/>
          <w:kern w:val="0"/>
          <w:szCs w:val="22"/>
        </w:rPr>
      </w:pPr>
      <w:r>
        <w:rPr>
          <w:noProof/>
        </w:rPr>
        <w:t>Division 6—How to fill in the example of annual fees and costs</w:t>
      </w:r>
      <w:r w:rsidRPr="00FE42FF">
        <w:rPr>
          <w:b w:val="0"/>
          <w:noProof/>
          <w:sz w:val="18"/>
        </w:rPr>
        <w:tab/>
      </w:r>
      <w:r w:rsidRPr="00FE42FF">
        <w:rPr>
          <w:b w:val="0"/>
          <w:noProof/>
          <w:sz w:val="18"/>
        </w:rPr>
        <w:fldChar w:fldCharType="begin"/>
      </w:r>
      <w:r w:rsidRPr="00FE42FF">
        <w:rPr>
          <w:b w:val="0"/>
          <w:noProof/>
          <w:sz w:val="18"/>
        </w:rPr>
        <w:instrText xml:space="preserve"> PAGEREF _Toc160609774 \h </w:instrText>
      </w:r>
      <w:r w:rsidRPr="00FE42FF">
        <w:rPr>
          <w:b w:val="0"/>
          <w:noProof/>
          <w:sz w:val="18"/>
        </w:rPr>
      </w:r>
      <w:r w:rsidRPr="00FE42FF">
        <w:rPr>
          <w:b w:val="0"/>
          <w:noProof/>
          <w:sz w:val="18"/>
        </w:rPr>
        <w:fldChar w:fldCharType="separate"/>
      </w:r>
      <w:r w:rsidRPr="00FE42FF">
        <w:rPr>
          <w:b w:val="0"/>
          <w:noProof/>
          <w:sz w:val="18"/>
        </w:rPr>
        <w:t>64</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214</w:t>
      </w:r>
      <w:r>
        <w:rPr>
          <w:noProof/>
        </w:rPr>
        <w:tab/>
        <w:t>Fees and costs must be ongoing amounts</w:t>
      </w:r>
      <w:r w:rsidRPr="00FE42FF">
        <w:rPr>
          <w:noProof/>
        </w:rPr>
        <w:tab/>
      </w:r>
      <w:r w:rsidRPr="00FE42FF">
        <w:rPr>
          <w:noProof/>
        </w:rPr>
        <w:fldChar w:fldCharType="begin"/>
      </w:r>
      <w:r w:rsidRPr="00FE42FF">
        <w:rPr>
          <w:noProof/>
        </w:rPr>
        <w:instrText xml:space="preserve"> PAGEREF _Toc160609775 \h </w:instrText>
      </w:r>
      <w:r w:rsidRPr="00FE42FF">
        <w:rPr>
          <w:noProof/>
        </w:rPr>
      </w:r>
      <w:r w:rsidRPr="00FE42FF">
        <w:rPr>
          <w:noProof/>
        </w:rPr>
        <w:fldChar w:fldCharType="separate"/>
      </w:r>
      <w:r w:rsidRPr="00FE42FF">
        <w:rPr>
          <w:noProof/>
        </w:rPr>
        <w:t>64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214A</w:t>
      </w:r>
      <w:r>
        <w:rPr>
          <w:noProof/>
        </w:rPr>
        <w:tab/>
        <w:t>Example of annual fees and costs for a MySuper product—lifecycle MySuper product</w:t>
      </w:r>
      <w:r w:rsidRPr="00FE42FF">
        <w:rPr>
          <w:noProof/>
        </w:rPr>
        <w:tab/>
      </w:r>
      <w:r w:rsidRPr="00FE42FF">
        <w:rPr>
          <w:noProof/>
        </w:rPr>
        <w:fldChar w:fldCharType="begin"/>
      </w:r>
      <w:r w:rsidRPr="00FE42FF">
        <w:rPr>
          <w:noProof/>
        </w:rPr>
        <w:instrText xml:space="preserve"> PAGEREF _Toc160609776 \h </w:instrText>
      </w:r>
      <w:r w:rsidRPr="00FE42FF">
        <w:rPr>
          <w:noProof/>
        </w:rPr>
      </w:r>
      <w:r w:rsidRPr="00FE42FF">
        <w:rPr>
          <w:noProof/>
        </w:rPr>
        <w:fldChar w:fldCharType="separate"/>
      </w:r>
      <w:r w:rsidRPr="00FE42FF">
        <w:rPr>
          <w:noProof/>
        </w:rPr>
        <w:t>64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215</w:t>
      </w:r>
      <w:r>
        <w:rPr>
          <w:noProof/>
        </w:rPr>
        <w:tab/>
        <w:t>Minimum entry balance rule</w:t>
      </w:r>
      <w:r w:rsidRPr="00FE42FF">
        <w:rPr>
          <w:noProof/>
        </w:rPr>
        <w:tab/>
      </w:r>
      <w:r w:rsidRPr="00FE42FF">
        <w:rPr>
          <w:noProof/>
        </w:rPr>
        <w:fldChar w:fldCharType="begin"/>
      </w:r>
      <w:r w:rsidRPr="00FE42FF">
        <w:rPr>
          <w:noProof/>
        </w:rPr>
        <w:instrText xml:space="preserve"> PAGEREF _Toc160609777 \h </w:instrText>
      </w:r>
      <w:r w:rsidRPr="00FE42FF">
        <w:rPr>
          <w:noProof/>
        </w:rPr>
      </w:r>
      <w:r w:rsidRPr="00FE42FF">
        <w:rPr>
          <w:noProof/>
        </w:rPr>
        <w:fldChar w:fldCharType="separate"/>
      </w:r>
      <w:r w:rsidRPr="00FE42FF">
        <w:rPr>
          <w:noProof/>
        </w:rPr>
        <w:t>64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216</w:t>
      </w:r>
      <w:r>
        <w:rPr>
          <w:noProof/>
        </w:rPr>
        <w:tab/>
        <w:t>Exit fees</w:t>
      </w:r>
      <w:r w:rsidRPr="00FE42FF">
        <w:rPr>
          <w:noProof/>
        </w:rPr>
        <w:tab/>
      </w:r>
      <w:r w:rsidRPr="00FE42FF">
        <w:rPr>
          <w:noProof/>
        </w:rPr>
        <w:fldChar w:fldCharType="begin"/>
      </w:r>
      <w:r w:rsidRPr="00FE42FF">
        <w:rPr>
          <w:noProof/>
        </w:rPr>
        <w:instrText xml:space="preserve"> PAGEREF _Toc160609778 \h </w:instrText>
      </w:r>
      <w:r w:rsidRPr="00FE42FF">
        <w:rPr>
          <w:noProof/>
        </w:rPr>
      </w:r>
      <w:r w:rsidRPr="00FE42FF">
        <w:rPr>
          <w:noProof/>
        </w:rPr>
        <w:fldChar w:fldCharType="separate"/>
      </w:r>
      <w:r w:rsidRPr="00FE42FF">
        <w:rPr>
          <w:noProof/>
        </w:rPr>
        <w:t>64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217</w:t>
      </w:r>
      <w:r>
        <w:rPr>
          <w:noProof/>
        </w:rPr>
        <w:tab/>
        <w:t>Contribution fees</w:t>
      </w:r>
      <w:r w:rsidRPr="00FE42FF">
        <w:rPr>
          <w:noProof/>
        </w:rPr>
        <w:tab/>
      </w:r>
      <w:r w:rsidRPr="00FE42FF">
        <w:rPr>
          <w:noProof/>
        </w:rPr>
        <w:fldChar w:fldCharType="begin"/>
      </w:r>
      <w:r w:rsidRPr="00FE42FF">
        <w:rPr>
          <w:noProof/>
        </w:rPr>
        <w:instrText xml:space="preserve"> PAGEREF _Toc160609779 \h </w:instrText>
      </w:r>
      <w:r w:rsidRPr="00FE42FF">
        <w:rPr>
          <w:noProof/>
        </w:rPr>
      </w:r>
      <w:r w:rsidRPr="00FE42FF">
        <w:rPr>
          <w:noProof/>
        </w:rPr>
        <w:fldChar w:fldCharType="separate"/>
      </w:r>
      <w:r w:rsidRPr="00FE42FF">
        <w:rPr>
          <w:noProof/>
        </w:rPr>
        <w:t>64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218</w:t>
      </w:r>
      <w:r>
        <w:rPr>
          <w:noProof/>
        </w:rPr>
        <w:tab/>
        <w:t>Administration fees and investment fees for a superannuation product</w:t>
      </w:r>
      <w:r w:rsidRPr="00FE42FF">
        <w:rPr>
          <w:noProof/>
        </w:rPr>
        <w:tab/>
      </w:r>
      <w:r w:rsidRPr="00FE42FF">
        <w:rPr>
          <w:noProof/>
        </w:rPr>
        <w:fldChar w:fldCharType="begin"/>
      </w:r>
      <w:r w:rsidRPr="00FE42FF">
        <w:rPr>
          <w:noProof/>
        </w:rPr>
        <w:instrText xml:space="preserve"> PAGEREF _Toc160609780 \h </w:instrText>
      </w:r>
      <w:r w:rsidRPr="00FE42FF">
        <w:rPr>
          <w:noProof/>
        </w:rPr>
      </w:r>
      <w:r w:rsidRPr="00FE42FF">
        <w:rPr>
          <w:noProof/>
        </w:rPr>
        <w:fldChar w:fldCharType="separate"/>
      </w:r>
      <w:r w:rsidRPr="00FE42FF">
        <w:rPr>
          <w:noProof/>
        </w:rPr>
        <w:t>65</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218A</w:t>
      </w:r>
      <w:r>
        <w:rPr>
          <w:noProof/>
        </w:rPr>
        <w:tab/>
        <w:t>Management costs for a collective investment product</w:t>
      </w:r>
      <w:r w:rsidRPr="00FE42FF">
        <w:rPr>
          <w:noProof/>
        </w:rPr>
        <w:tab/>
      </w:r>
      <w:r w:rsidRPr="00FE42FF">
        <w:rPr>
          <w:noProof/>
        </w:rPr>
        <w:fldChar w:fldCharType="begin"/>
      </w:r>
      <w:r w:rsidRPr="00FE42FF">
        <w:rPr>
          <w:noProof/>
        </w:rPr>
        <w:instrText xml:space="preserve"> PAGEREF _Toc160609781 \h </w:instrText>
      </w:r>
      <w:r w:rsidRPr="00FE42FF">
        <w:rPr>
          <w:noProof/>
        </w:rPr>
      </w:r>
      <w:r w:rsidRPr="00FE42FF">
        <w:rPr>
          <w:noProof/>
        </w:rPr>
        <w:fldChar w:fldCharType="separate"/>
      </w:r>
      <w:r w:rsidRPr="00FE42FF">
        <w:rPr>
          <w:noProof/>
        </w:rPr>
        <w:t>65</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219</w:t>
      </w:r>
      <w:r>
        <w:rPr>
          <w:noProof/>
        </w:rPr>
        <w:tab/>
        <w:t>Withdrawal fees and exit fees</w:t>
      </w:r>
      <w:r w:rsidRPr="00FE42FF">
        <w:rPr>
          <w:noProof/>
        </w:rPr>
        <w:tab/>
      </w:r>
      <w:r w:rsidRPr="00FE42FF">
        <w:rPr>
          <w:noProof/>
        </w:rPr>
        <w:fldChar w:fldCharType="begin"/>
      </w:r>
      <w:r w:rsidRPr="00FE42FF">
        <w:rPr>
          <w:noProof/>
        </w:rPr>
        <w:instrText xml:space="preserve"> PAGEREF _Toc160609782 \h </w:instrText>
      </w:r>
      <w:r w:rsidRPr="00FE42FF">
        <w:rPr>
          <w:noProof/>
        </w:rPr>
      </w:r>
      <w:r w:rsidRPr="00FE42FF">
        <w:rPr>
          <w:noProof/>
        </w:rPr>
        <w:fldChar w:fldCharType="separate"/>
      </w:r>
      <w:r w:rsidRPr="00FE42FF">
        <w:rPr>
          <w:noProof/>
        </w:rPr>
        <w:t>66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220</w:t>
      </w:r>
      <w:r>
        <w:rPr>
          <w:noProof/>
        </w:rPr>
        <w:tab/>
        <w:t>If there is no generic MySuper product or balanced investment option</w:t>
      </w:r>
      <w:r w:rsidRPr="00FE42FF">
        <w:rPr>
          <w:noProof/>
        </w:rPr>
        <w:tab/>
      </w:r>
      <w:r w:rsidRPr="00FE42FF">
        <w:rPr>
          <w:noProof/>
        </w:rPr>
        <w:fldChar w:fldCharType="begin"/>
      </w:r>
      <w:r w:rsidRPr="00FE42FF">
        <w:rPr>
          <w:noProof/>
        </w:rPr>
        <w:instrText xml:space="preserve"> PAGEREF _Toc160609783 \h </w:instrText>
      </w:r>
      <w:r w:rsidRPr="00FE42FF">
        <w:rPr>
          <w:noProof/>
        </w:rPr>
      </w:r>
      <w:r w:rsidRPr="00FE42FF">
        <w:rPr>
          <w:noProof/>
        </w:rPr>
        <w:fldChar w:fldCharType="separate"/>
      </w:r>
      <w:r w:rsidRPr="00FE42FF">
        <w:rPr>
          <w:noProof/>
        </w:rPr>
        <w:t>66</w:t>
      </w:r>
      <w:r w:rsidRPr="00FE42FF">
        <w:rPr>
          <w:noProof/>
        </w:rPr>
        <w:fldChar w:fldCharType="end"/>
      </w:r>
    </w:p>
    <w:p w:rsidR="00FE42FF" w:rsidRDefault="00FE42FF">
      <w:pPr>
        <w:pStyle w:val="TOC3"/>
        <w:rPr>
          <w:rFonts w:asciiTheme="minorHAnsi" w:eastAsiaTheme="minorEastAsia" w:hAnsiTheme="minorHAnsi" w:cstheme="minorBidi"/>
          <w:b w:val="0"/>
          <w:noProof/>
          <w:kern w:val="0"/>
          <w:szCs w:val="22"/>
        </w:rPr>
      </w:pPr>
      <w:r>
        <w:rPr>
          <w:noProof/>
        </w:rPr>
        <w:t>Division 7—Consumer Advisory Warning</w:t>
      </w:r>
      <w:r w:rsidRPr="00FE42FF">
        <w:rPr>
          <w:b w:val="0"/>
          <w:noProof/>
          <w:sz w:val="18"/>
        </w:rPr>
        <w:tab/>
      </w:r>
      <w:r w:rsidRPr="00FE42FF">
        <w:rPr>
          <w:b w:val="0"/>
          <w:noProof/>
          <w:sz w:val="18"/>
        </w:rPr>
        <w:fldChar w:fldCharType="begin"/>
      </w:r>
      <w:r w:rsidRPr="00FE42FF">
        <w:rPr>
          <w:b w:val="0"/>
          <w:noProof/>
          <w:sz w:val="18"/>
        </w:rPr>
        <w:instrText xml:space="preserve"> PAGEREF _Toc160609784 \h </w:instrText>
      </w:r>
      <w:r w:rsidRPr="00FE42FF">
        <w:rPr>
          <w:b w:val="0"/>
          <w:noProof/>
          <w:sz w:val="18"/>
        </w:rPr>
      </w:r>
      <w:r w:rsidRPr="00FE42FF">
        <w:rPr>
          <w:b w:val="0"/>
          <w:noProof/>
          <w:sz w:val="18"/>
        </w:rPr>
        <w:fldChar w:fldCharType="separate"/>
      </w:r>
      <w:r w:rsidRPr="00FE42FF">
        <w:rPr>
          <w:b w:val="0"/>
          <w:noProof/>
          <w:sz w:val="18"/>
        </w:rPr>
        <w:t>68</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221</w:t>
      </w:r>
      <w:r>
        <w:rPr>
          <w:noProof/>
        </w:rPr>
        <w:tab/>
        <w:t>Consumer advisory warning</w:t>
      </w:r>
      <w:r w:rsidRPr="00FE42FF">
        <w:rPr>
          <w:noProof/>
        </w:rPr>
        <w:tab/>
      </w:r>
      <w:r w:rsidRPr="00FE42FF">
        <w:rPr>
          <w:noProof/>
        </w:rPr>
        <w:fldChar w:fldCharType="begin"/>
      </w:r>
      <w:r w:rsidRPr="00FE42FF">
        <w:rPr>
          <w:noProof/>
        </w:rPr>
        <w:instrText xml:space="preserve"> PAGEREF _Toc160609785 \h </w:instrText>
      </w:r>
      <w:r w:rsidRPr="00FE42FF">
        <w:rPr>
          <w:noProof/>
        </w:rPr>
      </w:r>
      <w:r w:rsidRPr="00FE42FF">
        <w:rPr>
          <w:noProof/>
        </w:rPr>
        <w:fldChar w:fldCharType="separate"/>
      </w:r>
      <w:r w:rsidRPr="00FE42FF">
        <w:rPr>
          <w:noProof/>
        </w:rPr>
        <w:t>68</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222</w:t>
      </w:r>
      <w:r>
        <w:rPr>
          <w:noProof/>
        </w:rPr>
        <w:tab/>
        <w:t>Where to place the Consumer Advisory Warning</w:t>
      </w:r>
      <w:r w:rsidRPr="00FE42FF">
        <w:rPr>
          <w:noProof/>
        </w:rPr>
        <w:tab/>
      </w:r>
      <w:r w:rsidRPr="00FE42FF">
        <w:rPr>
          <w:noProof/>
        </w:rPr>
        <w:fldChar w:fldCharType="begin"/>
      </w:r>
      <w:r w:rsidRPr="00FE42FF">
        <w:rPr>
          <w:noProof/>
        </w:rPr>
        <w:instrText xml:space="preserve"> PAGEREF _Toc160609786 \h </w:instrText>
      </w:r>
      <w:r w:rsidRPr="00FE42FF">
        <w:rPr>
          <w:noProof/>
        </w:rPr>
      </w:r>
      <w:r w:rsidRPr="00FE42FF">
        <w:rPr>
          <w:noProof/>
        </w:rPr>
        <w:fldChar w:fldCharType="separate"/>
      </w:r>
      <w:r w:rsidRPr="00FE42FF">
        <w:rPr>
          <w:noProof/>
        </w:rPr>
        <w:t>68</w:t>
      </w:r>
      <w:r w:rsidRPr="00FE42FF">
        <w:rPr>
          <w:noProof/>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3—Fees and costs in periodic statements</w:t>
      </w:r>
      <w:r w:rsidRPr="00FE42FF">
        <w:rPr>
          <w:b w:val="0"/>
          <w:noProof/>
          <w:sz w:val="18"/>
        </w:rPr>
        <w:tab/>
      </w:r>
      <w:r w:rsidRPr="00FE42FF">
        <w:rPr>
          <w:b w:val="0"/>
          <w:noProof/>
          <w:sz w:val="18"/>
        </w:rPr>
        <w:fldChar w:fldCharType="begin"/>
      </w:r>
      <w:r w:rsidRPr="00FE42FF">
        <w:rPr>
          <w:b w:val="0"/>
          <w:noProof/>
          <w:sz w:val="18"/>
        </w:rPr>
        <w:instrText xml:space="preserve"> PAGEREF _Toc160609787 \h </w:instrText>
      </w:r>
      <w:r w:rsidRPr="00FE42FF">
        <w:rPr>
          <w:b w:val="0"/>
          <w:noProof/>
          <w:sz w:val="18"/>
        </w:rPr>
      </w:r>
      <w:r w:rsidRPr="00FE42FF">
        <w:rPr>
          <w:b w:val="0"/>
          <w:noProof/>
          <w:sz w:val="18"/>
        </w:rPr>
        <w:fldChar w:fldCharType="separate"/>
      </w:r>
      <w:r w:rsidRPr="00FE42FF">
        <w:rPr>
          <w:b w:val="0"/>
          <w:noProof/>
          <w:sz w:val="18"/>
        </w:rPr>
        <w:t>69</w:t>
      </w:r>
      <w:r w:rsidRPr="00FE42FF">
        <w:rPr>
          <w:b w:val="0"/>
          <w:noProof/>
          <w:sz w:val="18"/>
        </w:rPr>
        <w:fldChar w:fldCharType="end"/>
      </w:r>
    </w:p>
    <w:p w:rsidR="00FE42FF" w:rsidRDefault="00FE42FF">
      <w:pPr>
        <w:pStyle w:val="TOC3"/>
        <w:rPr>
          <w:rFonts w:asciiTheme="minorHAnsi" w:eastAsiaTheme="minorEastAsia" w:hAnsiTheme="minorHAnsi" w:cstheme="minorBidi"/>
          <w:b w:val="0"/>
          <w:noProof/>
          <w:kern w:val="0"/>
          <w:szCs w:val="22"/>
        </w:rPr>
      </w:pPr>
      <w:r>
        <w:rPr>
          <w:noProof/>
        </w:rPr>
        <w:t>Division 1—Other Management Costs</w:t>
      </w:r>
      <w:r w:rsidRPr="00FE42FF">
        <w:rPr>
          <w:b w:val="0"/>
          <w:noProof/>
          <w:sz w:val="18"/>
        </w:rPr>
        <w:tab/>
      </w:r>
      <w:r w:rsidRPr="00FE42FF">
        <w:rPr>
          <w:b w:val="0"/>
          <w:noProof/>
          <w:sz w:val="18"/>
        </w:rPr>
        <w:fldChar w:fldCharType="begin"/>
      </w:r>
      <w:r w:rsidRPr="00FE42FF">
        <w:rPr>
          <w:b w:val="0"/>
          <w:noProof/>
          <w:sz w:val="18"/>
        </w:rPr>
        <w:instrText xml:space="preserve"> PAGEREF _Toc160609788 \h </w:instrText>
      </w:r>
      <w:r w:rsidRPr="00FE42FF">
        <w:rPr>
          <w:b w:val="0"/>
          <w:noProof/>
          <w:sz w:val="18"/>
        </w:rPr>
      </w:r>
      <w:r w:rsidRPr="00FE42FF">
        <w:rPr>
          <w:b w:val="0"/>
          <w:noProof/>
          <w:sz w:val="18"/>
        </w:rPr>
        <w:fldChar w:fldCharType="separate"/>
      </w:r>
      <w:r w:rsidRPr="00FE42FF">
        <w:rPr>
          <w:b w:val="0"/>
          <w:noProof/>
          <w:sz w:val="18"/>
        </w:rPr>
        <w:t>69</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301</w:t>
      </w:r>
      <w:r>
        <w:rPr>
          <w:noProof/>
        </w:rPr>
        <w:tab/>
        <w:t>Indirect costs related to investment and administration of accounts</w:t>
      </w:r>
      <w:r w:rsidRPr="00FE42FF">
        <w:rPr>
          <w:noProof/>
        </w:rPr>
        <w:tab/>
      </w:r>
      <w:r w:rsidRPr="00FE42FF">
        <w:rPr>
          <w:noProof/>
        </w:rPr>
        <w:fldChar w:fldCharType="begin"/>
      </w:r>
      <w:r w:rsidRPr="00FE42FF">
        <w:rPr>
          <w:noProof/>
        </w:rPr>
        <w:instrText xml:space="preserve"> PAGEREF _Toc160609789 \h </w:instrText>
      </w:r>
      <w:r w:rsidRPr="00FE42FF">
        <w:rPr>
          <w:noProof/>
        </w:rPr>
      </w:r>
      <w:r w:rsidRPr="00FE42FF">
        <w:rPr>
          <w:noProof/>
        </w:rPr>
        <w:fldChar w:fldCharType="separate"/>
      </w:r>
      <w:r w:rsidRPr="00FE42FF">
        <w:rPr>
          <w:noProof/>
        </w:rPr>
        <w:t>69</w:t>
      </w:r>
      <w:r w:rsidRPr="00FE42FF">
        <w:rPr>
          <w:noProof/>
        </w:rPr>
        <w:fldChar w:fldCharType="end"/>
      </w:r>
    </w:p>
    <w:p w:rsidR="00FE42FF" w:rsidRDefault="00FE42FF">
      <w:pPr>
        <w:pStyle w:val="TOC3"/>
        <w:rPr>
          <w:rFonts w:asciiTheme="minorHAnsi" w:eastAsiaTheme="minorEastAsia" w:hAnsiTheme="minorHAnsi" w:cstheme="minorBidi"/>
          <w:b w:val="0"/>
          <w:noProof/>
          <w:kern w:val="0"/>
          <w:szCs w:val="22"/>
        </w:rPr>
      </w:pPr>
      <w:r>
        <w:rPr>
          <w:noProof/>
        </w:rPr>
        <w:t>Division 2—Total fees</w:t>
      </w:r>
      <w:r w:rsidRPr="00FE42FF">
        <w:rPr>
          <w:b w:val="0"/>
          <w:noProof/>
          <w:sz w:val="18"/>
        </w:rPr>
        <w:tab/>
      </w:r>
      <w:r w:rsidRPr="00FE42FF">
        <w:rPr>
          <w:b w:val="0"/>
          <w:noProof/>
          <w:sz w:val="18"/>
        </w:rPr>
        <w:fldChar w:fldCharType="begin"/>
      </w:r>
      <w:r w:rsidRPr="00FE42FF">
        <w:rPr>
          <w:b w:val="0"/>
          <w:noProof/>
          <w:sz w:val="18"/>
        </w:rPr>
        <w:instrText xml:space="preserve"> PAGEREF _Toc160609790 \h </w:instrText>
      </w:r>
      <w:r w:rsidRPr="00FE42FF">
        <w:rPr>
          <w:b w:val="0"/>
          <w:noProof/>
          <w:sz w:val="18"/>
        </w:rPr>
      </w:r>
      <w:r w:rsidRPr="00FE42FF">
        <w:rPr>
          <w:b w:val="0"/>
          <w:noProof/>
          <w:sz w:val="18"/>
        </w:rPr>
        <w:fldChar w:fldCharType="separate"/>
      </w:r>
      <w:r w:rsidRPr="00FE42FF">
        <w:rPr>
          <w:b w:val="0"/>
          <w:noProof/>
          <w:sz w:val="18"/>
        </w:rPr>
        <w:t>70</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302</w:t>
      </w:r>
      <w:r>
        <w:rPr>
          <w:noProof/>
        </w:rPr>
        <w:tab/>
        <w:t>Total of fees in the periodic statement</w:t>
      </w:r>
      <w:r w:rsidRPr="00FE42FF">
        <w:rPr>
          <w:noProof/>
        </w:rPr>
        <w:tab/>
      </w:r>
      <w:r w:rsidRPr="00FE42FF">
        <w:rPr>
          <w:noProof/>
        </w:rPr>
        <w:fldChar w:fldCharType="begin"/>
      </w:r>
      <w:r w:rsidRPr="00FE42FF">
        <w:rPr>
          <w:noProof/>
        </w:rPr>
        <w:instrText xml:space="preserve"> PAGEREF _Toc160609791 \h </w:instrText>
      </w:r>
      <w:r w:rsidRPr="00FE42FF">
        <w:rPr>
          <w:noProof/>
        </w:rPr>
      </w:r>
      <w:r w:rsidRPr="00FE42FF">
        <w:rPr>
          <w:noProof/>
        </w:rPr>
        <w:fldChar w:fldCharType="separate"/>
      </w:r>
      <w:r w:rsidRPr="00FE42FF">
        <w:rPr>
          <w:noProof/>
        </w:rPr>
        <w:t>70</w:t>
      </w:r>
      <w:r w:rsidRPr="00FE42FF">
        <w:rPr>
          <w:noProof/>
        </w:rPr>
        <w:fldChar w:fldCharType="end"/>
      </w:r>
    </w:p>
    <w:p w:rsidR="00FE42FF" w:rsidRDefault="00FE42FF" w:rsidP="007C7081">
      <w:pPr>
        <w:pStyle w:val="TOC3"/>
        <w:keepLines w:val="0"/>
        <w:rPr>
          <w:rFonts w:asciiTheme="minorHAnsi" w:eastAsiaTheme="minorEastAsia" w:hAnsiTheme="minorHAnsi" w:cstheme="minorBidi"/>
          <w:b w:val="0"/>
          <w:noProof/>
          <w:kern w:val="0"/>
          <w:szCs w:val="22"/>
        </w:rPr>
      </w:pPr>
      <w:r>
        <w:rPr>
          <w:noProof/>
        </w:rPr>
        <w:t>Division 3—Additional Explanation of Fees and Costs</w:t>
      </w:r>
      <w:r w:rsidRPr="00FE42FF">
        <w:rPr>
          <w:b w:val="0"/>
          <w:noProof/>
          <w:sz w:val="18"/>
        </w:rPr>
        <w:tab/>
      </w:r>
      <w:r w:rsidRPr="00FE42FF">
        <w:rPr>
          <w:b w:val="0"/>
          <w:noProof/>
          <w:sz w:val="18"/>
        </w:rPr>
        <w:fldChar w:fldCharType="begin"/>
      </w:r>
      <w:r w:rsidRPr="00FE42FF">
        <w:rPr>
          <w:b w:val="0"/>
          <w:noProof/>
          <w:sz w:val="18"/>
        </w:rPr>
        <w:instrText xml:space="preserve"> PAGEREF _Toc160609792 \h </w:instrText>
      </w:r>
      <w:r w:rsidRPr="00FE42FF">
        <w:rPr>
          <w:b w:val="0"/>
          <w:noProof/>
          <w:sz w:val="18"/>
        </w:rPr>
      </w:r>
      <w:r w:rsidRPr="00FE42FF">
        <w:rPr>
          <w:b w:val="0"/>
          <w:noProof/>
          <w:sz w:val="18"/>
        </w:rPr>
        <w:fldChar w:fldCharType="separate"/>
      </w:r>
      <w:r w:rsidRPr="00FE42FF">
        <w:rPr>
          <w:b w:val="0"/>
          <w:noProof/>
          <w:sz w:val="18"/>
        </w:rPr>
        <w:t>71</w:t>
      </w:r>
      <w:r w:rsidRPr="00FE42FF">
        <w:rPr>
          <w:b w:val="0"/>
          <w:noProof/>
          <w:sz w:val="18"/>
        </w:rPr>
        <w:fldChar w:fldCharType="end"/>
      </w:r>
    </w:p>
    <w:p w:rsidR="00FE42FF" w:rsidRDefault="00FE42FF" w:rsidP="007C7081">
      <w:pPr>
        <w:pStyle w:val="TOC5"/>
        <w:keepLines w:val="0"/>
        <w:rPr>
          <w:rFonts w:asciiTheme="minorHAnsi" w:eastAsiaTheme="minorEastAsia" w:hAnsiTheme="minorHAnsi" w:cstheme="minorBidi"/>
          <w:noProof/>
          <w:kern w:val="0"/>
          <w:sz w:val="22"/>
          <w:szCs w:val="22"/>
        </w:rPr>
      </w:pPr>
      <w:r>
        <w:rPr>
          <w:noProof/>
        </w:rPr>
        <w:t>303</w:t>
      </w:r>
      <w:r>
        <w:rPr>
          <w:noProof/>
        </w:rPr>
        <w:tab/>
        <w:t>Matters to be included as additional explanation of fees and costs</w:t>
      </w:r>
      <w:r w:rsidRPr="00FE42FF">
        <w:rPr>
          <w:noProof/>
        </w:rPr>
        <w:tab/>
      </w:r>
      <w:r w:rsidRPr="00FE42FF">
        <w:rPr>
          <w:noProof/>
        </w:rPr>
        <w:fldChar w:fldCharType="begin"/>
      </w:r>
      <w:r w:rsidRPr="00FE42FF">
        <w:rPr>
          <w:noProof/>
        </w:rPr>
        <w:instrText xml:space="preserve"> PAGEREF _Toc160609793 \h </w:instrText>
      </w:r>
      <w:r w:rsidRPr="00FE42FF">
        <w:rPr>
          <w:noProof/>
        </w:rPr>
      </w:r>
      <w:r w:rsidRPr="00FE42FF">
        <w:rPr>
          <w:noProof/>
        </w:rPr>
        <w:fldChar w:fldCharType="separate"/>
      </w:r>
      <w:r w:rsidRPr="00FE42FF">
        <w:rPr>
          <w:noProof/>
        </w:rPr>
        <w:t>71</w:t>
      </w:r>
      <w:r w:rsidRPr="00FE42FF">
        <w:rPr>
          <w:noProof/>
        </w:rPr>
        <w:fldChar w:fldCharType="end"/>
      </w:r>
    </w:p>
    <w:p w:rsidR="00FE42FF" w:rsidRDefault="00FE42FF" w:rsidP="00B96795">
      <w:pPr>
        <w:pStyle w:val="TOC1"/>
        <w:keepNext w:val="0"/>
        <w:keepLines w:val="0"/>
        <w:rPr>
          <w:rFonts w:asciiTheme="minorHAnsi" w:eastAsiaTheme="minorEastAsia" w:hAnsiTheme="minorHAnsi" w:cstheme="minorBidi"/>
          <w:b w:val="0"/>
          <w:noProof/>
          <w:kern w:val="0"/>
          <w:sz w:val="22"/>
          <w:szCs w:val="22"/>
        </w:rPr>
      </w:pPr>
      <w:bookmarkStart w:id="0" w:name="_GoBack"/>
      <w:r>
        <w:rPr>
          <w:noProof/>
        </w:rPr>
        <w:t>Schedule 10A—Modifications of Part 7.9 of the Act</w:t>
      </w:r>
      <w:r w:rsidRPr="00FE42FF">
        <w:rPr>
          <w:b w:val="0"/>
          <w:noProof/>
          <w:sz w:val="18"/>
        </w:rPr>
        <w:tab/>
      </w:r>
      <w:r w:rsidRPr="00FE42FF">
        <w:rPr>
          <w:b w:val="0"/>
          <w:noProof/>
          <w:sz w:val="18"/>
        </w:rPr>
        <w:fldChar w:fldCharType="begin"/>
      </w:r>
      <w:r w:rsidRPr="00FE42FF">
        <w:rPr>
          <w:b w:val="0"/>
          <w:noProof/>
          <w:sz w:val="18"/>
        </w:rPr>
        <w:instrText xml:space="preserve"> PAGEREF _Toc160609794 \h </w:instrText>
      </w:r>
      <w:r w:rsidRPr="00FE42FF">
        <w:rPr>
          <w:b w:val="0"/>
          <w:noProof/>
          <w:sz w:val="18"/>
        </w:rPr>
      </w:r>
      <w:r w:rsidRPr="00FE42FF">
        <w:rPr>
          <w:b w:val="0"/>
          <w:noProof/>
          <w:sz w:val="18"/>
        </w:rPr>
        <w:fldChar w:fldCharType="separate"/>
      </w:r>
      <w:r w:rsidRPr="00FE42FF">
        <w:rPr>
          <w:b w:val="0"/>
          <w:noProof/>
          <w:sz w:val="18"/>
        </w:rPr>
        <w:t>72</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1—Modifications relating to sub</w:t>
      </w:r>
      <w:r>
        <w:rPr>
          <w:noProof/>
        </w:rPr>
        <w:noBreakHyphen/>
        <w:t>plans</w:t>
      </w:r>
      <w:r w:rsidRPr="00FE42FF">
        <w:rPr>
          <w:b w:val="0"/>
          <w:noProof/>
          <w:sz w:val="18"/>
        </w:rPr>
        <w:tab/>
      </w:r>
      <w:r w:rsidRPr="00FE42FF">
        <w:rPr>
          <w:b w:val="0"/>
          <w:noProof/>
          <w:sz w:val="18"/>
        </w:rPr>
        <w:fldChar w:fldCharType="begin"/>
      </w:r>
      <w:r w:rsidRPr="00FE42FF">
        <w:rPr>
          <w:b w:val="0"/>
          <w:noProof/>
          <w:sz w:val="18"/>
        </w:rPr>
        <w:instrText xml:space="preserve"> PAGEREF _Toc160609795 \h </w:instrText>
      </w:r>
      <w:r w:rsidRPr="00FE42FF">
        <w:rPr>
          <w:b w:val="0"/>
          <w:noProof/>
          <w:sz w:val="18"/>
        </w:rPr>
      </w:r>
      <w:r w:rsidRPr="00FE42FF">
        <w:rPr>
          <w:b w:val="0"/>
          <w:noProof/>
          <w:sz w:val="18"/>
        </w:rPr>
        <w:fldChar w:fldCharType="separate"/>
      </w:r>
      <w:r w:rsidRPr="00FE42FF">
        <w:rPr>
          <w:b w:val="0"/>
          <w:noProof/>
          <w:sz w:val="18"/>
        </w:rPr>
        <w:t>72</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2—Modifications relating to Product Disclosure Statements for RSAs</w:t>
      </w:r>
      <w:r w:rsidRPr="00FE42FF">
        <w:rPr>
          <w:b w:val="0"/>
          <w:noProof/>
          <w:sz w:val="18"/>
        </w:rPr>
        <w:tab/>
      </w:r>
      <w:r w:rsidRPr="00FE42FF">
        <w:rPr>
          <w:b w:val="0"/>
          <w:noProof/>
          <w:sz w:val="18"/>
        </w:rPr>
        <w:fldChar w:fldCharType="begin"/>
      </w:r>
      <w:r w:rsidRPr="00FE42FF">
        <w:rPr>
          <w:b w:val="0"/>
          <w:noProof/>
          <w:sz w:val="18"/>
        </w:rPr>
        <w:instrText xml:space="preserve"> PAGEREF _Toc160609796 \h </w:instrText>
      </w:r>
      <w:r w:rsidRPr="00FE42FF">
        <w:rPr>
          <w:b w:val="0"/>
          <w:noProof/>
          <w:sz w:val="18"/>
        </w:rPr>
      </w:r>
      <w:r w:rsidRPr="00FE42FF">
        <w:rPr>
          <w:b w:val="0"/>
          <w:noProof/>
          <w:sz w:val="18"/>
        </w:rPr>
        <w:fldChar w:fldCharType="separate"/>
      </w:r>
      <w:r w:rsidRPr="00FE42FF">
        <w:rPr>
          <w:b w:val="0"/>
          <w:noProof/>
          <w:sz w:val="18"/>
        </w:rPr>
        <w:t>73</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3—Modifications relating to insurance options under contract associated with superannuation interest</w:t>
      </w:r>
      <w:r w:rsidRPr="00FE42FF">
        <w:rPr>
          <w:b w:val="0"/>
          <w:noProof/>
          <w:sz w:val="18"/>
        </w:rPr>
        <w:tab/>
      </w:r>
      <w:r w:rsidRPr="00FE42FF">
        <w:rPr>
          <w:b w:val="0"/>
          <w:noProof/>
          <w:sz w:val="18"/>
        </w:rPr>
        <w:fldChar w:fldCharType="begin"/>
      </w:r>
      <w:r w:rsidRPr="00FE42FF">
        <w:rPr>
          <w:b w:val="0"/>
          <w:noProof/>
          <w:sz w:val="18"/>
        </w:rPr>
        <w:instrText xml:space="preserve"> PAGEREF _Toc160609797 \h </w:instrText>
      </w:r>
      <w:r w:rsidRPr="00FE42FF">
        <w:rPr>
          <w:b w:val="0"/>
          <w:noProof/>
          <w:sz w:val="18"/>
        </w:rPr>
      </w:r>
      <w:r w:rsidRPr="00FE42FF">
        <w:rPr>
          <w:b w:val="0"/>
          <w:noProof/>
          <w:sz w:val="18"/>
        </w:rPr>
        <w:fldChar w:fldCharType="separate"/>
      </w:r>
      <w:r w:rsidRPr="00FE42FF">
        <w:rPr>
          <w:b w:val="0"/>
          <w:noProof/>
          <w:sz w:val="18"/>
        </w:rPr>
        <w:t>74</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5A—Modifications for standard margin lending facilities</w:t>
      </w:r>
      <w:r w:rsidRPr="00FE42FF">
        <w:rPr>
          <w:b w:val="0"/>
          <w:noProof/>
          <w:sz w:val="18"/>
        </w:rPr>
        <w:tab/>
      </w:r>
      <w:r w:rsidRPr="00FE42FF">
        <w:rPr>
          <w:b w:val="0"/>
          <w:noProof/>
          <w:sz w:val="18"/>
        </w:rPr>
        <w:fldChar w:fldCharType="begin"/>
      </w:r>
      <w:r w:rsidRPr="00FE42FF">
        <w:rPr>
          <w:b w:val="0"/>
          <w:noProof/>
          <w:sz w:val="18"/>
        </w:rPr>
        <w:instrText xml:space="preserve"> PAGEREF _Toc160609798 \h </w:instrText>
      </w:r>
      <w:r w:rsidRPr="00FE42FF">
        <w:rPr>
          <w:b w:val="0"/>
          <w:noProof/>
          <w:sz w:val="18"/>
        </w:rPr>
      </w:r>
      <w:r w:rsidRPr="00FE42FF">
        <w:rPr>
          <w:b w:val="0"/>
          <w:noProof/>
          <w:sz w:val="18"/>
        </w:rPr>
        <w:fldChar w:fldCharType="separate"/>
      </w:r>
      <w:r w:rsidRPr="00FE42FF">
        <w:rPr>
          <w:b w:val="0"/>
          <w:noProof/>
          <w:sz w:val="18"/>
        </w:rPr>
        <w:t>75</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5B—Modifications for superannuation products to which Subdivision 4.2B of Division 4 of Part 7.9 applies</w:t>
      </w:r>
      <w:r w:rsidRPr="00FE42FF">
        <w:rPr>
          <w:b w:val="0"/>
          <w:noProof/>
          <w:sz w:val="18"/>
        </w:rPr>
        <w:tab/>
      </w:r>
      <w:r w:rsidRPr="00FE42FF">
        <w:rPr>
          <w:b w:val="0"/>
          <w:noProof/>
          <w:sz w:val="18"/>
        </w:rPr>
        <w:fldChar w:fldCharType="begin"/>
      </w:r>
      <w:r w:rsidRPr="00FE42FF">
        <w:rPr>
          <w:b w:val="0"/>
          <w:noProof/>
          <w:sz w:val="18"/>
        </w:rPr>
        <w:instrText xml:space="preserve"> PAGEREF _Toc160609799 \h </w:instrText>
      </w:r>
      <w:r w:rsidRPr="00FE42FF">
        <w:rPr>
          <w:b w:val="0"/>
          <w:noProof/>
          <w:sz w:val="18"/>
        </w:rPr>
      </w:r>
      <w:r w:rsidRPr="00FE42FF">
        <w:rPr>
          <w:b w:val="0"/>
          <w:noProof/>
          <w:sz w:val="18"/>
        </w:rPr>
        <w:fldChar w:fldCharType="separate"/>
      </w:r>
      <w:r w:rsidRPr="00FE42FF">
        <w:rPr>
          <w:b w:val="0"/>
          <w:noProof/>
          <w:sz w:val="18"/>
        </w:rPr>
        <w:t>77</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5C—Modifications for simple managed investment scheme</w:t>
      </w:r>
      <w:r w:rsidRPr="00FE42FF">
        <w:rPr>
          <w:b w:val="0"/>
          <w:noProof/>
          <w:sz w:val="18"/>
        </w:rPr>
        <w:tab/>
      </w:r>
      <w:r w:rsidRPr="00FE42FF">
        <w:rPr>
          <w:b w:val="0"/>
          <w:noProof/>
          <w:sz w:val="18"/>
        </w:rPr>
        <w:fldChar w:fldCharType="begin"/>
      </w:r>
      <w:r w:rsidRPr="00FE42FF">
        <w:rPr>
          <w:b w:val="0"/>
          <w:noProof/>
          <w:sz w:val="18"/>
        </w:rPr>
        <w:instrText xml:space="preserve"> PAGEREF _Toc160609800 \h </w:instrText>
      </w:r>
      <w:r w:rsidRPr="00FE42FF">
        <w:rPr>
          <w:b w:val="0"/>
          <w:noProof/>
          <w:sz w:val="18"/>
        </w:rPr>
      </w:r>
      <w:r w:rsidRPr="00FE42FF">
        <w:rPr>
          <w:b w:val="0"/>
          <w:noProof/>
          <w:sz w:val="18"/>
        </w:rPr>
        <w:fldChar w:fldCharType="separate"/>
      </w:r>
      <w:r w:rsidRPr="00FE42FF">
        <w:rPr>
          <w:b w:val="0"/>
          <w:noProof/>
          <w:sz w:val="18"/>
        </w:rPr>
        <w:t>79</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5D—Modifications for simple sub</w:t>
      </w:r>
      <w:r>
        <w:rPr>
          <w:noProof/>
        </w:rPr>
        <w:noBreakHyphen/>
        <w:t>fund product</w:t>
      </w:r>
      <w:r w:rsidRPr="00FE42FF">
        <w:rPr>
          <w:b w:val="0"/>
          <w:noProof/>
          <w:sz w:val="18"/>
        </w:rPr>
        <w:tab/>
      </w:r>
      <w:r w:rsidRPr="00FE42FF">
        <w:rPr>
          <w:b w:val="0"/>
          <w:noProof/>
          <w:sz w:val="18"/>
        </w:rPr>
        <w:fldChar w:fldCharType="begin"/>
      </w:r>
      <w:r w:rsidRPr="00FE42FF">
        <w:rPr>
          <w:b w:val="0"/>
          <w:noProof/>
          <w:sz w:val="18"/>
        </w:rPr>
        <w:instrText xml:space="preserve"> PAGEREF _Toc160609801 \h </w:instrText>
      </w:r>
      <w:r w:rsidRPr="00FE42FF">
        <w:rPr>
          <w:b w:val="0"/>
          <w:noProof/>
          <w:sz w:val="18"/>
        </w:rPr>
      </w:r>
      <w:r w:rsidRPr="00FE42FF">
        <w:rPr>
          <w:b w:val="0"/>
          <w:noProof/>
          <w:sz w:val="18"/>
        </w:rPr>
        <w:fldChar w:fldCharType="separate"/>
      </w:r>
      <w:r w:rsidRPr="00FE42FF">
        <w:rPr>
          <w:b w:val="0"/>
          <w:noProof/>
          <w:sz w:val="18"/>
        </w:rPr>
        <w:t>81</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6—Modifications relating to application forms and Product Disclosure Statements for standard employer</w:t>
      </w:r>
      <w:r>
        <w:rPr>
          <w:noProof/>
        </w:rPr>
        <w:noBreakHyphen/>
        <w:t>sponsor arrangements and successor funds</w:t>
      </w:r>
      <w:r w:rsidRPr="00FE42FF">
        <w:rPr>
          <w:b w:val="0"/>
          <w:noProof/>
          <w:sz w:val="18"/>
        </w:rPr>
        <w:tab/>
      </w:r>
      <w:r w:rsidRPr="00FE42FF">
        <w:rPr>
          <w:b w:val="0"/>
          <w:noProof/>
          <w:sz w:val="18"/>
        </w:rPr>
        <w:fldChar w:fldCharType="begin"/>
      </w:r>
      <w:r w:rsidRPr="00FE42FF">
        <w:rPr>
          <w:b w:val="0"/>
          <w:noProof/>
          <w:sz w:val="18"/>
        </w:rPr>
        <w:instrText xml:space="preserve"> PAGEREF _Toc160609802 \h </w:instrText>
      </w:r>
      <w:r w:rsidRPr="00FE42FF">
        <w:rPr>
          <w:b w:val="0"/>
          <w:noProof/>
          <w:sz w:val="18"/>
        </w:rPr>
      </w:r>
      <w:r w:rsidRPr="00FE42FF">
        <w:rPr>
          <w:b w:val="0"/>
          <w:noProof/>
          <w:sz w:val="18"/>
        </w:rPr>
        <w:fldChar w:fldCharType="separate"/>
      </w:r>
      <w:r w:rsidRPr="00FE42FF">
        <w:rPr>
          <w:b w:val="0"/>
          <w:noProof/>
          <w:sz w:val="18"/>
        </w:rPr>
        <w:t>83</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6A—Modifications relating to MySuper measures</w:t>
      </w:r>
      <w:r w:rsidRPr="00FE42FF">
        <w:rPr>
          <w:b w:val="0"/>
          <w:noProof/>
          <w:sz w:val="18"/>
        </w:rPr>
        <w:tab/>
      </w:r>
      <w:r w:rsidRPr="00FE42FF">
        <w:rPr>
          <w:b w:val="0"/>
          <w:noProof/>
          <w:sz w:val="18"/>
        </w:rPr>
        <w:fldChar w:fldCharType="begin"/>
      </w:r>
      <w:r w:rsidRPr="00FE42FF">
        <w:rPr>
          <w:b w:val="0"/>
          <w:noProof/>
          <w:sz w:val="18"/>
        </w:rPr>
        <w:instrText xml:space="preserve"> PAGEREF _Toc160609803 \h </w:instrText>
      </w:r>
      <w:r w:rsidRPr="00FE42FF">
        <w:rPr>
          <w:b w:val="0"/>
          <w:noProof/>
          <w:sz w:val="18"/>
        </w:rPr>
      </w:r>
      <w:r w:rsidRPr="00FE42FF">
        <w:rPr>
          <w:b w:val="0"/>
          <w:noProof/>
          <w:sz w:val="18"/>
        </w:rPr>
        <w:fldChar w:fldCharType="separate"/>
      </w:r>
      <w:r w:rsidRPr="00FE42FF">
        <w:rPr>
          <w:b w:val="0"/>
          <w:noProof/>
          <w:sz w:val="18"/>
        </w:rPr>
        <w:t>84</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7—Modifications relating to life pensioners, members subject to compulsory protection of small amounts and members with small amounts that are expected to grow quickly</w:t>
      </w:r>
      <w:r w:rsidRPr="00FE42FF">
        <w:rPr>
          <w:b w:val="0"/>
          <w:noProof/>
          <w:sz w:val="18"/>
        </w:rPr>
        <w:tab/>
      </w:r>
      <w:r w:rsidRPr="00FE42FF">
        <w:rPr>
          <w:b w:val="0"/>
          <w:noProof/>
          <w:sz w:val="18"/>
        </w:rPr>
        <w:fldChar w:fldCharType="begin"/>
      </w:r>
      <w:r w:rsidRPr="00FE42FF">
        <w:rPr>
          <w:b w:val="0"/>
          <w:noProof/>
          <w:sz w:val="18"/>
        </w:rPr>
        <w:instrText xml:space="preserve"> PAGEREF _Toc160609804 \h </w:instrText>
      </w:r>
      <w:r w:rsidRPr="00FE42FF">
        <w:rPr>
          <w:b w:val="0"/>
          <w:noProof/>
          <w:sz w:val="18"/>
        </w:rPr>
      </w:r>
      <w:r w:rsidRPr="00FE42FF">
        <w:rPr>
          <w:b w:val="0"/>
          <w:noProof/>
          <w:sz w:val="18"/>
        </w:rPr>
        <w:fldChar w:fldCharType="separate"/>
      </w:r>
      <w:r w:rsidRPr="00FE42FF">
        <w:rPr>
          <w:b w:val="0"/>
          <w:noProof/>
          <w:sz w:val="18"/>
        </w:rPr>
        <w:t>85</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8—Modifications relating to periodic statements for RSA providers</w:t>
      </w:r>
      <w:r w:rsidRPr="00FE42FF">
        <w:rPr>
          <w:b w:val="0"/>
          <w:noProof/>
          <w:sz w:val="18"/>
        </w:rPr>
        <w:tab/>
      </w:r>
      <w:r w:rsidRPr="00FE42FF">
        <w:rPr>
          <w:b w:val="0"/>
          <w:noProof/>
          <w:sz w:val="18"/>
        </w:rPr>
        <w:fldChar w:fldCharType="begin"/>
      </w:r>
      <w:r w:rsidRPr="00FE42FF">
        <w:rPr>
          <w:b w:val="0"/>
          <w:noProof/>
          <w:sz w:val="18"/>
        </w:rPr>
        <w:instrText xml:space="preserve"> PAGEREF _Toc160609805 \h </w:instrText>
      </w:r>
      <w:r w:rsidRPr="00FE42FF">
        <w:rPr>
          <w:b w:val="0"/>
          <w:noProof/>
          <w:sz w:val="18"/>
        </w:rPr>
      </w:r>
      <w:r w:rsidRPr="00FE42FF">
        <w:rPr>
          <w:b w:val="0"/>
          <w:noProof/>
          <w:sz w:val="18"/>
        </w:rPr>
        <w:fldChar w:fldCharType="separate"/>
      </w:r>
      <w:r w:rsidRPr="00FE42FF">
        <w:rPr>
          <w:b w:val="0"/>
          <w:noProof/>
          <w:sz w:val="18"/>
        </w:rPr>
        <w:t>87</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9—Modifications relating to periodic statements for superannuation entities and RSA providers</w:t>
      </w:r>
      <w:r w:rsidRPr="00FE42FF">
        <w:rPr>
          <w:b w:val="0"/>
          <w:noProof/>
          <w:sz w:val="18"/>
        </w:rPr>
        <w:tab/>
      </w:r>
      <w:r w:rsidRPr="00FE42FF">
        <w:rPr>
          <w:b w:val="0"/>
          <w:noProof/>
          <w:sz w:val="18"/>
        </w:rPr>
        <w:fldChar w:fldCharType="begin"/>
      </w:r>
      <w:r w:rsidRPr="00FE42FF">
        <w:rPr>
          <w:b w:val="0"/>
          <w:noProof/>
          <w:sz w:val="18"/>
        </w:rPr>
        <w:instrText xml:space="preserve"> PAGEREF _Toc160609806 \h </w:instrText>
      </w:r>
      <w:r w:rsidRPr="00FE42FF">
        <w:rPr>
          <w:b w:val="0"/>
          <w:noProof/>
          <w:sz w:val="18"/>
        </w:rPr>
      </w:r>
      <w:r w:rsidRPr="00FE42FF">
        <w:rPr>
          <w:b w:val="0"/>
          <w:noProof/>
          <w:sz w:val="18"/>
        </w:rPr>
        <w:fldChar w:fldCharType="separate"/>
      </w:r>
      <w:r w:rsidRPr="00FE42FF">
        <w:rPr>
          <w:b w:val="0"/>
          <w:noProof/>
          <w:sz w:val="18"/>
        </w:rPr>
        <w:t>89</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10—Modifications relating to ongoing disclosure of material changes and significant events in relation to superannuation products and RSAs</w:t>
      </w:r>
      <w:r w:rsidRPr="00FE42FF">
        <w:rPr>
          <w:b w:val="0"/>
          <w:noProof/>
          <w:sz w:val="18"/>
        </w:rPr>
        <w:tab/>
      </w:r>
      <w:r w:rsidRPr="00FE42FF">
        <w:rPr>
          <w:b w:val="0"/>
          <w:noProof/>
          <w:sz w:val="18"/>
        </w:rPr>
        <w:fldChar w:fldCharType="begin"/>
      </w:r>
      <w:r w:rsidRPr="00FE42FF">
        <w:rPr>
          <w:b w:val="0"/>
          <w:noProof/>
          <w:sz w:val="18"/>
        </w:rPr>
        <w:instrText xml:space="preserve"> PAGEREF _Toc160609807 \h </w:instrText>
      </w:r>
      <w:r w:rsidRPr="00FE42FF">
        <w:rPr>
          <w:b w:val="0"/>
          <w:noProof/>
          <w:sz w:val="18"/>
        </w:rPr>
      </w:r>
      <w:r w:rsidRPr="00FE42FF">
        <w:rPr>
          <w:b w:val="0"/>
          <w:noProof/>
          <w:sz w:val="18"/>
        </w:rPr>
        <w:fldChar w:fldCharType="separate"/>
      </w:r>
      <w:r w:rsidRPr="00FE42FF">
        <w:rPr>
          <w:b w:val="0"/>
          <w:noProof/>
          <w:sz w:val="18"/>
        </w:rPr>
        <w:t>90</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11—Modifications relating to charges for information requested</w:t>
      </w:r>
      <w:r w:rsidRPr="00FE42FF">
        <w:rPr>
          <w:b w:val="0"/>
          <w:noProof/>
          <w:sz w:val="18"/>
        </w:rPr>
        <w:tab/>
      </w:r>
      <w:r w:rsidRPr="00FE42FF">
        <w:rPr>
          <w:b w:val="0"/>
          <w:noProof/>
          <w:sz w:val="18"/>
        </w:rPr>
        <w:fldChar w:fldCharType="begin"/>
      </w:r>
      <w:r w:rsidRPr="00FE42FF">
        <w:rPr>
          <w:b w:val="0"/>
          <w:noProof/>
          <w:sz w:val="18"/>
        </w:rPr>
        <w:instrText xml:space="preserve"> PAGEREF _Toc160609808 \h </w:instrText>
      </w:r>
      <w:r w:rsidRPr="00FE42FF">
        <w:rPr>
          <w:b w:val="0"/>
          <w:noProof/>
          <w:sz w:val="18"/>
        </w:rPr>
      </w:r>
      <w:r w:rsidRPr="00FE42FF">
        <w:rPr>
          <w:b w:val="0"/>
          <w:noProof/>
          <w:sz w:val="18"/>
        </w:rPr>
        <w:fldChar w:fldCharType="separate"/>
      </w:r>
      <w:r w:rsidRPr="00FE42FF">
        <w:rPr>
          <w:b w:val="0"/>
          <w:noProof/>
          <w:sz w:val="18"/>
        </w:rPr>
        <w:t>92</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12—Modifications relating to information when member leaves a fund</w:t>
      </w:r>
      <w:r w:rsidRPr="00FE42FF">
        <w:rPr>
          <w:b w:val="0"/>
          <w:noProof/>
          <w:sz w:val="18"/>
        </w:rPr>
        <w:tab/>
      </w:r>
      <w:r w:rsidRPr="00FE42FF">
        <w:rPr>
          <w:b w:val="0"/>
          <w:noProof/>
          <w:sz w:val="18"/>
        </w:rPr>
        <w:fldChar w:fldCharType="begin"/>
      </w:r>
      <w:r w:rsidRPr="00FE42FF">
        <w:rPr>
          <w:b w:val="0"/>
          <w:noProof/>
          <w:sz w:val="18"/>
        </w:rPr>
        <w:instrText xml:space="preserve"> PAGEREF _Toc160609809 \h </w:instrText>
      </w:r>
      <w:r w:rsidRPr="00FE42FF">
        <w:rPr>
          <w:b w:val="0"/>
          <w:noProof/>
          <w:sz w:val="18"/>
        </w:rPr>
      </w:r>
      <w:r w:rsidRPr="00FE42FF">
        <w:rPr>
          <w:b w:val="0"/>
          <w:noProof/>
          <w:sz w:val="18"/>
        </w:rPr>
        <w:fldChar w:fldCharType="separate"/>
      </w:r>
      <w:r w:rsidRPr="00FE42FF">
        <w:rPr>
          <w:b w:val="0"/>
          <w:noProof/>
          <w:sz w:val="18"/>
        </w:rPr>
        <w:t>93</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13—Modifications relating to exceptions to exit reporting period provisions</w:t>
      </w:r>
      <w:r w:rsidRPr="00FE42FF">
        <w:rPr>
          <w:b w:val="0"/>
          <w:noProof/>
          <w:sz w:val="18"/>
        </w:rPr>
        <w:tab/>
      </w:r>
      <w:r w:rsidRPr="00FE42FF">
        <w:rPr>
          <w:b w:val="0"/>
          <w:noProof/>
          <w:sz w:val="18"/>
        </w:rPr>
        <w:fldChar w:fldCharType="begin"/>
      </w:r>
      <w:r w:rsidRPr="00FE42FF">
        <w:rPr>
          <w:b w:val="0"/>
          <w:noProof/>
          <w:sz w:val="18"/>
        </w:rPr>
        <w:instrText xml:space="preserve"> PAGEREF _Toc160609810 \h </w:instrText>
      </w:r>
      <w:r w:rsidRPr="00FE42FF">
        <w:rPr>
          <w:b w:val="0"/>
          <w:noProof/>
          <w:sz w:val="18"/>
        </w:rPr>
      </w:r>
      <w:r w:rsidRPr="00FE42FF">
        <w:rPr>
          <w:b w:val="0"/>
          <w:noProof/>
          <w:sz w:val="18"/>
        </w:rPr>
        <w:fldChar w:fldCharType="separate"/>
      </w:r>
      <w:r w:rsidRPr="00FE42FF">
        <w:rPr>
          <w:b w:val="0"/>
          <w:noProof/>
          <w:sz w:val="18"/>
        </w:rPr>
        <w:t>94</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14—Modifications relating to obligation to give information about financial products</w:t>
      </w:r>
      <w:r w:rsidRPr="00FE42FF">
        <w:rPr>
          <w:b w:val="0"/>
          <w:noProof/>
          <w:sz w:val="18"/>
        </w:rPr>
        <w:tab/>
      </w:r>
      <w:r w:rsidRPr="00FE42FF">
        <w:rPr>
          <w:b w:val="0"/>
          <w:noProof/>
          <w:sz w:val="18"/>
        </w:rPr>
        <w:fldChar w:fldCharType="begin"/>
      </w:r>
      <w:r w:rsidRPr="00FE42FF">
        <w:rPr>
          <w:b w:val="0"/>
          <w:noProof/>
          <w:sz w:val="18"/>
        </w:rPr>
        <w:instrText xml:space="preserve"> PAGEREF _Toc160609811 \h </w:instrText>
      </w:r>
      <w:r w:rsidRPr="00FE42FF">
        <w:rPr>
          <w:b w:val="0"/>
          <w:noProof/>
          <w:sz w:val="18"/>
        </w:rPr>
      </w:r>
      <w:r w:rsidRPr="00FE42FF">
        <w:rPr>
          <w:b w:val="0"/>
          <w:noProof/>
          <w:sz w:val="18"/>
        </w:rPr>
        <w:fldChar w:fldCharType="separate"/>
      </w:r>
      <w:r w:rsidRPr="00FE42FF">
        <w:rPr>
          <w:b w:val="0"/>
          <w:noProof/>
          <w:sz w:val="18"/>
        </w:rPr>
        <w:t>95</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15—Modifications for confirmation of transactions</w:t>
      </w:r>
      <w:r w:rsidRPr="00FE42FF">
        <w:rPr>
          <w:b w:val="0"/>
          <w:noProof/>
          <w:sz w:val="18"/>
        </w:rPr>
        <w:tab/>
      </w:r>
      <w:r w:rsidRPr="00FE42FF">
        <w:rPr>
          <w:b w:val="0"/>
          <w:noProof/>
          <w:sz w:val="18"/>
        </w:rPr>
        <w:fldChar w:fldCharType="begin"/>
      </w:r>
      <w:r w:rsidRPr="00FE42FF">
        <w:rPr>
          <w:b w:val="0"/>
          <w:noProof/>
          <w:sz w:val="18"/>
        </w:rPr>
        <w:instrText xml:space="preserve"> PAGEREF _Toc160609812 \h </w:instrText>
      </w:r>
      <w:r w:rsidRPr="00FE42FF">
        <w:rPr>
          <w:b w:val="0"/>
          <w:noProof/>
          <w:sz w:val="18"/>
        </w:rPr>
      </w:r>
      <w:r w:rsidRPr="00FE42FF">
        <w:rPr>
          <w:b w:val="0"/>
          <w:noProof/>
          <w:sz w:val="18"/>
        </w:rPr>
        <w:fldChar w:fldCharType="separate"/>
      </w:r>
      <w:r w:rsidRPr="00FE42FF">
        <w:rPr>
          <w:b w:val="0"/>
          <w:noProof/>
          <w:sz w:val="18"/>
        </w:rPr>
        <w:t>97</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16—Modifications relating to reporting periods</w:t>
      </w:r>
      <w:r w:rsidRPr="00FE42FF">
        <w:rPr>
          <w:b w:val="0"/>
          <w:noProof/>
          <w:sz w:val="18"/>
        </w:rPr>
        <w:tab/>
      </w:r>
      <w:r w:rsidRPr="00FE42FF">
        <w:rPr>
          <w:b w:val="0"/>
          <w:noProof/>
          <w:sz w:val="18"/>
        </w:rPr>
        <w:fldChar w:fldCharType="begin"/>
      </w:r>
      <w:r w:rsidRPr="00FE42FF">
        <w:rPr>
          <w:b w:val="0"/>
          <w:noProof/>
          <w:sz w:val="18"/>
        </w:rPr>
        <w:instrText xml:space="preserve"> PAGEREF _Toc160609813 \h </w:instrText>
      </w:r>
      <w:r w:rsidRPr="00FE42FF">
        <w:rPr>
          <w:b w:val="0"/>
          <w:noProof/>
          <w:sz w:val="18"/>
        </w:rPr>
      </w:r>
      <w:r w:rsidRPr="00FE42FF">
        <w:rPr>
          <w:b w:val="0"/>
          <w:noProof/>
          <w:sz w:val="18"/>
        </w:rPr>
        <w:fldChar w:fldCharType="separate"/>
      </w:r>
      <w:r w:rsidRPr="00FE42FF">
        <w:rPr>
          <w:b w:val="0"/>
          <w:noProof/>
          <w:sz w:val="18"/>
        </w:rPr>
        <w:t>98</w:t>
      </w:r>
      <w:r w:rsidRPr="00FE42FF">
        <w:rPr>
          <w:b w:val="0"/>
          <w:noProof/>
          <w:sz w:val="18"/>
        </w:rPr>
        <w:fldChar w:fldCharType="end"/>
      </w:r>
    </w:p>
    <w:p w:rsidR="00FE42FF" w:rsidRDefault="00FE42FF" w:rsidP="00B96795">
      <w:pPr>
        <w:pStyle w:val="TOC2"/>
        <w:keepNext w:val="0"/>
        <w:keepLines w:val="0"/>
        <w:rPr>
          <w:rFonts w:asciiTheme="minorHAnsi" w:eastAsiaTheme="minorEastAsia" w:hAnsiTheme="minorHAnsi" w:cstheme="minorBidi"/>
          <w:b w:val="0"/>
          <w:noProof/>
          <w:kern w:val="0"/>
          <w:sz w:val="22"/>
          <w:szCs w:val="22"/>
        </w:rPr>
      </w:pPr>
      <w:r>
        <w:rPr>
          <w:noProof/>
        </w:rPr>
        <w:t>Part 17—Modifications relating to application forms for specified superannuation products</w:t>
      </w:r>
      <w:r w:rsidRPr="00FE42FF">
        <w:rPr>
          <w:b w:val="0"/>
          <w:noProof/>
          <w:sz w:val="18"/>
        </w:rPr>
        <w:tab/>
      </w:r>
      <w:r w:rsidRPr="00FE42FF">
        <w:rPr>
          <w:b w:val="0"/>
          <w:noProof/>
          <w:sz w:val="18"/>
        </w:rPr>
        <w:fldChar w:fldCharType="begin"/>
      </w:r>
      <w:r w:rsidRPr="00FE42FF">
        <w:rPr>
          <w:b w:val="0"/>
          <w:noProof/>
          <w:sz w:val="18"/>
        </w:rPr>
        <w:instrText xml:space="preserve"> PAGEREF _Toc160609814 \h </w:instrText>
      </w:r>
      <w:r w:rsidRPr="00FE42FF">
        <w:rPr>
          <w:b w:val="0"/>
          <w:noProof/>
          <w:sz w:val="18"/>
        </w:rPr>
      </w:r>
      <w:r w:rsidRPr="00FE42FF">
        <w:rPr>
          <w:b w:val="0"/>
          <w:noProof/>
          <w:sz w:val="18"/>
        </w:rPr>
        <w:fldChar w:fldCharType="separate"/>
      </w:r>
      <w:r w:rsidRPr="00FE42FF">
        <w:rPr>
          <w:b w:val="0"/>
          <w:noProof/>
          <w:sz w:val="18"/>
        </w:rPr>
        <w:t>99</w:t>
      </w:r>
      <w:r w:rsidRPr="00FE42FF">
        <w:rPr>
          <w:b w:val="0"/>
          <w:noProof/>
          <w:sz w:val="18"/>
        </w:rPr>
        <w:fldChar w:fldCharType="end"/>
      </w:r>
    </w:p>
    <w:bookmarkEnd w:id="0"/>
    <w:p w:rsidR="00FE42FF" w:rsidRDefault="00FE42FF">
      <w:pPr>
        <w:pStyle w:val="TOC2"/>
        <w:rPr>
          <w:rFonts w:asciiTheme="minorHAnsi" w:eastAsiaTheme="minorEastAsia" w:hAnsiTheme="minorHAnsi" w:cstheme="minorBidi"/>
          <w:b w:val="0"/>
          <w:noProof/>
          <w:kern w:val="0"/>
          <w:sz w:val="22"/>
          <w:szCs w:val="22"/>
        </w:rPr>
      </w:pPr>
      <w:r>
        <w:rPr>
          <w:noProof/>
        </w:rPr>
        <w:t>Part 18—Modification of Part 7.9 of the Act—New Zealand offer documents replace Product Disclosure Statements where an offer relates to interests in a New Zealand managed investment scheme</w:t>
      </w:r>
      <w:r w:rsidRPr="00FE42FF">
        <w:rPr>
          <w:b w:val="0"/>
          <w:noProof/>
          <w:sz w:val="18"/>
        </w:rPr>
        <w:tab/>
      </w:r>
      <w:r w:rsidRPr="00FE42FF">
        <w:rPr>
          <w:b w:val="0"/>
          <w:noProof/>
          <w:sz w:val="18"/>
        </w:rPr>
        <w:fldChar w:fldCharType="begin"/>
      </w:r>
      <w:r w:rsidRPr="00FE42FF">
        <w:rPr>
          <w:b w:val="0"/>
          <w:noProof/>
          <w:sz w:val="18"/>
        </w:rPr>
        <w:instrText xml:space="preserve"> PAGEREF _Toc160609815 \h </w:instrText>
      </w:r>
      <w:r w:rsidRPr="00FE42FF">
        <w:rPr>
          <w:b w:val="0"/>
          <w:noProof/>
          <w:sz w:val="18"/>
        </w:rPr>
      </w:r>
      <w:r w:rsidRPr="00FE42FF">
        <w:rPr>
          <w:b w:val="0"/>
          <w:noProof/>
          <w:sz w:val="18"/>
        </w:rPr>
        <w:fldChar w:fldCharType="separate"/>
      </w:r>
      <w:r w:rsidRPr="00FE42FF">
        <w:rPr>
          <w:b w:val="0"/>
          <w:noProof/>
          <w:sz w:val="18"/>
        </w:rPr>
        <w:t>100</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19—Modifications for carbon units, Australian carbon credit units and eligible international emissions units</w:t>
      </w:r>
      <w:r w:rsidRPr="00FE42FF">
        <w:rPr>
          <w:b w:val="0"/>
          <w:noProof/>
          <w:sz w:val="18"/>
        </w:rPr>
        <w:tab/>
      </w:r>
      <w:r w:rsidRPr="00FE42FF">
        <w:rPr>
          <w:b w:val="0"/>
          <w:noProof/>
          <w:sz w:val="18"/>
        </w:rPr>
        <w:fldChar w:fldCharType="begin"/>
      </w:r>
      <w:r w:rsidRPr="00FE42FF">
        <w:rPr>
          <w:b w:val="0"/>
          <w:noProof/>
          <w:sz w:val="18"/>
        </w:rPr>
        <w:instrText xml:space="preserve"> PAGEREF _Toc160609816 \h </w:instrText>
      </w:r>
      <w:r w:rsidRPr="00FE42FF">
        <w:rPr>
          <w:b w:val="0"/>
          <w:noProof/>
          <w:sz w:val="18"/>
        </w:rPr>
      </w:r>
      <w:r w:rsidRPr="00FE42FF">
        <w:rPr>
          <w:b w:val="0"/>
          <w:noProof/>
          <w:sz w:val="18"/>
        </w:rPr>
        <w:fldChar w:fldCharType="separate"/>
      </w:r>
      <w:r w:rsidRPr="00FE42FF">
        <w:rPr>
          <w:b w:val="0"/>
          <w:noProof/>
          <w:sz w:val="18"/>
        </w:rPr>
        <w:t>101</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10AA—Modifications of the Act in relation to their application in respect of a recognised offer or a proposed offer of securities that may become a recognised offer</w:t>
      </w:r>
      <w:r w:rsidRPr="00FE42FF">
        <w:rPr>
          <w:b w:val="0"/>
          <w:noProof/>
          <w:sz w:val="18"/>
        </w:rPr>
        <w:tab/>
      </w:r>
      <w:r w:rsidRPr="00FE42FF">
        <w:rPr>
          <w:b w:val="0"/>
          <w:noProof/>
          <w:sz w:val="18"/>
        </w:rPr>
        <w:fldChar w:fldCharType="begin"/>
      </w:r>
      <w:r w:rsidRPr="00FE42FF">
        <w:rPr>
          <w:b w:val="0"/>
          <w:noProof/>
          <w:sz w:val="18"/>
        </w:rPr>
        <w:instrText xml:space="preserve"> PAGEREF _Toc160609817 \h </w:instrText>
      </w:r>
      <w:r w:rsidRPr="00FE42FF">
        <w:rPr>
          <w:b w:val="0"/>
          <w:noProof/>
          <w:sz w:val="18"/>
        </w:rPr>
      </w:r>
      <w:r w:rsidRPr="00FE42FF">
        <w:rPr>
          <w:b w:val="0"/>
          <w:noProof/>
          <w:sz w:val="18"/>
        </w:rPr>
        <w:fldChar w:fldCharType="separate"/>
      </w:r>
      <w:r w:rsidRPr="00FE42FF">
        <w:rPr>
          <w:b w:val="0"/>
          <w:noProof/>
          <w:sz w:val="18"/>
        </w:rPr>
        <w:t>112</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1—Modification of Part 6D.2 of the Act—disclosure to investors not required for recognised offer under Chapter 8</w:t>
      </w:r>
      <w:r w:rsidRPr="00FE42FF">
        <w:rPr>
          <w:b w:val="0"/>
          <w:noProof/>
          <w:sz w:val="18"/>
        </w:rPr>
        <w:tab/>
      </w:r>
      <w:r w:rsidRPr="00FE42FF">
        <w:rPr>
          <w:b w:val="0"/>
          <w:noProof/>
          <w:sz w:val="18"/>
        </w:rPr>
        <w:fldChar w:fldCharType="begin"/>
      </w:r>
      <w:r w:rsidRPr="00FE42FF">
        <w:rPr>
          <w:b w:val="0"/>
          <w:noProof/>
          <w:sz w:val="18"/>
        </w:rPr>
        <w:instrText xml:space="preserve"> PAGEREF _Toc160609818 \h </w:instrText>
      </w:r>
      <w:r w:rsidRPr="00FE42FF">
        <w:rPr>
          <w:b w:val="0"/>
          <w:noProof/>
          <w:sz w:val="18"/>
        </w:rPr>
      </w:r>
      <w:r w:rsidRPr="00FE42FF">
        <w:rPr>
          <w:b w:val="0"/>
          <w:noProof/>
          <w:sz w:val="18"/>
        </w:rPr>
        <w:fldChar w:fldCharType="separate"/>
      </w:r>
      <w:r w:rsidRPr="00FE42FF">
        <w:rPr>
          <w:b w:val="0"/>
          <w:noProof/>
          <w:sz w:val="18"/>
        </w:rPr>
        <w:t>112</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2—Modification of Part 7.9 of the Act—disclosure to investors not required for recognised offer under Chapter 8</w:t>
      </w:r>
      <w:r w:rsidRPr="00FE42FF">
        <w:rPr>
          <w:b w:val="0"/>
          <w:noProof/>
          <w:sz w:val="18"/>
        </w:rPr>
        <w:tab/>
      </w:r>
      <w:r w:rsidRPr="00FE42FF">
        <w:rPr>
          <w:b w:val="0"/>
          <w:noProof/>
          <w:sz w:val="18"/>
        </w:rPr>
        <w:fldChar w:fldCharType="begin"/>
      </w:r>
      <w:r w:rsidRPr="00FE42FF">
        <w:rPr>
          <w:b w:val="0"/>
          <w:noProof/>
          <w:sz w:val="18"/>
        </w:rPr>
        <w:instrText xml:space="preserve"> PAGEREF _Toc160609819 \h </w:instrText>
      </w:r>
      <w:r w:rsidRPr="00FE42FF">
        <w:rPr>
          <w:b w:val="0"/>
          <w:noProof/>
          <w:sz w:val="18"/>
        </w:rPr>
      </w:r>
      <w:r w:rsidRPr="00FE42FF">
        <w:rPr>
          <w:b w:val="0"/>
          <w:noProof/>
          <w:sz w:val="18"/>
        </w:rPr>
        <w:fldChar w:fldCharType="separate"/>
      </w:r>
      <w:r w:rsidRPr="00FE42FF">
        <w:rPr>
          <w:b w:val="0"/>
          <w:noProof/>
          <w:sz w:val="18"/>
        </w:rPr>
        <w:t>113</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10BA—Modifications of the Act relating to Short</w:t>
      </w:r>
      <w:r>
        <w:rPr>
          <w:noProof/>
        </w:rPr>
        <w:noBreakHyphen/>
        <w:t>Form Product Disclosure Statements</w:t>
      </w:r>
      <w:r w:rsidRPr="00FE42FF">
        <w:rPr>
          <w:b w:val="0"/>
          <w:noProof/>
          <w:sz w:val="18"/>
        </w:rPr>
        <w:tab/>
      </w:r>
      <w:r w:rsidRPr="00FE42FF">
        <w:rPr>
          <w:b w:val="0"/>
          <w:noProof/>
          <w:sz w:val="18"/>
        </w:rPr>
        <w:fldChar w:fldCharType="begin"/>
      </w:r>
      <w:r w:rsidRPr="00FE42FF">
        <w:rPr>
          <w:b w:val="0"/>
          <w:noProof/>
          <w:sz w:val="18"/>
        </w:rPr>
        <w:instrText xml:space="preserve"> PAGEREF _Toc160609820 \h </w:instrText>
      </w:r>
      <w:r w:rsidRPr="00FE42FF">
        <w:rPr>
          <w:b w:val="0"/>
          <w:noProof/>
          <w:sz w:val="18"/>
        </w:rPr>
      </w:r>
      <w:r w:rsidRPr="00FE42FF">
        <w:rPr>
          <w:b w:val="0"/>
          <w:noProof/>
          <w:sz w:val="18"/>
        </w:rPr>
        <w:fldChar w:fldCharType="separate"/>
      </w:r>
      <w:r w:rsidRPr="00FE42FF">
        <w:rPr>
          <w:b w:val="0"/>
          <w:noProof/>
          <w:sz w:val="18"/>
        </w:rPr>
        <w:t>115</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1—Modifications of Part 7.7 of the Act</w:t>
      </w:r>
      <w:r w:rsidRPr="00FE42FF">
        <w:rPr>
          <w:b w:val="0"/>
          <w:noProof/>
          <w:sz w:val="18"/>
        </w:rPr>
        <w:tab/>
      </w:r>
      <w:r w:rsidRPr="00FE42FF">
        <w:rPr>
          <w:b w:val="0"/>
          <w:noProof/>
          <w:sz w:val="18"/>
        </w:rPr>
        <w:fldChar w:fldCharType="begin"/>
      </w:r>
      <w:r w:rsidRPr="00FE42FF">
        <w:rPr>
          <w:b w:val="0"/>
          <w:noProof/>
          <w:sz w:val="18"/>
        </w:rPr>
        <w:instrText xml:space="preserve"> PAGEREF _Toc160609821 \h </w:instrText>
      </w:r>
      <w:r w:rsidRPr="00FE42FF">
        <w:rPr>
          <w:b w:val="0"/>
          <w:noProof/>
          <w:sz w:val="18"/>
        </w:rPr>
      </w:r>
      <w:r w:rsidRPr="00FE42FF">
        <w:rPr>
          <w:b w:val="0"/>
          <w:noProof/>
          <w:sz w:val="18"/>
        </w:rPr>
        <w:fldChar w:fldCharType="separate"/>
      </w:r>
      <w:r w:rsidRPr="00FE42FF">
        <w:rPr>
          <w:b w:val="0"/>
          <w:noProof/>
          <w:sz w:val="18"/>
        </w:rPr>
        <w:t>115</w:t>
      </w:r>
      <w:r w:rsidRPr="00FE42FF">
        <w:rPr>
          <w:b w:val="0"/>
          <w:noProof/>
          <w:sz w:val="18"/>
        </w:rPr>
        <w:fldChar w:fldCharType="end"/>
      </w:r>
    </w:p>
    <w:p w:rsidR="00FE42FF" w:rsidRDefault="00FE42FF">
      <w:pPr>
        <w:pStyle w:val="TOC2"/>
        <w:rPr>
          <w:rFonts w:asciiTheme="minorHAnsi" w:eastAsiaTheme="minorEastAsia" w:hAnsiTheme="minorHAnsi" w:cstheme="minorBidi"/>
          <w:b w:val="0"/>
          <w:noProof/>
          <w:kern w:val="0"/>
          <w:sz w:val="22"/>
          <w:szCs w:val="22"/>
        </w:rPr>
      </w:pPr>
      <w:r>
        <w:rPr>
          <w:noProof/>
        </w:rPr>
        <w:t>Part 3—Modifications of Part 7.9 of the Act</w:t>
      </w:r>
      <w:r w:rsidRPr="00FE42FF">
        <w:rPr>
          <w:b w:val="0"/>
          <w:noProof/>
          <w:sz w:val="18"/>
        </w:rPr>
        <w:tab/>
      </w:r>
      <w:r w:rsidRPr="00FE42FF">
        <w:rPr>
          <w:b w:val="0"/>
          <w:noProof/>
          <w:sz w:val="18"/>
        </w:rPr>
        <w:fldChar w:fldCharType="begin"/>
      </w:r>
      <w:r w:rsidRPr="00FE42FF">
        <w:rPr>
          <w:b w:val="0"/>
          <w:noProof/>
          <w:sz w:val="18"/>
        </w:rPr>
        <w:instrText xml:space="preserve"> PAGEREF _Toc160609822 \h </w:instrText>
      </w:r>
      <w:r w:rsidRPr="00FE42FF">
        <w:rPr>
          <w:b w:val="0"/>
          <w:noProof/>
          <w:sz w:val="18"/>
        </w:rPr>
      </w:r>
      <w:r w:rsidRPr="00FE42FF">
        <w:rPr>
          <w:b w:val="0"/>
          <w:noProof/>
          <w:sz w:val="18"/>
        </w:rPr>
        <w:fldChar w:fldCharType="separate"/>
      </w:r>
      <w:r w:rsidRPr="00FE42FF">
        <w:rPr>
          <w:b w:val="0"/>
          <w:noProof/>
          <w:sz w:val="18"/>
        </w:rPr>
        <w:t>116</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10C—Form and content of Product Disclosure Statement—standard margin lending facility</w:t>
      </w:r>
      <w:r w:rsidRPr="00FE42FF">
        <w:rPr>
          <w:b w:val="0"/>
          <w:noProof/>
          <w:sz w:val="18"/>
        </w:rPr>
        <w:tab/>
      </w:r>
      <w:r w:rsidRPr="00FE42FF">
        <w:rPr>
          <w:b w:val="0"/>
          <w:noProof/>
          <w:sz w:val="18"/>
        </w:rPr>
        <w:fldChar w:fldCharType="begin"/>
      </w:r>
      <w:r w:rsidRPr="00FE42FF">
        <w:rPr>
          <w:b w:val="0"/>
          <w:noProof/>
          <w:sz w:val="18"/>
        </w:rPr>
        <w:instrText xml:space="preserve"> PAGEREF _Toc160609823 \h </w:instrText>
      </w:r>
      <w:r w:rsidRPr="00FE42FF">
        <w:rPr>
          <w:b w:val="0"/>
          <w:noProof/>
          <w:sz w:val="18"/>
        </w:rPr>
      </w:r>
      <w:r w:rsidRPr="00FE42FF">
        <w:rPr>
          <w:b w:val="0"/>
          <w:noProof/>
          <w:sz w:val="18"/>
        </w:rPr>
        <w:fldChar w:fldCharType="separate"/>
      </w:r>
      <w:r w:rsidRPr="00FE42FF">
        <w:rPr>
          <w:b w:val="0"/>
          <w:noProof/>
          <w:sz w:val="18"/>
        </w:rPr>
        <w:t>125</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w:t>
      </w:r>
      <w:r>
        <w:rPr>
          <w:noProof/>
        </w:rPr>
        <w:tab/>
        <w:t>Length and font size for Product Disclosure Statement for standard margin lending facility</w:t>
      </w:r>
      <w:r w:rsidRPr="00FE42FF">
        <w:rPr>
          <w:noProof/>
        </w:rPr>
        <w:tab/>
      </w:r>
      <w:r w:rsidRPr="00FE42FF">
        <w:rPr>
          <w:noProof/>
        </w:rPr>
        <w:fldChar w:fldCharType="begin"/>
      </w:r>
      <w:r w:rsidRPr="00FE42FF">
        <w:rPr>
          <w:noProof/>
        </w:rPr>
        <w:instrText xml:space="preserve"> PAGEREF _Toc160609824 \h </w:instrText>
      </w:r>
      <w:r w:rsidRPr="00FE42FF">
        <w:rPr>
          <w:noProof/>
        </w:rPr>
      </w:r>
      <w:r w:rsidRPr="00FE42FF">
        <w:rPr>
          <w:noProof/>
        </w:rPr>
        <w:fldChar w:fldCharType="separate"/>
      </w:r>
      <w:r w:rsidRPr="00FE42FF">
        <w:rPr>
          <w:noProof/>
        </w:rPr>
        <w:t>125</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w:t>
      </w:r>
      <w:r>
        <w:rPr>
          <w:noProof/>
        </w:rPr>
        <w:tab/>
        <w:t>Minimum content of Product Disclosure Statement for standard margin lending facility</w:t>
      </w:r>
      <w:r w:rsidRPr="00FE42FF">
        <w:rPr>
          <w:noProof/>
        </w:rPr>
        <w:tab/>
      </w:r>
      <w:r w:rsidRPr="00FE42FF">
        <w:rPr>
          <w:noProof/>
        </w:rPr>
        <w:fldChar w:fldCharType="begin"/>
      </w:r>
      <w:r w:rsidRPr="00FE42FF">
        <w:rPr>
          <w:noProof/>
        </w:rPr>
        <w:instrText xml:space="preserve"> PAGEREF _Toc160609825 \h </w:instrText>
      </w:r>
      <w:r w:rsidRPr="00FE42FF">
        <w:rPr>
          <w:noProof/>
        </w:rPr>
      </w:r>
      <w:r w:rsidRPr="00FE42FF">
        <w:rPr>
          <w:noProof/>
        </w:rPr>
        <w:fldChar w:fldCharType="separate"/>
      </w:r>
      <w:r w:rsidRPr="00FE42FF">
        <w:rPr>
          <w:noProof/>
        </w:rPr>
        <w:t>125</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3</w:t>
      </w:r>
      <w:r>
        <w:rPr>
          <w:noProof/>
        </w:rPr>
        <w:tab/>
        <w:t>Contents of section 1 (About [name of provider of the standard margin lending facility] and [name of standard margin lending facility])</w:t>
      </w:r>
      <w:r w:rsidRPr="00FE42FF">
        <w:rPr>
          <w:noProof/>
        </w:rPr>
        <w:tab/>
      </w:r>
      <w:r w:rsidRPr="00FE42FF">
        <w:rPr>
          <w:noProof/>
        </w:rPr>
        <w:fldChar w:fldCharType="begin"/>
      </w:r>
      <w:r w:rsidRPr="00FE42FF">
        <w:rPr>
          <w:noProof/>
        </w:rPr>
        <w:instrText xml:space="preserve"> PAGEREF _Toc160609826 \h </w:instrText>
      </w:r>
      <w:r w:rsidRPr="00FE42FF">
        <w:rPr>
          <w:noProof/>
        </w:rPr>
      </w:r>
      <w:r w:rsidRPr="00FE42FF">
        <w:rPr>
          <w:noProof/>
        </w:rPr>
        <w:fldChar w:fldCharType="separate"/>
      </w:r>
      <w:r w:rsidRPr="00FE42FF">
        <w:rPr>
          <w:noProof/>
        </w:rPr>
        <w:t>126</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4</w:t>
      </w:r>
      <w:r>
        <w:rPr>
          <w:noProof/>
        </w:rPr>
        <w:tab/>
        <w:t>Contents of section 2 (Benefits of [name of standard margin lending facility])</w:t>
      </w:r>
      <w:r w:rsidRPr="00FE42FF">
        <w:rPr>
          <w:noProof/>
        </w:rPr>
        <w:tab/>
      </w:r>
      <w:r w:rsidRPr="00FE42FF">
        <w:rPr>
          <w:noProof/>
        </w:rPr>
        <w:fldChar w:fldCharType="begin"/>
      </w:r>
      <w:r w:rsidRPr="00FE42FF">
        <w:rPr>
          <w:noProof/>
        </w:rPr>
        <w:instrText xml:space="preserve"> PAGEREF _Toc160609827 \h </w:instrText>
      </w:r>
      <w:r w:rsidRPr="00FE42FF">
        <w:rPr>
          <w:noProof/>
        </w:rPr>
      </w:r>
      <w:r w:rsidRPr="00FE42FF">
        <w:rPr>
          <w:noProof/>
        </w:rPr>
        <w:fldChar w:fldCharType="separate"/>
      </w:r>
      <w:r w:rsidRPr="00FE42FF">
        <w:rPr>
          <w:noProof/>
        </w:rPr>
        <w:t>127</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5</w:t>
      </w:r>
      <w:r>
        <w:rPr>
          <w:noProof/>
        </w:rPr>
        <w:tab/>
        <w:t>Contents of section 3 (How [name of standard margin lending facility] works)</w:t>
      </w:r>
      <w:r w:rsidRPr="00FE42FF">
        <w:rPr>
          <w:noProof/>
        </w:rPr>
        <w:tab/>
      </w:r>
      <w:r w:rsidRPr="00FE42FF">
        <w:rPr>
          <w:noProof/>
        </w:rPr>
        <w:fldChar w:fldCharType="begin"/>
      </w:r>
      <w:r w:rsidRPr="00FE42FF">
        <w:rPr>
          <w:noProof/>
        </w:rPr>
        <w:instrText xml:space="preserve"> PAGEREF _Toc160609828 \h </w:instrText>
      </w:r>
      <w:r w:rsidRPr="00FE42FF">
        <w:rPr>
          <w:noProof/>
        </w:rPr>
      </w:r>
      <w:r w:rsidRPr="00FE42FF">
        <w:rPr>
          <w:noProof/>
        </w:rPr>
        <w:fldChar w:fldCharType="separate"/>
      </w:r>
      <w:r w:rsidRPr="00FE42FF">
        <w:rPr>
          <w:noProof/>
        </w:rPr>
        <w:t>127</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6</w:t>
      </w:r>
      <w:r>
        <w:rPr>
          <w:noProof/>
        </w:rPr>
        <w:tab/>
        <w:t>Contents of section 4 (What is a margin call?)</w:t>
      </w:r>
      <w:r w:rsidRPr="00FE42FF">
        <w:rPr>
          <w:noProof/>
        </w:rPr>
        <w:tab/>
      </w:r>
      <w:r w:rsidRPr="00FE42FF">
        <w:rPr>
          <w:noProof/>
        </w:rPr>
        <w:fldChar w:fldCharType="begin"/>
      </w:r>
      <w:r w:rsidRPr="00FE42FF">
        <w:rPr>
          <w:noProof/>
        </w:rPr>
        <w:instrText xml:space="preserve"> PAGEREF _Toc160609829 \h </w:instrText>
      </w:r>
      <w:r w:rsidRPr="00FE42FF">
        <w:rPr>
          <w:noProof/>
        </w:rPr>
      </w:r>
      <w:r w:rsidRPr="00FE42FF">
        <w:rPr>
          <w:noProof/>
        </w:rPr>
        <w:fldChar w:fldCharType="separate"/>
      </w:r>
      <w:r w:rsidRPr="00FE42FF">
        <w:rPr>
          <w:noProof/>
        </w:rPr>
        <w:t>128</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w:t>
      </w:r>
      <w:r>
        <w:rPr>
          <w:noProof/>
        </w:rPr>
        <w:tab/>
        <w:t>Contents of section 5 (The risk of losing money)</w:t>
      </w:r>
      <w:r w:rsidRPr="00FE42FF">
        <w:rPr>
          <w:noProof/>
        </w:rPr>
        <w:tab/>
      </w:r>
      <w:r w:rsidRPr="00FE42FF">
        <w:rPr>
          <w:noProof/>
        </w:rPr>
        <w:fldChar w:fldCharType="begin"/>
      </w:r>
      <w:r w:rsidRPr="00FE42FF">
        <w:rPr>
          <w:noProof/>
        </w:rPr>
        <w:instrText xml:space="preserve"> PAGEREF _Toc160609830 \h </w:instrText>
      </w:r>
      <w:r w:rsidRPr="00FE42FF">
        <w:rPr>
          <w:noProof/>
        </w:rPr>
      </w:r>
      <w:r w:rsidRPr="00FE42FF">
        <w:rPr>
          <w:noProof/>
        </w:rPr>
        <w:fldChar w:fldCharType="separate"/>
      </w:r>
      <w:r w:rsidRPr="00FE42FF">
        <w:rPr>
          <w:noProof/>
        </w:rPr>
        <w:t>129</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8</w:t>
      </w:r>
      <w:r>
        <w:rPr>
          <w:noProof/>
        </w:rPr>
        <w:tab/>
        <w:t>Contents of section 6 (The costs)</w:t>
      </w:r>
      <w:r w:rsidRPr="00FE42FF">
        <w:rPr>
          <w:noProof/>
        </w:rPr>
        <w:tab/>
      </w:r>
      <w:r w:rsidRPr="00FE42FF">
        <w:rPr>
          <w:noProof/>
        </w:rPr>
        <w:fldChar w:fldCharType="begin"/>
      </w:r>
      <w:r w:rsidRPr="00FE42FF">
        <w:rPr>
          <w:noProof/>
        </w:rPr>
        <w:instrText xml:space="preserve"> PAGEREF _Toc160609831 \h </w:instrText>
      </w:r>
      <w:r w:rsidRPr="00FE42FF">
        <w:rPr>
          <w:noProof/>
        </w:rPr>
      </w:r>
      <w:r w:rsidRPr="00FE42FF">
        <w:rPr>
          <w:noProof/>
        </w:rPr>
        <w:fldChar w:fldCharType="separate"/>
      </w:r>
      <w:r w:rsidRPr="00FE42FF">
        <w:rPr>
          <w:noProof/>
        </w:rPr>
        <w:t>130</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9</w:t>
      </w:r>
      <w:r>
        <w:rPr>
          <w:noProof/>
        </w:rPr>
        <w:tab/>
        <w:t>Contents of section 7 (How to apply)</w:t>
      </w:r>
      <w:r w:rsidRPr="00FE42FF">
        <w:rPr>
          <w:noProof/>
        </w:rPr>
        <w:tab/>
      </w:r>
      <w:r w:rsidRPr="00FE42FF">
        <w:rPr>
          <w:noProof/>
        </w:rPr>
        <w:fldChar w:fldCharType="begin"/>
      </w:r>
      <w:r w:rsidRPr="00FE42FF">
        <w:rPr>
          <w:noProof/>
        </w:rPr>
        <w:instrText xml:space="preserve"> PAGEREF _Toc160609832 \h </w:instrText>
      </w:r>
      <w:r w:rsidRPr="00FE42FF">
        <w:rPr>
          <w:noProof/>
        </w:rPr>
      </w:r>
      <w:r w:rsidRPr="00FE42FF">
        <w:rPr>
          <w:noProof/>
        </w:rPr>
        <w:fldChar w:fldCharType="separate"/>
      </w:r>
      <w:r w:rsidRPr="00FE42FF">
        <w:rPr>
          <w:noProof/>
        </w:rPr>
        <w:t>131</w:t>
      </w:r>
      <w:r w:rsidRPr="00FE42FF">
        <w:rPr>
          <w:noProof/>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10D—Form and content of Product Disclosure Statement—superannuation product to which Subdivision 4.2B of Division 4 of Part 7.9 applies</w:t>
      </w:r>
      <w:r w:rsidRPr="00FE42FF">
        <w:rPr>
          <w:b w:val="0"/>
          <w:noProof/>
          <w:sz w:val="18"/>
        </w:rPr>
        <w:tab/>
      </w:r>
      <w:r w:rsidRPr="00FE42FF">
        <w:rPr>
          <w:b w:val="0"/>
          <w:noProof/>
          <w:sz w:val="18"/>
        </w:rPr>
        <w:fldChar w:fldCharType="begin"/>
      </w:r>
      <w:r w:rsidRPr="00FE42FF">
        <w:rPr>
          <w:b w:val="0"/>
          <w:noProof/>
          <w:sz w:val="18"/>
        </w:rPr>
        <w:instrText xml:space="preserve"> PAGEREF _Toc160609833 \h </w:instrText>
      </w:r>
      <w:r w:rsidRPr="00FE42FF">
        <w:rPr>
          <w:b w:val="0"/>
          <w:noProof/>
          <w:sz w:val="18"/>
        </w:rPr>
      </w:r>
      <w:r w:rsidRPr="00FE42FF">
        <w:rPr>
          <w:b w:val="0"/>
          <w:noProof/>
          <w:sz w:val="18"/>
        </w:rPr>
        <w:fldChar w:fldCharType="separate"/>
      </w:r>
      <w:r w:rsidRPr="00FE42FF">
        <w:rPr>
          <w:b w:val="0"/>
          <w:noProof/>
          <w:sz w:val="18"/>
        </w:rPr>
        <w:t>132</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w:t>
      </w:r>
      <w:r>
        <w:rPr>
          <w:noProof/>
        </w:rPr>
        <w:tab/>
        <w:t>Length and font size for Product Disclosure Statement for superannuation product</w:t>
      </w:r>
      <w:r w:rsidRPr="00FE42FF">
        <w:rPr>
          <w:noProof/>
        </w:rPr>
        <w:tab/>
      </w:r>
      <w:r w:rsidRPr="00FE42FF">
        <w:rPr>
          <w:noProof/>
        </w:rPr>
        <w:fldChar w:fldCharType="begin"/>
      </w:r>
      <w:r w:rsidRPr="00FE42FF">
        <w:rPr>
          <w:noProof/>
        </w:rPr>
        <w:instrText xml:space="preserve"> PAGEREF _Toc160609834 \h </w:instrText>
      </w:r>
      <w:r w:rsidRPr="00FE42FF">
        <w:rPr>
          <w:noProof/>
        </w:rPr>
      </w:r>
      <w:r w:rsidRPr="00FE42FF">
        <w:rPr>
          <w:noProof/>
        </w:rPr>
        <w:fldChar w:fldCharType="separate"/>
      </w:r>
      <w:r w:rsidRPr="00FE42FF">
        <w:rPr>
          <w:noProof/>
        </w:rPr>
        <w:t>132</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w:t>
      </w:r>
      <w:r>
        <w:rPr>
          <w:noProof/>
        </w:rPr>
        <w:tab/>
        <w:t>Minimum content of Product Disclosure Statement for superannuation product</w:t>
      </w:r>
      <w:r w:rsidRPr="00FE42FF">
        <w:rPr>
          <w:noProof/>
        </w:rPr>
        <w:tab/>
      </w:r>
      <w:r w:rsidRPr="00FE42FF">
        <w:rPr>
          <w:noProof/>
        </w:rPr>
        <w:fldChar w:fldCharType="begin"/>
      </w:r>
      <w:r w:rsidRPr="00FE42FF">
        <w:rPr>
          <w:noProof/>
        </w:rPr>
        <w:instrText xml:space="preserve"> PAGEREF _Toc160609835 \h </w:instrText>
      </w:r>
      <w:r w:rsidRPr="00FE42FF">
        <w:rPr>
          <w:noProof/>
        </w:rPr>
      </w:r>
      <w:r w:rsidRPr="00FE42FF">
        <w:rPr>
          <w:noProof/>
        </w:rPr>
        <w:fldChar w:fldCharType="separate"/>
      </w:r>
      <w:r w:rsidRPr="00FE42FF">
        <w:rPr>
          <w:noProof/>
        </w:rPr>
        <w:t>132</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3</w:t>
      </w:r>
      <w:r>
        <w:rPr>
          <w:noProof/>
        </w:rPr>
        <w:tab/>
        <w:t xml:space="preserve">Contents of section 1 (About </w:t>
      </w:r>
      <w:r w:rsidRPr="007C3FFD">
        <w:rPr>
          <w:i/>
          <w:noProof/>
        </w:rPr>
        <w:t>[name of superannuation product]</w:t>
      </w:r>
      <w:r>
        <w:rPr>
          <w:noProof/>
        </w:rPr>
        <w:t>)</w:t>
      </w:r>
      <w:r w:rsidRPr="00FE42FF">
        <w:rPr>
          <w:noProof/>
        </w:rPr>
        <w:tab/>
      </w:r>
      <w:r w:rsidRPr="00FE42FF">
        <w:rPr>
          <w:noProof/>
        </w:rPr>
        <w:fldChar w:fldCharType="begin"/>
      </w:r>
      <w:r w:rsidRPr="00FE42FF">
        <w:rPr>
          <w:noProof/>
        </w:rPr>
        <w:instrText xml:space="preserve"> PAGEREF _Toc160609836 \h </w:instrText>
      </w:r>
      <w:r w:rsidRPr="00FE42FF">
        <w:rPr>
          <w:noProof/>
        </w:rPr>
      </w:r>
      <w:r w:rsidRPr="00FE42FF">
        <w:rPr>
          <w:noProof/>
        </w:rPr>
        <w:fldChar w:fldCharType="separate"/>
      </w:r>
      <w:r w:rsidRPr="00FE42FF">
        <w:rPr>
          <w:noProof/>
        </w:rPr>
        <w:t>133</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4</w:t>
      </w:r>
      <w:r>
        <w:rPr>
          <w:noProof/>
        </w:rPr>
        <w:tab/>
        <w:t>Contents of section 2 (How super works)</w:t>
      </w:r>
      <w:r w:rsidRPr="00FE42FF">
        <w:rPr>
          <w:noProof/>
        </w:rPr>
        <w:tab/>
      </w:r>
      <w:r w:rsidRPr="00FE42FF">
        <w:rPr>
          <w:noProof/>
        </w:rPr>
        <w:fldChar w:fldCharType="begin"/>
      </w:r>
      <w:r w:rsidRPr="00FE42FF">
        <w:rPr>
          <w:noProof/>
        </w:rPr>
        <w:instrText xml:space="preserve"> PAGEREF _Toc160609837 \h </w:instrText>
      </w:r>
      <w:r w:rsidRPr="00FE42FF">
        <w:rPr>
          <w:noProof/>
        </w:rPr>
      </w:r>
      <w:r w:rsidRPr="00FE42FF">
        <w:rPr>
          <w:noProof/>
        </w:rPr>
        <w:fldChar w:fldCharType="separate"/>
      </w:r>
      <w:r w:rsidRPr="00FE42FF">
        <w:rPr>
          <w:noProof/>
        </w:rPr>
        <w:t>134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5</w:t>
      </w:r>
      <w:r>
        <w:rPr>
          <w:noProof/>
        </w:rPr>
        <w:tab/>
        <w:t>Contents of section 3 (Benefits of investing with [name of superannuation product])</w:t>
      </w:r>
      <w:r w:rsidRPr="00FE42FF">
        <w:rPr>
          <w:noProof/>
        </w:rPr>
        <w:tab/>
      </w:r>
      <w:r w:rsidRPr="00FE42FF">
        <w:rPr>
          <w:noProof/>
        </w:rPr>
        <w:fldChar w:fldCharType="begin"/>
      </w:r>
      <w:r w:rsidRPr="00FE42FF">
        <w:rPr>
          <w:noProof/>
        </w:rPr>
        <w:instrText xml:space="preserve"> PAGEREF _Toc160609838 \h </w:instrText>
      </w:r>
      <w:r w:rsidRPr="00FE42FF">
        <w:rPr>
          <w:noProof/>
        </w:rPr>
      </w:r>
      <w:r w:rsidRPr="00FE42FF">
        <w:rPr>
          <w:noProof/>
        </w:rPr>
        <w:fldChar w:fldCharType="separate"/>
      </w:r>
      <w:r w:rsidRPr="00FE42FF">
        <w:rPr>
          <w:noProof/>
        </w:rPr>
        <w:t>134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6</w:t>
      </w:r>
      <w:r>
        <w:rPr>
          <w:noProof/>
        </w:rPr>
        <w:tab/>
        <w:t>Contents of section 4 (Risks of super)</w:t>
      </w:r>
      <w:r w:rsidRPr="00FE42FF">
        <w:rPr>
          <w:noProof/>
        </w:rPr>
        <w:tab/>
      </w:r>
      <w:r w:rsidRPr="00FE42FF">
        <w:rPr>
          <w:noProof/>
        </w:rPr>
        <w:fldChar w:fldCharType="begin"/>
      </w:r>
      <w:r w:rsidRPr="00FE42FF">
        <w:rPr>
          <w:noProof/>
        </w:rPr>
        <w:instrText xml:space="preserve"> PAGEREF _Toc160609839 \h </w:instrText>
      </w:r>
      <w:r w:rsidRPr="00FE42FF">
        <w:rPr>
          <w:noProof/>
        </w:rPr>
      </w:r>
      <w:r w:rsidRPr="00FE42FF">
        <w:rPr>
          <w:noProof/>
        </w:rPr>
        <w:fldChar w:fldCharType="separate"/>
      </w:r>
      <w:r w:rsidRPr="00FE42FF">
        <w:rPr>
          <w:noProof/>
        </w:rPr>
        <w:t>135</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w:t>
      </w:r>
      <w:r>
        <w:rPr>
          <w:noProof/>
        </w:rPr>
        <w:tab/>
        <w:t>Contents of section 5 (How we invest your money)</w:t>
      </w:r>
      <w:r w:rsidRPr="00FE42FF">
        <w:rPr>
          <w:noProof/>
        </w:rPr>
        <w:tab/>
      </w:r>
      <w:r w:rsidRPr="00FE42FF">
        <w:rPr>
          <w:noProof/>
        </w:rPr>
        <w:fldChar w:fldCharType="begin"/>
      </w:r>
      <w:r w:rsidRPr="00FE42FF">
        <w:rPr>
          <w:noProof/>
        </w:rPr>
        <w:instrText xml:space="preserve"> PAGEREF _Toc160609840 \h </w:instrText>
      </w:r>
      <w:r w:rsidRPr="00FE42FF">
        <w:rPr>
          <w:noProof/>
        </w:rPr>
      </w:r>
      <w:r w:rsidRPr="00FE42FF">
        <w:rPr>
          <w:noProof/>
        </w:rPr>
        <w:fldChar w:fldCharType="separate"/>
      </w:r>
      <w:r w:rsidRPr="00FE42FF">
        <w:rPr>
          <w:noProof/>
        </w:rPr>
        <w:t>135</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8</w:t>
      </w:r>
      <w:r>
        <w:rPr>
          <w:noProof/>
        </w:rPr>
        <w:tab/>
        <w:t>Contents of section 6 (Fees and costs)</w:t>
      </w:r>
      <w:r w:rsidRPr="00FE42FF">
        <w:rPr>
          <w:noProof/>
        </w:rPr>
        <w:tab/>
      </w:r>
      <w:r w:rsidRPr="00FE42FF">
        <w:rPr>
          <w:noProof/>
        </w:rPr>
        <w:fldChar w:fldCharType="begin"/>
      </w:r>
      <w:r w:rsidRPr="00FE42FF">
        <w:rPr>
          <w:noProof/>
        </w:rPr>
        <w:instrText xml:space="preserve"> PAGEREF _Toc160609841 \h </w:instrText>
      </w:r>
      <w:r w:rsidRPr="00FE42FF">
        <w:rPr>
          <w:noProof/>
        </w:rPr>
      </w:r>
      <w:r w:rsidRPr="00FE42FF">
        <w:rPr>
          <w:noProof/>
        </w:rPr>
        <w:fldChar w:fldCharType="separate"/>
      </w:r>
      <w:r w:rsidRPr="00FE42FF">
        <w:rPr>
          <w:noProof/>
        </w:rPr>
        <w:t>137</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9</w:t>
      </w:r>
      <w:r>
        <w:rPr>
          <w:noProof/>
        </w:rPr>
        <w:tab/>
        <w:t>Contents of section 7 (How super is taxed)</w:t>
      </w:r>
      <w:r w:rsidRPr="00FE42FF">
        <w:rPr>
          <w:noProof/>
        </w:rPr>
        <w:tab/>
      </w:r>
      <w:r w:rsidRPr="00FE42FF">
        <w:rPr>
          <w:noProof/>
        </w:rPr>
        <w:fldChar w:fldCharType="begin"/>
      </w:r>
      <w:r w:rsidRPr="00FE42FF">
        <w:rPr>
          <w:noProof/>
        </w:rPr>
        <w:instrText xml:space="preserve"> PAGEREF _Toc160609842 \h </w:instrText>
      </w:r>
      <w:r w:rsidRPr="00FE42FF">
        <w:rPr>
          <w:noProof/>
        </w:rPr>
      </w:r>
      <w:r w:rsidRPr="00FE42FF">
        <w:rPr>
          <w:noProof/>
        </w:rPr>
        <w:fldChar w:fldCharType="separate"/>
      </w:r>
      <w:r w:rsidRPr="00FE42FF">
        <w:rPr>
          <w:noProof/>
        </w:rPr>
        <w:t>139</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10</w:t>
      </w:r>
      <w:r>
        <w:rPr>
          <w:noProof/>
        </w:rPr>
        <w:tab/>
        <w:t>Contents of section 8 (Insurance in your super)</w:t>
      </w:r>
      <w:r w:rsidRPr="00FE42FF">
        <w:rPr>
          <w:noProof/>
        </w:rPr>
        <w:tab/>
      </w:r>
      <w:r w:rsidRPr="00FE42FF">
        <w:rPr>
          <w:noProof/>
        </w:rPr>
        <w:fldChar w:fldCharType="begin"/>
      </w:r>
      <w:r w:rsidRPr="00FE42FF">
        <w:rPr>
          <w:noProof/>
        </w:rPr>
        <w:instrText xml:space="preserve"> PAGEREF _Toc160609843 \h </w:instrText>
      </w:r>
      <w:r w:rsidRPr="00FE42FF">
        <w:rPr>
          <w:noProof/>
        </w:rPr>
      </w:r>
      <w:r w:rsidRPr="00FE42FF">
        <w:rPr>
          <w:noProof/>
        </w:rPr>
        <w:fldChar w:fldCharType="separate"/>
      </w:r>
      <w:r w:rsidRPr="00FE42FF">
        <w:rPr>
          <w:noProof/>
        </w:rPr>
        <w:t>139</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11</w:t>
      </w:r>
      <w:r>
        <w:rPr>
          <w:noProof/>
        </w:rPr>
        <w:tab/>
        <w:t>Contents of section 9 (How to open an account)</w:t>
      </w:r>
      <w:r w:rsidRPr="00FE42FF">
        <w:rPr>
          <w:noProof/>
        </w:rPr>
        <w:tab/>
      </w:r>
      <w:r w:rsidRPr="00FE42FF">
        <w:rPr>
          <w:noProof/>
        </w:rPr>
        <w:fldChar w:fldCharType="begin"/>
      </w:r>
      <w:r w:rsidRPr="00FE42FF">
        <w:rPr>
          <w:noProof/>
        </w:rPr>
        <w:instrText xml:space="preserve"> PAGEREF _Toc160609844 \h </w:instrText>
      </w:r>
      <w:r w:rsidRPr="00FE42FF">
        <w:rPr>
          <w:noProof/>
        </w:rPr>
      </w:r>
      <w:r w:rsidRPr="00FE42FF">
        <w:rPr>
          <w:noProof/>
        </w:rPr>
        <w:fldChar w:fldCharType="separate"/>
      </w:r>
      <w:r w:rsidRPr="00FE42FF">
        <w:rPr>
          <w:noProof/>
        </w:rPr>
        <w:t>141</w:t>
      </w:r>
      <w:r w:rsidRPr="00FE42FF">
        <w:rPr>
          <w:noProof/>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10E—Form and content of Product Disclosure Statement—simple managed investment scheme</w:t>
      </w:r>
      <w:r w:rsidRPr="00FE42FF">
        <w:rPr>
          <w:b w:val="0"/>
          <w:noProof/>
          <w:sz w:val="18"/>
        </w:rPr>
        <w:tab/>
      </w:r>
      <w:r w:rsidRPr="00FE42FF">
        <w:rPr>
          <w:b w:val="0"/>
          <w:noProof/>
          <w:sz w:val="18"/>
        </w:rPr>
        <w:fldChar w:fldCharType="begin"/>
      </w:r>
      <w:r w:rsidRPr="00FE42FF">
        <w:rPr>
          <w:b w:val="0"/>
          <w:noProof/>
          <w:sz w:val="18"/>
        </w:rPr>
        <w:instrText xml:space="preserve"> PAGEREF _Toc160609845 \h </w:instrText>
      </w:r>
      <w:r w:rsidRPr="00FE42FF">
        <w:rPr>
          <w:b w:val="0"/>
          <w:noProof/>
          <w:sz w:val="18"/>
        </w:rPr>
      </w:r>
      <w:r w:rsidRPr="00FE42FF">
        <w:rPr>
          <w:b w:val="0"/>
          <w:noProof/>
          <w:sz w:val="18"/>
        </w:rPr>
        <w:fldChar w:fldCharType="separate"/>
      </w:r>
      <w:r w:rsidRPr="00FE42FF">
        <w:rPr>
          <w:b w:val="0"/>
          <w:noProof/>
          <w:sz w:val="18"/>
        </w:rPr>
        <w:t>142</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w:t>
      </w:r>
      <w:r>
        <w:rPr>
          <w:noProof/>
        </w:rPr>
        <w:tab/>
        <w:t>Length and font size for Product Disclosure Statement for simple managed investment scheme</w:t>
      </w:r>
      <w:r w:rsidRPr="00FE42FF">
        <w:rPr>
          <w:noProof/>
        </w:rPr>
        <w:tab/>
      </w:r>
      <w:r w:rsidRPr="00FE42FF">
        <w:rPr>
          <w:noProof/>
        </w:rPr>
        <w:fldChar w:fldCharType="begin"/>
      </w:r>
      <w:r w:rsidRPr="00FE42FF">
        <w:rPr>
          <w:noProof/>
        </w:rPr>
        <w:instrText xml:space="preserve"> PAGEREF _Toc160609846 \h </w:instrText>
      </w:r>
      <w:r w:rsidRPr="00FE42FF">
        <w:rPr>
          <w:noProof/>
        </w:rPr>
      </w:r>
      <w:r w:rsidRPr="00FE42FF">
        <w:rPr>
          <w:noProof/>
        </w:rPr>
        <w:fldChar w:fldCharType="separate"/>
      </w:r>
      <w:r w:rsidRPr="00FE42FF">
        <w:rPr>
          <w:noProof/>
        </w:rPr>
        <w:t>142</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w:t>
      </w:r>
      <w:r>
        <w:rPr>
          <w:noProof/>
        </w:rPr>
        <w:tab/>
        <w:t>Minimum content of Product Disclosure Statement for simple managed investment scheme</w:t>
      </w:r>
      <w:r w:rsidRPr="00FE42FF">
        <w:rPr>
          <w:noProof/>
        </w:rPr>
        <w:tab/>
      </w:r>
      <w:r w:rsidRPr="00FE42FF">
        <w:rPr>
          <w:noProof/>
        </w:rPr>
        <w:fldChar w:fldCharType="begin"/>
      </w:r>
      <w:r w:rsidRPr="00FE42FF">
        <w:rPr>
          <w:noProof/>
        </w:rPr>
        <w:instrText xml:space="preserve"> PAGEREF _Toc160609847 \h </w:instrText>
      </w:r>
      <w:r w:rsidRPr="00FE42FF">
        <w:rPr>
          <w:noProof/>
        </w:rPr>
      </w:r>
      <w:r w:rsidRPr="00FE42FF">
        <w:rPr>
          <w:noProof/>
        </w:rPr>
        <w:fldChar w:fldCharType="separate"/>
      </w:r>
      <w:r w:rsidRPr="00FE42FF">
        <w:rPr>
          <w:noProof/>
        </w:rPr>
        <w:t>142</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3</w:t>
      </w:r>
      <w:r>
        <w:rPr>
          <w:noProof/>
        </w:rPr>
        <w:tab/>
        <w:t>Contents of section 1 (About [name of responsible entity])</w:t>
      </w:r>
      <w:r w:rsidRPr="00FE42FF">
        <w:rPr>
          <w:noProof/>
        </w:rPr>
        <w:tab/>
      </w:r>
      <w:r w:rsidRPr="00FE42FF">
        <w:rPr>
          <w:noProof/>
        </w:rPr>
        <w:fldChar w:fldCharType="begin"/>
      </w:r>
      <w:r w:rsidRPr="00FE42FF">
        <w:rPr>
          <w:noProof/>
        </w:rPr>
        <w:instrText xml:space="preserve"> PAGEREF _Toc160609848 \h </w:instrText>
      </w:r>
      <w:r w:rsidRPr="00FE42FF">
        <w:rPr>
          <w:noProof/>
        </w:rPr>
      </w:r>
      <w:r w:rsidRPr="00FE42FF">
        <w:rPr>
          <w:noProof/>
        </w:rPr>
        <w:fldChar w:fldCharType="separate"/>
      </w:r>
      <w:r w:rsidRPr="00FE42FF">
        <w:rPr>
          <w:noProof/>
        </w:rPr>
        <w:t>143</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4</w:t>
      </w:r>
      <w:r>
        <w:rPr>
          <w:noProof/>
        </w:rPr>
        <w:tab/>
        <w:t>Contents of section 2 (How [name of simple managed investment scheme] works)</w:t>
      </w:r>
      <w:r w:rsidRPr="00FE42FF">
        <w:rPr>
          <w:noProof/>
        </w:rPr>
        <w:tab/>
      </w:r>
      <w:r w:rsidRPr="00FE42FF">
        <w:rPr>
          <w:noProof/>
        </w:rPr>
        <w:fldChar w:fldCharType="begin"/>
      </w:r>
      <w:r w:rsidRPr="00FE42FF">
        <w:rPr>
          <w:noProof/>
        </w:rPr>
        <w:instrText xml:space="preserve"> PAGEREF _Toc160609849 \h </w:instrText>
      </w:r>
      <w:r w:rsidRPr="00FE42FF">
        <w:rPr>
          <w:noProof/>
        </w:rPr>
      </w:r>
      <w:r w:rsidRPr="00FE42FF">
        <w:rPr>
          <w:noProof/>
        </w:rPr>
        <w:fldChar w:fldCharType="separate"/>
      </w:r>
      <w:r w:rsidRPr="00FE42FF">
        <w:rPr>
          <w:noProof/>
        </w:rPr>
        <w:t>144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5</w:t>
      </w:r>
      <w:r>
        <w:rPr>
          <w:noProof/>
        </w:rPr>
        <w:tab/>
        <w:t>Contents of section 3 (Benefits of investing in [name of simple managed investment scheme])</w:t>
      </w:r>
      <w:r w:rsidRPr="00FE42FF">
        <w:rPr>
          <w:noProof/>
        </w:rPr>
        <w:tab/>
      </w:r>
      <w:r w:rsidRPr="00FE42FF">
        <w:rPr>
          <w:noProof/>
        </w:rPr>
        <w:fldChar w:fldCharType="begin"/>
      </w:r>
      <w:r w:rsidRPr="00FE42FF">
        <w:rPr>
          <w:noProof/>
        </w:rPr>
        <w:instrText xml:space="preserve"> PAGEREF _Toc160609850 \h </w:instrText>
      </w:r>
      <w:r w:rsidRPr="00FE42FF">
        <w:rPr>
          <w:noProof/>
        </w:rPr>
      </w:r>
      <w:r w:rsidRPr="00FE42FF">
        <w:rPr>
          <w:noProof/>
        </w:rPr>
        <w:fldChar w:fldCharType="separate"/>
      </w:r>
      <w:r w:rsidRPr="00FE42FF">
        <w:rPr>
          <w:noProof/>
        </w:rPr>
        <w:t>144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6</w:t>
      </w:r>
      <w:r>
        <w:rPr>
          <w:noProof/>
        </w:rPr>
        <w:tab/>
        <w:t>Contents of section 4 (Risks of managed investment schemes)</w:t>
      </w:r>
      <w:r w:rsidRPr="00FE42FF">
        <w:rPr>
          <w:noProof/>
        </w:rPr>
        <w:tab/>
      </w:r>
      <w:r w:rsidRPr="00FE42FF">
        <w:rPr>
          <w:noProof/>
        </w:rPr>
        <w:fldChar w:fldCharType="begin"/>
      </w:r>
      <w:r w:rsidRPr="00FE42FF">
        <w:rPr>
          <w:noProof/>
        </w:rPr>
        <w:instrText xml:space="preserve"> PAGEREF _Toc160609851 \h </w:instrText>
      </w:r>
      <w:r w:rsidRPr="00FE42FF">
        <w:rPr>
          <w:noProof/>
        </w:rPr>
      </w:r>
      <w:r w:rsidRPr="00FE42FF">
        <w:rPr>
          <w:noProof/>
        </w:rPr>
        <w:fldChar w:fldCharType="separate"/>
      </w:r>
      <w:r w:rsidRPr="00FE42FF">
        <w:rPr>
          <w:noProof/>
        </w:rPr>
        <w:t>144</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w:t>
      </w:r>
      <w:r>
        <w:rPr>
          <w:noProof/>
        </w:rPr>
        <w:tab/>
        <w:t>Contents of section 5 (How we invest your money)</w:t>
      </w:r>
      <w:r w:rsidRPr="00FE42FF">
        <w:rPr>
          <w:noProof/>
        </w:rPr>
        <w:tab/>
      </w:r>
      <w:r w:rsidRPr="00FE42FF">
        <w:rPr>
          <w:noProof/>
        </w:rPr>
        <w:fldChar w:fldCharType="begin"/>
      </w:r>
      <w:r w:rsidRPr="00FE42FF">
        <w:rPr>
          <w:noProof/>
        </w:rPr>
        <w:instrText xml:space="preserve"> PAGEREF _Toc160609852 \h </w:instrText>
      </w:r>
      <w:r w:rsidRPr="00FE42FF">
        <w:rPr>
          <w:noProof/>
        </w:rPr>
      </w:r>
      <w:r w:rsidRPr="00FE42FF">
        <w:rPr>
          <w:noProof/>
        </w:rPr>
        <w:fldChar w:fldCharType="separate"/>
      </w:r>
      <w:r w:rsidRPr="00FE42FF">
        <w:rPr>
          <w:noProof/>
        </w:rPr>
        <w:t>145</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8</w:t>
      </w:r>
      <w:r>
        <w:rPr>
          <w:noProof/>
        </w:rPr>
        <w:tab/>
        <w:t>Contents of section 6 (Fees and costs)</w:t>
      </w:r>
      <w:r w:rsidRPr="00FE42FF">
        <w:rPr>
          <w:noProof/>
        </w:rPr>
        <w:tab/>
      </w:r>
      <w:r w:rsidRPr="00FE42FF">
        <w:rPr>
          <w:noProof/>
        </w:rPr>
        <w:fldChar w:fldCharType="begin"/>
      </w:r>
      <w:r w:rsidRPr="00FE42FF">
        <w:rPr>
          <w:noProof/>
        </w:rPr>
        <w:instrText xml:space="preserve"> PAGEREF _Toc160609853 \h </w:instrText>
      </w:r>
      <w:r w:rsidRPr="00FE42FF">
        <w:rPr>
          <w:noProof/>
        </w:rPr>
      </w:r>
      <w:r w:rsidRPr="00FE42FF">
        <w:rPr>
          <w:noProof/>
        </w:rPr>
        <w:fldChar w:fldCharType="separate"/>
      </w:r>
      <w:r w:rsidRPr="00FE42FF">
        <w:rPr>
          <w:noProof/>
        </w:rPr>
        <w:t>147</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9</w:t>
      </w:r>
      <w:r>
        <w:rPr>
          <w:noProof/>
        </w:rPr>
        <w:tab/>
        <w:t>Contents of section 7 (How managed investment schemes are taxed)</w:t>
      </w:r>
      <w:r w:rsidRPr="00FE42FF">
        <w:rPr>
          <w:noProof/>
        </w:rPr>
        <w:tab/>
      </w:r>
      <w:r w:rsidRPr="00FE42FF">
        <w:rPr>
          <w:noProof/>
        </w:rPr>
        <w:fldChar w:fldCharType="begin"/>
      </w:r>
      <w:r w:rsidRPr="00FE42FF">
        <w:rPr>
          <w:noProof/>
        </w:rPr>
        <w:instrText xml:space="preserve"> PAGEREF _Toc160609854 \h </w:instrText>
      </w:r>
      <w:r w:rsidRPr="00FE42FF">
        <w:rPr>
          <w:noProof/>
        </w:rPr>
      </w:r>
      <w:r w:rsidRPr="00FE42FF">
        <w:rPr>
          <w:noProof/>
        </w:rPr>
        <w:fldChar w:fldCharType="separate"/>
      </w:r>
      <w:r w:rsidRPr="00FE42FF">
        <w:rPr>
          <w:noProof/>
        </w:rPr>
        <w:t>149</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10</w:t>
      </w:r>
      <w:r>
        <w:rPr>
          <w:noProof/>
        </w:rPr>
        <w:tab/>
        <w:t>Contents of section 8 (How to apply)</w:t>
      </w:r>
      <w:r w:rsidRPr="00FE42FF">
        <w:rPr>
          <w:noProof/>
        </w:rPr>
        <w:tab/>
      </w:r>
      <w:r w:rsidRPr="00FE42FF">
        <w:rPr>
          <w:noProof/>
        </w:rPr>
        <w:fldChar w:fldCharType="begin"/>
      </w:r>
      <w:r w:rsidRPr="00FE42FF">
        <w:rPr>
          <w:noProof/>
        </w:rPr>
        <w:instrText xml:space="preserve"> PAGEREF _Toc160609855 \h </w:instrText>
      </w:r>
      <w:r w:rsidRPr="00FE42FF">
        <w:rPr>
          <w:noProof/>
        </w:rPr>
      </w:r>
      <w:r w:rsidRPr="00FE42FF">
        <w:rPr>
          <w:noProof/>
        </w:rPr>
        <w:fldChar w:fldCharType="separate"/>
      </w:r>
      <w:r w:rsidRPr="00FE42FF">
        <w:rPr>
          <w:noProof/>
        </w:rPr>
        <w:t>149</w:t>
      </w:r>
      <w:r w:rsidRPr="00FE42FF">
        <w:rPr>
          <w:noProof/>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10F—Form and content of Product Disclosure Statement—simple sub</w:t>
      </w:r>
      <w:r>
        <w:rPr>
          <w:noProof/>
        </w:rPr>
        <w:noBreakHyphen/>
        <w:t>fund products</w:t>
      </w:r>
      <w:r w:rsidRPr="00FE42FF">
        <w:rPr>
          <w:b w:val="0"/>
          <w:noProof/>
          <w:sz w:val="18"/>
        </w:rPr>
        <w:tab/>
      </w:r>
      <w:r w:rsidRPr="00FE42FF">
        <w:rPr>
          <w:b w:val="0"/>
          <w:noProof/>
          <w:sz w:val="18"/>
        </w:rPr>
        <w:fldChar w:fldCharType="begin"/>
      </w:r>
      <w:r w:rsidRPr="00FE42FF">
        <w:rPr>
          <w:b w:val="0"/>
          <w:noProof/>
          <w:sz w:val="18"/>
        </w:rPr>
        <w:instrText xml:space="preserve"> PAGEREF _Toc160609856 \h </w:instrText>
      </w:r>
      <w:r w:rsidRPr="00FE42FF">
        <w:rPr>
          <w:b w:val="0"/>
          <w:noProof/>
          <w:sz w:val="18"/>
        </w:rPr>
      </w:r>
      <w:r w:rsidRPr="00FE42FF">
        <w:rPr>
          <w:b w:val="0"/>
          <w:noProof/>
          <w:sz w:val="18"/>
        </w:rPr>
        <w:fldChar w:fldCharType="separate"/>
      </w:r>
      <w:r w:rsidRPr="00FE42FF">
        <w:rPr>
          <w:b w:val="0"/>
          <w:noProof/>
          <w:sz w:val="18"/>
        </w:rPr>
        <w:t>150</w:t>
      </w:r>
      <w:r w:rsidRPr="00FE42FF">
        <w:rPr>
          <w:b w:val="0"/>
          <w:noProof/>
          <w:sz w:val="18"/>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w:t>
      </w:r>
      <w:r>
        <w:rPr>
          <w:noProof/>
        </w:rPr>
        <w:tab/>
        <w:t>Length and font size for Product Disclosure Statement for simple sub</w:t>
      </w:r>
      <w:r>
        <w:rPr>
          <w:noProof/>
        </w:rPr>
        <w:noBreakHyphen/>
        <w:t>fund product</w:t>
      </w:r>
      <w:r w:rsidRPr="00FE42FF">
        <w:rPr>
          <w:noProof/>
        </w:rPr>
        <w:tab/>
      </w:r>
      <w:r w:rsidRPr="00FE42FF">
        <w:rPr>
          <w:noProof/>
        </w:rPr>
        <w:fldChar w:fldCharType="begin"/>
      </w:r>
      <w:r w:rsidRPr="00FE42FF">
        <w:rPr>
          <w:noProof/>
        </w:rPr>
        <w:instrText xml:space="preserve"> PAGEREF _Toc160609857 \h </w:instrText>
      </w:r>
      <w:r w:rsidRPr="00FE42FF">
        <w:rPr>
          <w:noProof/>
        </w:rPr>
      </w:r>
      <w:r w:rsidRPr="00FE42FF">
        <w:rPr>
          <w:noProof/>
        </w:rPr>
        <w:fldChar w:fldCharType="separate"/>
      </w:r>
      <w:r w:rsidRPr="00FE42FF">
        <w:rPr>
          <w:noProof/>
        </w:rPr>
        <w:t>150</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2</w:t>
      </w:r>
      <w:r>
        <w:rPr>
          <w:noProof/>
        </w:rPr>
        <w:tab/>
        <w:t>Minimum content of Product Disclosure Statement for simple sub</w:t>
      </w:r>
      <w:r>
        <w:rPr>
          <w:noProof/>
        </w:rPr>
        <w:noBreakHyphen/>
        <w:t>fund product</w:t>
      </w:r>
      <w:r w:rsidRPr="00FE42FF">
        <w:rPr>
          <w:noProof/>
        </w:rPr>
        <w:tab/>
      </w:r>
      <w:r w:rsidRPr="00FE42FF">
        <w:rPr>
          <w:noProof/>
        </w:rPr>
        <w:fldChar w:fldCharType="begin"/>
      </w:r>
      <w:r w:rsidRPr="00FE42FF">
        <w:rPr>
          <w:noProof/>
        </w:rPr>
        <w:instrText xml:space="preserve"> PAGEREF _Toc160609858 \h </w:instrText>
      </w:r>
      <w:r w:rsidRPr="00FE42FF">
        <w:rPr>
          <w:noProof/>
        </w:rPr>
      </w:r>
      <w:r w:rsidRPr="00FE42FF">
        <w:rPr>
          <w:noProof/>
        </w:rPr>
        <w:fldChar w:fldCharType="separate"/>
      </w:r>
      <w:r w:rsidRPr="00FE42FF">
        <w:rPr>
          <w:noProof/>
        </w:rPr>
        <w:t>150</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3</w:t>
      </w:r>
      <w:r>
        <w:rPr>
          <w:noProof/>
        </w:rPr>
        <w:tab/>
        <w:t>Contents of section 1 (About [name of corporate director])</w:t>
      </w:r>
      <w:r w:rsidRPr="00FE42FF">
        <w:rPr>
          <w:noProof/>
        </w:rPr>
        <w:tab/>
      </w:r>
      <w:r w:rsidRPr="00FE42FF">
        <w:rPr>
          <w:noProof/>
        </w:rPr>
        <w:fldChar w:fldCharType="begin"/>
      </w:r>
      <w:r w:rsidRPr="00FE42FF">
        <w:rPr>
          <w:noProof/>
        </w:rPr>
        <w:instrText xml:space="preserve"> PAGEREF _Toc160609859 \h </w:instrText>
      </w:r>
      <w:r w:rsidRPr="00FE42FF">
        <w:rPr>
          <w:noProof/>
        </w:rPr>
      </w:r>
      <w:r w:rsidRPr="00FE42FF">
        <w:rPr>
          <w:noProof/>
        </w:rPr>
        <w:fldChar w:fldCharType="separate"/>
      </w:r>
      <w:r w:rsidRPr="00FE42FF">
        <w:rPr>
          <w:noProof/>
        </w:rPr>
        <w:t>151</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4</w:t>
      </w:r>
      <w:r>
        <w:rPr>
          <w:noProof/>
        </w:rPr>
        <w:tab/>
        <w:t>Contents of section 2 (How [name of CCIV and sub</w:t>
      </w:r>
      <w:r>
        <w:rPr>
          <w:noProof/>
        </w:rPr>
        <w:noBreakHyphen/>
        <w:t>fund] work)</w:t>
      </w:r>
      <w:r w:rsidRPr="00FE42FF">
        <w:rPr>
          <w:noProof/>
        </w:rPr>
        <w:tab/>
      </w:r>
      <w:r w:rsidRPr="00FE42FF">
        <w:rPr>
          <w:noProof/>
        </w:rPr>
        <w:fldChar w:fldCharType="begin"/>
      </w:r>
      <w:r w:rsidRPr="00FE42FF">
        <w:rPr>
          <w:noProof/>
        </w:rPr>
        <w:instrText xml:space="preserve"> PAGEREF _Toc160609860 \h </w:instrText>
      </w:r>
      <w:r w:rsidRPr="00FE42FF">
        <w:rPr>
          <w:noProof/>
        </w:rPr>
      </w:r>
      <w:r w:rsidRPr="00FE42FF">
        <w:rPr>
          <w:noProof/>
        </w:rPr>
        <w:fldChar w:fldCharType="separate"/>
      </w:r>
      <w:r w:rsidRPr="00FE42FF">
        <w:rPr>
          <w:noProof/>
        </w:rPr>
        <w:t>152</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5</w:t>
      </w:r>
      <w:r>
        <w:rPr>
          <w:noProof/>
        </w:rPr>
        <w:tab/>
        <w:t>Contents of section 3 (Benefits of investing in [name of simple sub</w:t>
      </w:r>
      <w:r>
        <w:rPr>
          <w:noProof/>
        </w:rPr>
        <w:noBreakHyphen/>
        <w:t>fund product])</w:t>
      </w:r>
      <w:r w:rsidRPr="00FE42FF">
        <w:rPr>
          <w:noProof/>
        </w:rPr>
        <w:tab/>
      </w:r>
      <w:r w:rsidRPr="00FE42FF">
        <w:rPr>
          <w:noProof/>
        </w:rPr>
        <w:fldChar w:fldCharType="begin"/>
      </w:r>
      <w:r w:rsidRPr="00FE42FF">
        <w:rPr>
          <w:noProof/>
        </w:rPr>
        <w:instrText xml:space="preserve"> PAGEREF _Toc160609861 \h </w:instrText>
      </w:r>
      <w:r w:rsidRPr="00FE42FF">
        <w:rPr>
          <w:noProof/>
        </w:rPr>
      </w:r>
      <w:r w:rsidRPr="00FE42FF">
        <w:rPr>
          <w:noProof/>
        </w:rPr>
        <w:fldChar w:fldCharType="separate"/>
      </w:r>
      <w:r w:rsidRPr="00FE42FF">
        <w:rPr>
          <w:noProof/>
        </w:rPr>
        <w:t>152</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6</w:t>
      </w:r>
      <w:r>
        <w:rPr>
          <w:noProof/>
        </w:rPr>
        <w:tab/>
        <w:t>Contents of section 4 (Risks of simple sub</w:t>
      </w:r>
      <w:r>
        <w:rPr>
          <w:noProof/>
        </w:rPr>
        <w:noBreakHyphen/>
        <w:t>fund products)</w:t>
      </w:r>
      <w:r w:rsidRPr="00FE42FF">
        <w:rPr>
          <w:noProof/>
        </w:rPr>
        <w:tab/>
      </w:r>
      <w:r w:rsidRPr="00FE42FF">
        <w:rPr>
          <w:noProof/>
        </w:rPr>
        <w:fldChar w:fldCharType="begin"/>
      </w:r>
      <w:r w:rsidRPr="00FE42FF">
        <w:rPr>
          <w:noProof/>
        </w:rPr>
        <w:instrText xml:space="preserve"> PAGEREF _Toc160609862 \h </w:instrText>
      </w:r>
      <w:r w:rsidRPr="00FE42FF">
        <w:rPr>
          <w:noProof/>
        </w:rPr>
      </w:r>
      <w:r w:rsidRPr="00FE42FF">
        <w:rPr>
          <w:noProof/>
        </w:rPr>
        <w:fldChar w:fldCharType="separate"/>
      </w:r>
      <w:r w:rsidRPr="00FE42FF">
        <w:rPr>
          <w:noProof/>
        </w:rPr>
        <w:t>153</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7</w:t>
      </w:r>
      <w:r>
        <w:rPr>
          <w:noProof/>
        </w:rPr>
        <w:tab/>
        <w:t>Contents of section 5 (How we invest your money)</w:t>
      </w:r>
      <w:r w:rsidRPr="00FE42FF">
        <w:rPr>
          <w:noProof/>
        </w:rPr>
        <w:tab/>
      </w:r>
      <w:r w:rsidRPr="00FE42FF">
        <w:rPr>
          <w:noProof/>
        </w:rPr>
        <w:fldChar w:fldCharType="begin"/>
      </w:r>
      <w:r w:rsidRPr="00FE42FF">
        <w:rPr>
          <w:noProof/>
        </w:rPr>
        <w:instrText xml:space="preserve"> PAGEREF _Toc160609863 \h </w:instrText>
      </w:r>
      <w:r w:rsidRPr="00FE42FF">
        <w:rPr>
          <w:noProof/>
        </w:rPr>
      </w:r>
      <w:r w:rsidRPr="00FE42FF">
        <w:rPr>
          <w:noProof/>
        </w:rPr>
        <w:fldChar w:fldCharType="separate"/>
      </w:r>
      <w:r w:rsidRPr="00FE42FF">
        <w:rPr>
          <w:noProof/>
        </w:rPr>
        <w:t>153</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8</w:t>
      </w:r>
      <w:r>
        <w:rPr>
          <w:noProof/>
        </w:rPr>
        <w:tab/>
        <w:t>Contents of section 6 (Fees and costs)</w:t>
      </w:r>
      <w:r w:rsidRPr="00FE42FF">
        <w:rPr>
          <w:noProof/>
        </w:rPr>
        <w:tab/>
      </w:r>
      <w:r w:rsidRPr="00FE42FF">
        <w:rPr>
          <w:noProof/>
        </w:rPr>
        <w:fldChar w:fldCharType="begin"/>
      </w:r>
      <w:r w:rsidRPr="00FE42FF">
        <w:rPr>
          <w:noProof/>
        </w:rPr>
        <w:instrText xml:space="preserve"> PAGEREF _Toc160609864 \h </w:instrText>
      </w:r>
      <w:r w:rsidRPr="00FE42FF">
        <w:rPr>
          <w:noProof/>
        </w:rPr>
      </w:r>
      <w:r w:rsidRPr="00FE42FF">
        <w:rPr>
          <w:noProof/>
        </w:rPr>
        <w:fldChar w:fldCharType="separate"/>
      </w:r>
      <w:r w:rsidRPr="00FE42FF">
        <w:rPr>
          <w:noProof/>
        </w:rPr>
        <w:t>155</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9</w:t>
      </w:r>
      <w:r>
        <w:rPr>
          <w:noProof/>
        </w:rPr>
        <w:tab/>
        <w:t>Contents of section 7 (How sub</w:t>
      </w:r>
      <w:r>
        <w:rPr>
          <w:noProof/>
        </w:rPr>
        <w:noBreakHyphen/>
        <w:t>funds of CCIVs are taxed)</w:t>
      </w:r>
      <w:r w:rsidRPr="00FE42FF">
        <w:rPr>
          <w:noProof/>
        </w:rPr>
        <w:tab/>
      </w:r>
      <w:r w:rsidRPr="00FE42FF">
        <w:rPr>
          <w:noProof/>
        </w:rPr>
        <w:fldChar w:fldCharType="begin"/>
      </w:r>
      <w:r w:rsidRPr="00FE42FF">
        <w:rPr>
          <w:noProof/>
        </w:rPr>
        <w:instrText xml:space="preserve"> PAGEREF _Toc160609865 \h </w:instrText>
      </w:r>
      <w:r w:rsidRPr="00FE42FF">
        <w:rPr>
          <w:noProof/>
        </w:rPr>
      </w:r>
      <w:r w:rsidRPr="00FE42FF">
        <w:rPr>
          <w:noProof/>
        </w:rPr>
        <w:fldChar w:fldCharType="separate"/>
      </w:r>
      <w:r w:rsidRPr="00FE42FF">
        <w:rPr>
          <w:noProof/>
        </w:rPr>
        <w:t>157</w:t>
      </w:r>
      <w:r w:rsidRPr="00FE42FF">
        <w:rPr>
          <w:noProof/>
        </w:rPr>
        <w:fldChar w:fldCharType="end"/>
      </w:r>
    </w:p>
    <w:p w:rsidR="00FE42FF" w:rsidRDefault="00FE42FF">
      <w:pPr>
        <w:pStyle w:val="TOC5"/>
        <w:rPr>
          <w:rFonts w:asciiTheme="minorHAnsi" w:eastAsiaTheme="minorEastAsia" w:hAnsiTheme="minorHAnsi" w:cstheme="minorBidi"/>
          <w:noProof/>
          <w:kern w:val="0"/>
          <w:sz w:val="22"/>
          <w:szCs w:val="22"/>
        </w:rPr>
      </w:pPr>
      <w:r>
        <w:rPr>
          <w:noProof/>
        </w:rPr>
        <w:t>10</w:t>
      </w:r>
      <w:r>
        <w:rPr>
          <w:noProof/>
        </w:rPr>
        <w:tab/>
        <w:t>Contents of section 8 (How to apply)</w:t>
      </w:r>
      <w:r w:rsidRPr="00FE42FF">
        <w:rPr>
          <w:noProof/>
        </w:rPr>
        <w:tab/>
      </w:r>
      <w:r w:rsidRPr="00FE42FF">
        <w:rPr>
          <w:noProof/>
        </w:rPr>
        <w:fldChar w:fldCharType="begin"/>
      </w:r>
      <w:r w:rsidRPr="00FE42FF">
        <w:rPr>
          <w:noProof/>
        </w:rPr>
        <w:instrText xml:space="preserve"> PAGEREF _Toc160609866 \h </w:instrText>
      </w:r>
      <w:r w:rsidRPr="00FE42FF">
        <w:rPr>
          <w:noProof/>
        </w:rPr>
      </w:r>
      <w:r w:rsidRPr="00FE42FF">
        <w:rPr>
          <w:noProof/>
        </w:rPr>
        <w:fldChar w:fldCharType="separate"/>
      </w:r>
      <w:r w:rsidRPr="00FE42FF">
        <w:rPr>
          <w:noProof/>
        </w:rPr>
        <w:t>157</w:t>
      </w:r>
      <w:r w:rsidRPr="00FE42FF">
        <w:rPr>
          <w:noProof/>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11—Persons who are not covered by section 1433 of the Act</w:t>
      </w:r>
      <w:r w:rsidRPr="00FE42FF">
        <w:rPr>
          <w:b w:val="0"/>
          <w:noProof/>
          <w:sz w:val="18"/>
        </w:rPr>
        <w:tab/>
      </w:r>
      <w:r w:rsidRPr="00FE42FF">
        <w:rPr>
          <w:b w:val="0"/>
          <w:noProof/>
          <w:sz w:val="18"/>
        </w:rPr>
        <w:fldChar w:fldCharType="begin"/>
      </w:r>
      <w:r w:rsidRPr="00FE42FF">
        <w:rPr>
          <w:b w:val="0"/>
          <w:noProof/>
          <w:sz w:val="18"/>
        </w:rPr>
        <w:instrText xml:space="preserve"> PAGEREF _Toc160609867 \h </w:instrText>
      </w:r>
      <w:r w:rsidRPr="00FE42FF">
        <w:rPr>
          <w:b w:val="0"/>
          <w:noProof/>
          <w:sz w:val="18"/>
        </w:rPr>
      </w:r>
      <w:r w:rsidRPr="00FE42FF">
        <w:rPr>
          <w:b w:val="0"/>
          <w:noProof/>
          <w:sz w:val="18"/>
        </w:rPr>
        <w:fldChar w:fldCharType="separate"/>
      </w:r>
      <w:r w:rsidRPr="00FE42FF">
        <w:rPr>
          <w:b w:val="0"/>
          <w:noProof/>
          <w:sz w:val="18"/>
        </w:rPr>
        <w:t>158</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12—ASIC transitional standards</w:t>
      </w:r>
      <w:r w:rsidRPr="00FE42FF">
        <w:rPr>
          <w:b w:val="0"/>
          <w:noProof/>
          <w:sz w:val="18"/>
        </w:rPr>
        <w:tab/>
      </w:r>
      <w:r w:rsidRPr="00FE42FF">
        <w:rPr>
          <w:b w:val="0"/>
          <w:noProof/>
          <w:sz w:val="18"/>
        </w:rPr>
        <w:fldChar w:fldCharType="begin"/>
      </w:r>
      <w:r w:rsidRPr="00FE42FF">
        <w:rPr>
          <w:b w:val="0"/>
          <w:noProof/>
          <w:sz w:val="18"/>
        </w:rPr>
        <w:instrText xml:space="preserve"> PAGEREF _Toc160609868 \h </w:instrText>
      </w:r>
      <w:r w:rsidRPr="00FE42FF">
        <w:rPr>
          <w:b w:val="0"/>
          <w:noProof/>
          <w:sz w:val="18"/>
        </w:rPr>
      </w:r>
      <w:r w:rsidRPr="00FE42FF">
        <w:rPr>
          <w:b w:val="0"/>
          <w:noProof/>
          <w:sz w:val="18"/>
        </w:rPr>
        <w:fldChar w:fldCharType="separate"/>
      </w:r>
      <w:r w:rsidRPr="00FE42FF">
        <w:rPr>
          <w:b w:val="0"/>
          <w:noProof/>
          <w:sz w:val="18"/>
        </w:rPr>
        <w:t>160</w:t>
      </w:r>
      <w:r w:rsidRPr="00FE42FF">
        <w:rPr>
          <w:b w:val="0"/>
          <w:noProof/>
          <w:sz w:val="18"/>
        </w:rPr>
        <w:fldChar w:fldCharType="end"/>
      </w:r>
    </w:p>
    <w:p w:rsidR="00FE42FF" w:rsidRDefault="00FE42FF">
      <w:pPr>
        <w:pStyle w:val="TOC1"/>
        <w:rPr>
          <w:rFonts w:asciiTheme="minorHAnsi" w:eastAsiaTheme="minorEastAsia" w:hAnsiTheme="minorHAnsi" w:cstheme="minorBidi"/>
          <w:b w:val="0"/>
          <w:noProof/>
          <w:kern w:val="0"/>
          <w:sz w:val="22"/>
          <w:szCs w:val="22"/>
        </w:rPr>
      </w:pPr>
      <w:r>
        <w:rPr>
          <w:noProof/>
        </w:rPr>
        <w:t>Schedule 13—Transition to Part 3 of the Insolvency Practice Schedule (Corporations)</w:t>
      </w:r>
      <w:r w:rsidRPr="00FE42FF">
        <w:rPr>
          <w:b w:val="0"/>
          <w:noProof/>
          <w:sz w:val="18"/>
        </w:rPr>
        <w:tab/>
      </w:r>
      <w:r w:rsidRPr="00FE42FF">
        <w:rPr>
          <w:b w:val="0"/>
          <w:noProof/>
          <w:sz w:val="18"/>
        </w:rPr>
        <w:fldChar w:fldCharType="begin"/>
      </w:r>
      <w:r w:rsidRPr="00FE42FF">
        <w:rPr>
          <w:b w:val="0"/>
          <w:noProof/>
          <w:sz w:val="18"/>
        </w:rPr>
        <w:instrText xml:space="preserve"> PAGEREF _Toc160609869 \h </w:instrText>
      </w:r>
      <w:r w:rsidRPr="00FE42FF">
        <w:rPr>
          <w:b w:val="0"/>
          <w:noProof/>
          <w:sz w:val="18"/>
        </w:rPr>
      </w:r>
      <w:r w:rsidRPr="00FE42FF">
        <w:rPr>
          <w:b w:val="0"/>
          <w:noProof/>
          <w:sz w:val="18"/>
        </w:rPr>
        <w:fldChar w:fldCharType="separate"/>
      </w:r>
      <w:r w:rsidRPr="00FE42FF">
        <w:rPr>
          <w:b w:val="0"/>
          <w:noProof/>
          <w:sz w:val="18"/>
        </w:rPr>
        <w:t>161</w:t>
      </w:r>
      <w:r w:rsidRPr="00FE42FF">
        <w:rPr>
          <w:b w:val="0"/>
          <w:noProof/>
          <w:sz w:val="18"/>
        </w:rPr>
        <w:fldChar w:fldCharType="end"/>
      </w:r>
    </w:p>
    <w:p w:rsidR="003811A2" w:rsidRPr="006E709F" w:rsidRDefault="00DC7276" w:rsidP="009625E6">
      <w:pPr>
        <w:tabs>
          <w:tab w:val="left" w:pos="6521"/>
          <w:tab w:val="right" w:pos="7097"/>
          <w:tab w:val="left" w:pos="7230"/>
          <w:tab w:val="left" w:pos="7655"/>
        </w:tabs>
        <w:ind w:right="1792"/>
        <w:sectPr w:rsidR="003811A2" w:rsidRPr="006E709F" w:rsidSect="0052661F">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6E709F">
        <w:rPr>
          <w:rFonts w:cs="Times New Roman"/>
          <w:sz w:val="18"/>
        </w:rPr>
        <w:fldChar w:fldCharType="end"/>
      </w:r>
    </w:p>
    <w:p w:rsidR="002A22A4" w:rsidRPr="006E709F" w:rsidRDefault="00A801D0" w:rsidP="00A801D0">
      <w:pPr>
        <w:pStyle w:val="ActHead1"/>
        <w:pageBreakBefore/>
      </w:pPr>
      <w:bookmarkStart w:id="1" w:name="_Toc160609694"/>
      <w:r w:rsidRPr="000C4237">
        <w:rPr>
          <w:rStyle w:val="CharChapNo"/>
        </w:rPr>
        <w:t>Schedule</w:t>
      </w:r>
      <w:r w:rsidR="00DA13DE" w:rsidRPr="000C4237">
        <w:rPr>
          <w:rStyle w:val="CharChapNo"/>
        </w:rPr>
        <w:t> </w:t>
      </w:r>
      <w:r w:rsidR="002A22A4" w:rsidRPr="000C4237">
        <w:rPr>
          <w:rStyle w:val="CharChapNo"/>
        </w:rPr>
        <w:t>3</w:t>
      </w:r>
      <w:r w:rsidRPr="006E709F">
        <w:t>—</w:t>
      </w:r>
      <w:r w:rsidR="002A22A4" w:rsidRPr="000C4237">
        <w:rPr>
          <w:rStyle w:val="CharChapText"/>
        </w:rPr>
        <w:t>Specified offices</w:t>
      </w:r>
      <w:bookmarkEnd w:id="1"/>
    </w:p>
    <w:p w:rsidR="002A22A4" w:rsidRPr="006E709F" w:rsidRDefault="002A22A4" w:rsidP="00A801D0">
      <w:pPr>
        <w:pStyle w:val="notemargin"/>
      </w:pPr>
      <w:r w:rsidRPr="006E709F">
        <w:t>(regulation</w:t>
      </w:r>
      <w:r w:rsidR="00DA13DE" w:rsidRPr="006E709F">
        <w:t> </w:t>
      </w:r>
      <w:r w:rsidRPr="006E709F">
        <w:t>6.2.02)</w:t>
      </w:r>
    </w:p>
    <w:p w:rsidR="002A22A4" w:rsidRPr="006E709F" w:rsidRDefault="00A801D0" w:rsidP="002A22A4">
      <w:pPr>
        <w:pStyle w:val="Header"/>
      </w:pPr>
      <w:r w:rsidRPr="000C4237">
        <w:rPr>
          <w:rStyle w:val="CharPartNo"/>
        </w:rPr>
        <w:t xml:space="preserve"> </w:t>
      </w:r>
      <w:r w:rsidRPr="000C4237">
        <w:rPr>
          <w:rStyle w:val="CharPartText"/>
        </w:rPr>
        <w:t xml:space="preserve"> </w:t>
      </w:r>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79"/>
        <w:gridCol w:w="2472"/>
        <w:gridCol w:w="2472"/>
        <w:gridCol w:w="2306"/>
      </w:tblGrid>
      <w:tr w:rsidR="002A22A4" w:rsidRPr="006E709F" w:rsidTr="00E118FA">
        <w:trPr>
          <w:tblHeader/>
        </w:trPr>
        <w:tc>
          <w:tcPr>
            <w:tcW w:w="750"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1</w:t>
            </w:r>
          </w:p>
        </w:tc>
        <w:tc>
          <w:tcPr>
            <w:tcW w:w="1449"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2</w:t>
            </w:r>
          </w:p>
        </w:tc>
        <w:tc>
          <w:tcPr>
            <w:tcW w:w="1449"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3</w:t>
            </w:r>
          </w:p>
        </w:tc>
        <w:tc>
          <w:tcPr>
            <w:tcW w:w="1352"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4</w:t>
            </w:r>
          </w:p>
        </w:tc>
      </w:tr>
      <w:tr w:rsidR="002A22A4" w:rsidRPr="006E709F" w:rsidTr="00E118FA">
        <w:trPr>
          <w:tblHeader/>
        </w:trPr>
        <w:tc>
          <w:tcPr>
            <w:tcW w:w="750" w:type="pct"/>
            <w:tcBorders>
              <w:top w:val="single" w:sz="6" w:space="0" w:color="auto"/>
              <w:bottom w:val="single" w:sz="12" w:space="0" w:color="auto"/>
            </w:tcBorders>
            <w:shd w:val="clear" w:color="auto" w:fill="auto"/>
          </w:tcPr>
          <w:p w:rsidR="002A22A4" w:rsidRPr="006E709F" w:rsidRDefault="002A22A4" w:rsidP="000858E6">
            <w:pPr>
              <w:pStyle w:val="TableHeading"/>
            </w:pPr>
            <w:r w:rsidRPr="006E709F">
              <w:t>Item</w:t>
            </w:r>
          </w:p>
        </w:tc>
        <w:tc>
          <w:tcPr>
            <w:tcW w:w="1449" w:type="pct"/>
            <w:tcBorders>
              <w:top w:val="single" w:sz="6" w:space="0" w:color="auto"/>
              <w:bottom w:val="single" w:sz="12" w:space="0" w:color="auto"/>
            </w:tcBorders>
            <w:shd w:val="clear" w:color="auto" w:fill="auto"/>
          </w:tcPr>
          <w:p w:rsidR="002A22A4" w:rsidRPr="006E709F" w:rsidRDefault="002A22A4" w:rsidP="000858E6">
            <w:pPr>
              <w:pStyle w:val="TableHeading"/>
            </w:pPr>
            <w:r w:rsidRPr="006E709F">
              <w:t>Office</w:t>
            </w:r>
          </w:p>
        </w:tc>
        <w:tc>
          <w:tcPr>
            <w:tcW w:w="1449" w:type="pct"/>
            <w:tcBorders>
              <w:top w:val="single" w:sz="6" w:space="0" w:color="auto"/>
              <w:bottom w:val="single" w:sz="12" w:space="0" w:color="auto"/>
            </w:tcBorders>
            <w:shd w:val="clear" w:color="auto" w:fill="auto"/>
          </w:tcPr>
          <w:p w:rsidR="002A22A4" w:rsidRPr="006E709F" w:rsidRDefault="002A22A4" w:rsidP="000858E6">
            <w:pPr>
              <w:pStyle w:val="TableHeading"/>
            </w:pPr>
            <w:r w:rsidRPr="006E709F">
              <w:t>Law</w:t>
            </w:r>
          </w:p>
        </w:tc>
        <w:tc>
          <w:tcPr>
            <w:tcW w:w="1352" w:type="pct"/>
            <w:tcBorders>
              <w:top w:val="single" w:sz="6" w:space="0" w:color="auto"/>
              <w:bottom w:val="single" w:sz="12" w:space="0" w:color="auto"/>
            </w:tcBorders>
            <w:shd w:val="clear" w:color="auto" w:fill="auto"/>
          </w:tcPr>
          <w:p w:rsidR="002A22A4" w:rsidRPr="006E709F" w:rsidRDefault="002A22A4" w:rsidP="000858E6">
            <w:pPr>
              <w:pStyle w:val="TableHeading"/>
            </w:pPr>
            <w:r w:rsidRPr="006E709F">
              <w:t>Jurisdiction</w:t>
            </w:r>
          </w:p>
        </w:tc>
      </w:tr>
      <w:tr w:rsidR="002A22A4" w:rsidRPr="006E709F" w:rsidTr="00E118FA">
        <w:tc>
          <w:tcPr>
            <w:tcW w:w="750" w:type="pct"/>
            <w:tcBorders>
              <w:top w:val="single" w:sz="12" w:space="0" w:color="auto"/>
            </w:tcBorders>
            <w:shd w:val="clear" w:color="auto" w:fill="auto"/>
          </w:tcPr>
          <w:p w:rsidR="002A22A4" w:rsidRPr="006E709F" w:rsidRDefault="002A22A4" w:rsidP="00A801D0">
            <w:pPr>
              <w:pStyle w:val="Tabletext"/>
            </w:pPr>
            <w:r w:rsidRPr="006E709F">
              <w:t>1</w:t>
            </w:r>
          </w:p>
        </w:tc>
        <w:tc>
          <w:tcPr>
            <w:tcW w:w="1449" w:type="pct"/>
            <w:tcBorders>
              <w:top w:val="single" w:sz="12" w:space="0" w:color="auto"/>
            </w:tcBorders>
            <w:shd w:val="clear" w:color="auto" w:fill="auto"/>
          </w:tcPr>
          <w:p w:rsidR="002A22A4" w:rsidRPr="006E709F" w:rsidRDefault="002A22A4" w:rsidP="00A801D0">
            <w:pPr>
              <w:pStyle w:val="Tabletext"/>
            </w:pPr>
            <w:r w:rsidRPr="006E709F">
              <w:t>Treasurer</w:t>
            </w:r>
          </w:p>
        </w:tc>
        <w:tc>
          <w:tcPr>
            <w:tcW w:w="1449" w:type="pct"/>
            <w:tcBorders>
              <w:top w:val="single" w:sz="12" w:space="0" w:color="auto"/>
            </w:tcBorders>
            <w:shd w:val="clear" w:color="auto" w:fill="auto"/>
          </w:tcPr>
          <w:p w:rsidR="002A22A4" w:rsidRPr="006E709F" w:rsidRDefault="002A22A4" w:rsidP="00C328E8">
            <w:pPr>
              <w:pStyle w:val="Tabletext"/>
            </w:pPr>
          </w:p>
        </w:tc>
        <w:tc>
          <w:tcPr>
            <w:tcW w:w="1352" w:type="pct"/>
            <w:tcBorders>
              <w:top w:val="single" w:sz="12" w:space="0" w:color="auto"/>
            </w:tcBorders>
            <w:shd w:val="clear" w:color="auto" w:fill="auto"/>
          </w:tcPr>
          <w:p w:rsidR="002A22A4" w:rsidRPr="006E709F" w:rsidRDefault="002A22A4" w:rsidP="00A801D0">
            <w:pPr>
              <w:pStyle w:val="Tabletext"/>
            </w:pPr>
            <w:r w:rsidRPr="006E709F">
              <w:t>Commonwealth</w:t>
            </w:r>
          </w:p>
        </w:tc>
      </w:tr>
      <w:tr w:rsidR="002A22A4" w:rsidRPr="006E709F" w:rsidTr="00E118FA">
        <w:tc>
          <w:tcPr>
            <w:tcW w:w="750" w:type="pct"/>
            <w:shd w:val="clear" w:color="auto" w:fill="auto"/>
          </w:tcPr>
          <w:p w:rsidR="002A22A4" w:rsidRPr="006E709F" w:rsidRDefault="002A22A4" w:rsidP="00A801D0">
            <w:pPr>
              <w:pStyle w:val="Tabletext"/>
            </w:pPr>
            <w:r w:rsidRPr="006E709F">
              <w:t>2</w:t>
            </w:r>
          </w:p>
        </w:tc>
        <w:tc>
          <w:tcPr>
            <w:tcW w:w="1449" w:type="pct"/>
            <w:shd w:val="clear" w:color="auto" w:fill="auto"/>
          </w:tcPr>
          <w:p w:rsidR="002A22A4" w:rsidRPr="006E709F" w:rsidRDefault="002A22A4" w:rsidP="00A801D0">
            <w:pPr>
              <w:pStyle w:val="Tabletext"/>
            </w:pPr>
            <w:r w:rsidRPr="006E709F">
              <w:t>Trustee</w:t>
            </w:r>
          </w:p>
        </w:tc>
        <w:tc>
          <w:tcPr>
            <w:tcW w:w="1449" w:type="pct"/>
            <w:shd w:val="clear" w:color="auto" w:fill="auto"/>
          </w:tcPr>
          <w:p w:rsidR="002A22A4" w:rsidRPr="006E709F" w:rsidRDefault="002A22A4" w:rsidP="00A801D0">
            <w:pPr>
              <w:pStyle w:val="Tabletext"/>
            </w:pPr>
            <w:r w:rsidRPr="006E709F">
              <w:t xml:space="preserve">Parts IV, X and XI of the </w:t>
            </w:r>
            <w:r w:rsidRPr="006E709F">
              <w:rPr>
                <w:i/>
              </w:rPr>
              <w:t>Bankruptcy Act 1966</w:t>
            </w:r>
          </w:p>
        </w:tc>
        <w:tc>
          <w:tcPr>
            <w:tcW w:w="1352" w:type="pct"/>
            <w:shd w:val="clear" w:color="auto" w:fill="auto"/>
          </w:tcPr>
          <w:p w:rsidR="002A22A4" w:rsidRPr="006E709F" w:rsidRDefault="002A22A4" w:rsidP="00A801D0">
            <w:pPr>
              <w:pStyle w:val="Tabletext"/>
            </w:pPr>
            <w:r w:rsidRPr="006E709F">
              <w:t>Commonwealth</w:t>
            </w:r>
          </w:p>
        </w:tc>
      </w:tr>
      <w:tr w:rsidR="002A22A4" w:rsidRPr="006E709F" w:rsidTr="00E118FA">
        <w:tc>
          <w:tcPr>
            <w:tcW w:w="750" w:type="pct"/>
            <w:shd w:val="clear" w:color="auto" w:fill="auto"/>
          </w:tcPr>
          <w:p w:rsidR="002A22A4" w:rsidRPr="006E709F" w:rsidRDefault="002A22A4" w:rsidP="00A801D0">
            <w:pPr>
              <w:pStyle w:val="Tabletext"/>
            </w:pPr>
            <w:r w:rsidRPr="006E709F">
              <w:t>3</w:t>
            </w:r>
          </w:p>
        </w:tc>
        <w:tc>
          <w:tcPr>
            <w:tcW w:w="1449" w:type="pct"/>
            <w:shd w:val="clear" w:color="auto" w:fill="auto"/>
          </w:tcPr>
          <w:p w:rsidR="002A22A4" w:rsidRPr="006E709F" w:rsidRDefault="002A22A4" w:rsidP="00A801D0">
            <w:pPr>
              <w:pStyle w:val="Tabletext"/>
            </w:pPr>
            <w:r w:rsidRPr="006E709F">
              <w:t>Chairperson of the Australian Securities and Investments Commission</w:t>
            </w:r>
          </w:p>
        </w:tc>
        <w:tc>
          <w:tcPr>
            <w:tcW w:w="1449" w:type="pct"/>
            <w:shd w:val="clear" w:color="auto" w:fill="auto"/>
          </w:tcPr>
          <w:p w:rsidR="002A22A4" w:rsidRPr="006E709F" w:rsidRDefault="002A22A4" w:rsidP="00A801D0">
            <w:pPr>
              <w:pStyle w:val="Tabletext"/>
            </w:pPr>
            <w:r w:rsidRPr="006E709F">
              <w:rPr>
                <w:i/>
              </w:rPr>
              <w:t>Australian Securities and Investments Commission Act 2001</w:t>
            </w:r>
          </w:p>
        </w:tc>
        <w:tc>
          <w:tcPr>
            <w:tcW w:w="1352" w:type="pct"/>
            <w:shd w:val="clear" w:color="auto" w:fill="auto"/>
          </w:tcPr>
          <w:p w:rsidR="002A22A4" w:rsidRPr="006E709F" w:rsidRDefault="002A22A4" w:rsidP="00A801D0">
            <w:pPr>
              <w:pStyle w:val="Tabletext"/>
            </w:pPr>
            <w:r w:rsidRPr="006E709F">
              <w:t>Commonwealth</w:t>
            </w:r>
          </w:p>
        </w:tc>
      </w:tr>
      <w:tr w:rsidR="002A22A4" w:rsidRPr="006E709F" w:rsidTr="00E118FA">
        <w:tc>
          <w:tcPr>
            <w:tcW w:w="750" w:type="pct"/>
            <w:shd w:val="clear" w:color="auto" w:fill="auto"/>
          </w:tcPr>
          <w:p w:rsidR="002A22A4" w:rsidRPr="006E709F" w:rsidRDefault="002A22A4" w:rsidP="00A801D0">
            <w:pPr>
              <w:pStyle w:val="Tabletext"/>
            </w:pPr>
            <w:r w:rsidRPr="006E709F">
              <w:t>4</w:t>
            </w:r>
          </w:p>
        </w:tc>
        <w:tc>
          <w:tcPr>
            <w:tcW w:w="1449" w:type="pct"/>
            <w:shd w:val="clear" w:color="auto" w:fill="auto"/>
          </w:tcPr>
          <w:p w:rsidR="002A22A4" w:rsidRPr="006E709F" w:rsidRDefault="002A22A4" w:rsidP="00A801D0">
            <w:pPr>
              <w:pStyle w:val="Tabletext"/>
            </w:pPr>
            <w:r w:rsidRPr="006E709F">
              <w:t>Deputy Chairperson of the Australian Securities and Investments Commission</w:t>
            </w:r>
          </w:p>
        </w:tc>
        <w:tc>
          <w:tcPr>
            <w:tcW w:w="1449" w:type="pct"/>
            <w:shd w:val="clear" w:color="auto" w:fill="auto"/>
          </w:tcPr>
          <w:p w:rsidR="002A22A4" w:rsidRPr="006E709F" w:rsidRDefault="002A22A4" w:rsidP="00A801D0">
            <w:pPr>
              <w:pStyle w:val="Tabletext"/>
            </w:pPr>
            <w:r w:rsidRPr="006E709F">
              <w:rPr>
                <w:i/>
              </w:rPr>
              <w:t>Australian Securities and Investments Commission Act 2001</w:t>
            </w:r>
          </w:p>
        </w:tc>
        <w:tc>
          <w:tcPr>
            <w:tcW w:w="1352" w:type="pct"/>
            <w:shd w:val="clear" w:color="auto" w:fill="auto"/>
          </w:tcPr>
          <w:p w:rsidR="002A22A4" w:rsidRPr="006E709F" w:rsidRDefault="002A22A4" w:rsidP="00A801D0">
            <w:pPr>
              <w:pStyle w:val="Tabletext"/>
            </w:pPr>
            <w:r w:rsidRPr="006E709F">
              <w:t>Commonwealth</w:t>
            </w:r>
          </w:p>
        </w:tc>
      </w:tr>
      <w:tr w:rsidR="002A22A4" w:rsidRPr="006E709F" w:rsidTr="00E118FA">
        <w:tc>
          <w:tcPr>
            <w:tcW w:w="750" w:type="pct"/>
            <w:shd w:val="clear" w:color="auto" w:fill="auto"/>
          </w:tcPr>
          <w:p w:rsidR="002A22A4" w:rsidRPr="006E709F" w:rsidRDefault="002A22A4" w:rsidP="00A801D0">
            <w:pPr>
              <w:pStyle w:val="Tabletext"/>
            </w:pPr>
            <w:r w:rsidRPr="006E709F">
              <w:t>5</w:t>
            </w:r>
          </w:p>
        </w:tc>
        <w:tc>
          <w:tcPr>
            <w:tcW w:w="1449" w:type="pct"/>
            <w:shd w:val="clear" w:color="auto" w:fill="auto"/>
          </w:tcPr>
          <w:p w:rsidR="002A22A4" w:rsidRPr="006E709F" w:rsidRDefault="002A22A4" w:rsidP="00A801D0">
            <w:pPr>
              <w:pStyle w:val="Tabletext"/>
            </w:pPr>
            <w:r w:rsidRPr="006E709F">
              <w:t>Member of the Australian Securities and Investments Commission</w:t>
            </w:r>
          </w:p>
        </w:tc>
        <w:tc>
          <w:tcPr>
            <w:tcW w:w="1449" w:type="pct"/>
            <w:shd w:val="clear" w:color="auto" w:fill="auto"/>
          </w:tcPr>
          <w:p w:rsidR="002A22A4" w:rsidRPr="006E709F" w:rsidRDefault="002A22A4" w:rsidP="00A801D0">
            <w:pPr>
              <w:pStyle w:val="Tabletext"/>
            </w:pPr>
            <w:r w:rsidRPr="006E709F">
              <w:rPr>
                <w:i/>
              </w:rPr>
              <w:t>Australian Securities and Investments Commission Act 2001</w:t>
            </w:r>
          </w:p>
        </w:tc>
        <w:tc>
          <w:tcPr>
            <w:tcW w:w="1352" w:type="pct"/>
            <w:shd w:val="clear" w:color="auto" w:fill="auto"/>
          </w:tcPr>
          <w:p w:rsidR="002A22A4" w:rsidRPr="006E709F" w:rsidRDefault="002A22A4" w:rsidP="00A801D0">
            <w:pPr>
              <w:pStyle w:val="Tabletext"/>
            </w:pPr>
            <w:r w:rsidRPr="006E709F">
              <w:t>Commonwealth</w:t>
            </w:r>
          </w:p>
        </w:tc>
      </w:tr>
      <w:tr w:rsidR="002A22A4" w:rsidRPr="006E709F" w:rsidTr="00E118FA">
        <w:tc>
          <w:tcPr>
            <w:tcW w:w="750" w:type="pct"/>
            <w:shd w:val="clear" w:color="auto" w:fill="auto"/>
          </w:tcPr>
          <w:p w:rsidR="002A22A4" w:rsidRPr="006E709F" w:rsidRDefault="002A22A4" w:rsidP="00A801D0">
            <w:pPr>
              <w:pStyle w:val="Tabletext"/>
            </w:pPr>
            <w:r w:rsidRPr="006E709F">
              <w:t>7</w:t>
            </w:r>
          </w:p>
        </w:tc>
        <w:tc>
          <w:tcPr>
            <w:tcW w:w="1449" w:type="pct"/>
            <w:shd w:val="clear" w:color="auto" w:fill="auto"/>
          </w:tcPr>
          <w:p w:rsidR="002A22A4" w:rsidRPr="006E709F" w:rsidRDefault="002A22A4" w:rsidP="00A801D0">
            <w:pPr>
              <w:pStyle w:val="Tabletext"/>
            </w:pPr>
            <w:r w:rsidRPr="006E709F">
              <w:rPr>
                <w:color w:val="000000"/>
              </w:rPr>
              <w:t>Member of the Takeovers Panel</w:t>
            </w:r>
          </w:p>
        </w:tc>
        <w:tc>
          <w:tcPr>
            <w:tcW w:w="1449" w:type="pct"/>
            <w:shd w:val="clear" w:color="auto" w:fill="auto"/>
          </w:tcPr>
          <w:p w:rsidR="002A22A4" w:rsidRPr="006E709F" w:rsidRDefault="002A22A4" w:rsidP="00A801D0">
            <w:pPr>
              <w:pStyle w:val="Tabletext"/>
            </w:pPr>
            <w:r w:rsidRPr="006E709F">
              <w:rPr>
                <w:i/>
              </w:rPr>
              <w:t>Australian Securities and Investments Commission Act 2001</w:t>
            </w:r>
          </w:p>
        </w:tc>
        <w:tc>
          <w:tcPr>
            <w:tcW w:w="1352" w:type="pct"/>
            <w:shd w:val="clear" w:color="auto" w:fill="auto"/>
          </w:tcPr>
          <w:p w:rsidR="002A22A4" w:rsidRPr="006E709F" w:rsidRDefault="002A22A4" w:rsidP="00A801D0">
            <w:pPr>
              <w:pStyle w:val="Tabletext"/>
            </w:pPr>
            <w:r w:rsidRPr="006E709F">
              <w:t>Commonwealth</w:t>
            </w:r>
          </w:p>
        </w:tc>
      </w:tr>
      <w:tr w:rsidR="002A22A4" w:rsidRPr="006E709F" w:rsidTr="00E118FA">
        <w:tc>
          <w:tcPr>
            <w:tcW w:w="750" w:type="pct"/>
            <w:shd w:val="clear" w:color="auto" w:fill="auto"/>
          </w:tcPr>
          <w:p w:rsidR="002A22A4" w:rsidRPr="006E709F" w:rsidRDefault="002A22A4" w:rsidP="00A801D0">
            <w:pPr>
              <w:pStyle w:val="Tabletext"/>
            </w:pPr>
            <w:r w:rsidRPr="006E709F">
              <w:t>8</w:t>
            </w:r>
          </w:p>
        </w:tc>
        <w:tc>
          <w:tcPr>
            <w:tcW w:w="1449" w:type="pct"/>
            <w:shd w:val="clear" w:color="auto" w:fill="auto"/>
          </w:tcPr>
          <w:p w:rsidR="002A22A4" w:rsidRPr="006E709F" w:rsidRDefault="002A22A4" w:rsidP="00A801D0">
            <w:pPr>
              <w:pStyle w:val="Tabletext"/>
            </w:pPr>
            <w:r w:rsidRPr="006E709F">
              <w:t>Treasurer</w:t>
            </w:r>
          </w:p>
        </w:tc>
        <w:tc>
          <w:tcPr>
            <w:tcW w:w="1449" w:type="pct"/>
            <w:shd w:val="clear" w:color="auto" w:fill="auto"/>
          </w:tcPr>
          <w:p w:rsidR="002A22A4" w:rsidRPr="006E709F" w:rsidRDefault="002A22A4" w:rsidP="00C328E8">
            <w:pPr>
              <w:pStyle w:val="Tabletext"/>
            </w:pPr>
          </w:p>
        </w:tc>
        <w:tc>
          <w:tcPr>
            <w:tcW w:w="1352" w:type="pct"/>
            <w:shd w:val="clear" w:color="auto" w:fill="auto"/>
          </w:tcPr>
          <w:p w:rsidR="002A22A4" w:rsidRPr="006E709F" w:rsidRDefault="002A22A4" w:rsidP="00A801D0">
            <w:pPr>
              <w:pStyle w:val="Tabletext"/>
            </w:pPr>
            <w:r w:rsidRPr="006E709F">
              <w:t>Western Australia</w:t>
            </w:r>
          </w:p>
        </w:tc>
      </w:tr>
      <w:tr w:rsidR="002A22A4" w:rsidRPr="006E709F" w:rsidTr="00E118FA">
        <w:tc>
          <w:tcPr>
            <w:tcW w:w="750" w:type="pct"/>
            <w:shd w:val="clear" w:color="auto" w:fill="auto"/>
          </w:tcPr>
          <w:p w:rsidR="002A22A4" w:rsidRPr="006E709F" w:rsidRDefault="002A22A4" w:rsidP="00A801D0">
            <w:pPr>
              <w:pStyle w:val="Tabletext"/>
            </w:pPr>
            <w:r w:rsidRPr="006E709F">
              <w:t>9</w:t>
            </w:r>
          </w:p>
        </w:tc>
        <w:tc>
          <w:tcPr>
            <w:tcW w:w="1449" w:type="pct"/>
            <w:shd w:val="clear" w:color="auto" w:fill="auto"/>
          </w:tcPr>
          <w:p w:rsidR="002A22A4" w:rsidRPr="006E709F" w:rsidRDefault="002A22A4" w:rsidP="00A801D0">
            <w:pPr>
              <w:pStyle w:val="Tabletext"/>
            </w:pPr>
            <w:r w:rsidRPr="006E709F">
              <w:t>Commissioner for Corporate Affairs</w:t>
            </w:r>
          </w:p>
        </w:tc>
        <w:tc>
          <w:tcPr>
            <w:tcW w:w="1449" w:type="pct"/>
            <w:shd w:val="clear" w:color="auto" w:fill="auto"/>
          </w:tcPr>
          <w:p w:rsidR="002A22A4" w:rsidRPr="006E709F" w:rsidRDefault="002A22A4" w:rsidP="00C328E8">
            <w:pPr>
              <w:pStyle w:val="Tabletext"/>
            </w:pPr>
          </w:p>
        </w:tc>
        <w:tc>
          <w:tcPr>
            <w:tcW w:w="1352" w:type="pct"/>
            <w:shd w:val="clear" w:color="auto" w:fill="auto"/>
          </w:tcPr>
          <w:p w:rsidR="002A22A4" w:rsidRPr="006E709F" w:rsidRDefault="002A22A4" w:rsidP="00A801D0">
            <w:pPr>
              <w:pStyle w:val="Tabletext"/>
            </w:pPr>
            <w:r w:rsidRPr="006E709F">
              <w:t>Western Australia</w:t>
            </w:r>
          </w:p>
        </w:tc>
      </w:tr>
      <w:tr w:rsidR="002A22A4" w:rsidRPr="006E709F" w:rsidTr="00E118FA">
        <w:tc>
          <w:tcPr>
            <w:tcW w:w="750" w:type="pct"/>
            <w:shd w:val="clear" w:color="auto" w:fill="auto"/>
          </w:tcPr>
          <w:p w:rsidR="002A22A4" w:rsidRPr="006E709F" w:rsidRDefault="002A22A4" w:rsidP="00A801D0">
            <w:pPr>
              <w:pStyle w:val="Tabletext"/>
            </w:pPr>
            <w:r w:rsidRPr="006E709F">
              <w:t>10</w:t>
            </w:r>
          </w:p>
        </w:tc>
        <w:tc>
          <w:tcPr>
            <w:tcW w:w="1449" w:type="pct"/>
            <w:shd w:val="clear" w:color="auto" w:fill="auto"/>
          </w:tcPr>
          <w:p w:rsidR="002A22A4" w:rsidRPr="006E709F" w:rsidRDefault="002A22A4" w:rsidP="00A801D0">
            <w:pPr>
              <w:pStyle w:val="Tabletext"/>
            </w:pPr>
            <w:r w:rsidRPr="006E709F">
              <w:t>Public Trustee</w:t>
            </w:r>
          </w:p>
        </w:tc>
        <w:tc>
          <w:tcPr>
            <w:tcW w:w="1449" w:type="pct"/>
            <w:shd w:val="clear" w:color="auto" w:fill="auto"/>
          </w:tcPr>
          <w:p w:rsidR="002A22A4" w:rsidRPr="006E709F" w:rsidRDefault="002A22A4" w:rsidP="00A801D0">
            <w:pPr>
              <w:pStyle w:val="Tabletext"/>
            </w:pPr>
            <w:r w:rsidRPr="006E709F">
              <w:rPr>
                <w:i/>
              </w:rPr>
              <w:t>Public Trustee Act 1941</w:t>
            </w:r>
          </w:p>
        </w:tc>
        <w:tc>
          <w:tcPr>
            <w:tcW w:w="1352" w:type="pct"/>
            <w:shd w:val="clear" w:color="auto" w:fill="auto"/>
          </w:tcPr>
          <w:p w:rsidR="002A22A4" w:rsidRPr="006E709F" w:rsidRDefault="002A22A4" w:rsidP="00A801D0">
            <w:pPr>
              <w:pStyle w:val="Tabletext"/>
            </w:pPr>
            <w:r w:rsidRPr="006E709F">
              <w:t>Western Australia</w:t>
            </w:r>
          </w:p>
        </w:tc>
      </w:tr>
      <w:tr w:rsidR="002A22A4" w:rsidRPr="006E709F" w:rsidTr="00E118FA">
        <w:tc>
          <w:tcPr>
            <w:tcW w:w="750" w:type="pct"/>
            <w:shd w:val="clear" w:color="auto" w:fill="auto"/>
          </w:tcPr>
          <w:p w:rsidR="002A22A4" w:rsidRPr="006E709F" w:rsidRDefault="002A22A4" w:rsidP="00A801D0">
            <w:pPr>
              <w:pStyle w:val="Tabletext"/>
            </w:pPr>
            <w:r w:rsidRPr="006E709F">
              <w:t>11</w:t>
            </w:r>
          </w:p>
        </w:tc>
        <w:tc>
          <w:tcPr>
            <w:tcW w:w="1449" w:type="pct"/>
            <w:shd w:val="clear" w:color="auto" w:fill="auto"/>
          </w:tcPr>
          <w:p w:rsidR="002A22A4" w:rsidRPr="006E709F" w:rsidRDefault="002A22A4" w:rsidP="00A801D0">
            <w:pPr>
              <w:pStyle w:val="Tabletext"/>
            </w:pPr>
            <w:r w:rsidRPr="006E709F">
              <w:t>Master of the Supreme Court</w:t>
            </w:r>
          </w:p>
        </w:tc>
        <w:tc>
          <w:tcPr>
            <w:tcW w:w="1449" w:type="pct"/>
            <w:shd w:val="clear" w:color="auto" w:fill="auto"/>
          </w:tcPr>
          <w:p w:rsidR="002A22A4" w:rsidRPr="006E709F" w:rsidRDefault="002A22A4" w:rsidP="00A801D0">
            <w:pPr>
              <w:pStyle w:val="Tabletext"/>
            </w:pPr>
            <w:r w:rsidRPr="006E709F">
              <w:rPr>
                <w:i/>
              </w:rPr>
              <w:t>Supreme Court Act 1935</w:t>
            </w:r>
          </w:p>
        </w:tc>
        <w:tc>
          <w:tcPr>
            <w:tcW w:w="1352" w:type="pct"/>
            <w:shd w:val="clear" w:color="auto" w:fill="auto"/>
          </w:tcPr>
          <w:p w:rsidR="002A22A4" w:rsidRPr="006E709F" w:rsidRDefault="002A22A4" w:rsidP="00A801D0">
            <w:pPr>
              <w:pStyle w:val="Tabletext"/>
            </w:pPr>
            <w:r w:rsidRPr="006E709F">
              <w:t>Western Australia</w:t>
            </w:r>
          </w:p>
        </w:tc>
      </w:tr>
      <w:tr w:rsidR="002A22A4" w:rsidRPr="006E709F" w:rsidTr="00E118FA">
        <w:tc>
          <w:tcPr>
            <w:tcW w:w="750" w:type="pct"/>
            <w:shd w:val="clear" w:color="auto" w:fill="auto"/>
          </w:tcPr>
          <w:p w:rsidR="002A22A4" w:rsidRPr="006E709F" w:rsidRDefault="002A22A4" w:rsidP="00A801D0">
            <w:pPr>
              <w:pStyle w:val="Tabletext"/>
            </w:pPr>
            <w:r w:rsidRPr="006E709F">
              <w:t>12</w:t>
            </w:r>
          </w:p>
        </w:tc>
        <w:tc>
          <w:tcPr>
            <w:tcW w:w="1449" w:type="pct"/>
            <w:shd w:val="clear" w:color="auto" w:fill="auto"/>
          </w:tcPr>
          <w:p w:rsidR="002A22A4" w:rsidRPr="006E709F" w:rsidRDefault="002A22A4" w:rsidP="00A801D0">
            <w:pPr>
              <w:pStyle w:val="Tabletext"/>
            </w:pPr>
            <w:r w:rsidRPr="006E709F">
              <w:t>Registrar of the Supreme Court</w:t>
            </w:r>
          </w:p>
        </w:tc>
        <w:tc>
          <w:tcPr>
            <w:tcW w:w="1449" w:type="pct"/>
            <w:shd w:val="clear" w:color="auto" w:fill="auto"/>
          </w:tcPr>
          <w:p w:rsidR="002A22A4" w:rsidRPr="006E709F" w:rsidRDefault="002A22A4" w:rsidP="00A801D0">
            <w:pPr>
              <w:pStyle w:val="Tabletext"/>
            </w:pPr>
            <w:r w:rsidRPr="006E709F">
              <w:rPr>
                <w:i/>
              </w:rPr>
              <w:t>Supreme Court Act 1935</w:t>
            </w:r>
          </w:p>
        </w:tc>
        <w:tc>
          <w:tcPr>
            <w:tcW w:w="1352" w:type="pct"/>
            <w:shd w:val="clear" w:color="auto" w:fill="auto"/>
          </w:tcPr>
          <w:p w:rsidR="002A22A4" w:rsidRPr="006E709F" w:rsidRDefault="002A22A4" w:rsidP="00A801D0">
            <w:pPr>
              <w:pStyle w:val="Tabletext"/>
            </w:pPr>
            <w:r w:rsidRPr="006E709F">
              <w:t>Western Australia</w:t>
            </w:r>
          </w:p>
        </w:tc>
      </w:tr>
      <w:tr w:rsidR="002A22A4" w:rsidRPr="006E709F" w:rsidTr="00E118FA">
        <w:tc>
          <w:tcPr>
            <w:tcW w:w="750" w:type="pct"/>
            <w:tcBorders>
              <w:bottom w:val="single" w:sz="4" w:space="0" w:color="auto"/>
            </w:tcBorders>
            <w:shd w:val="clear" w:color="auto" w:fill="auto"/>
          </w:tcPr>
          <w:p w:rsidR="002A22A4" w:rsidRPr="006E709F" w:rsidRDefault="002A22A4" w:rsidP="00A801D0">
            <w:pPr>
              <w:pStyle w:val="Tabletext"/>
            </w:pPr>
            <w:r w:rsidRPr="006E709F">
              <w:t>13</w:t>
            </w:r>
          </w:p>
        </w:tc>
        <w:tc>
          <w:tcPr>
            <w:tcW w:w="1449" w:type="pct"/>
            <w:tcBorders>
              <w:bottom w:val="single" w:sz="4" w:space="0" w:color="auto"/>
            </w:tcBorders>
            <w:shd w:val="clear" w:color="auto" w:fill="auto"/>
          </w:tcPr>
          <w:p w:rsidR="002A22A4" w:rsidRPr="006E709F" w:rsidRDefault="002A22A4" w:rsidP="00A801D0">
            <w:pPr>
              <w:pStyle w:val="Tabletext"/>
            </w:pPr>
            <w:r w:rsidRPr="006E709F">
              <w:t>Treasurer</w:t>
            </w:r>
          </w:p>
        </w:tc>
        <w:tc>
          <w:tcPr>
            <w:tcW w:w="1449" w:type="pct"/>
            <w:tcBorders>
              <w:bottom w:val="single" w:sz="4" w:space="0" w:color="auto"/>
            </w:tcBorders>
            <w:shd w:val="clear" w:color="auto" w:fill="auto"/>
          </w:tcPr>
          <w:p w:rsidR="002A22A4" w:rsidRPr="006E709F" w:rsidRDefault="002A22A4" w:rsidP="00C328E8">
            <w:pPr>
              <w:pStyle w:val="Tabletext"/>
            </w:pPr>
          </w:p>
        </w:tc>
        <w:tc>
          <w:tcPr>
            <w:tcW w:w="1352" w:type="pct"/>
            <w:tcBorders>
              <w:bottom w:val="single" w:sz="4" w:space="0" w:color="auto"/>
            </w:tcBorders>
            <w:shd w:val="clear" w:color="auto" w:fill="auto"/>
          </w:tcPr>
          <w:p w:rsidR="002A22A4" w:rsidRPr="006E709F" w:rsidRDefault="002A22A4" w:rsidP="00A801D0">
            <w:pPr>
              <w:pStyle w:val="Tabletext"/>
            </w:pPr>
            <w:r w:rsidRPr="006E709F">
              <w:t>Victoria</w:t>
            </w:r>
          </w:p>
        </w:tc>
      </w:tr>
      <w:tr w:rsidR="002A22A4" w:rsidRPr="006E709F" w:rsidTr="00E118FA">
        <w:tc>
          <w:tcPr>
            <w:tcW w:w="750" w:type="pct"/>
            <w:tcBorders>
              <w:bottom w:val="single" w:sz="4" w:space="0" w:color="auto"/>
            </w:tcBorders>
            <w:shd w:val="clear" w:color="auto" w:fill="auto"/>
          </w:tcPr>
          <w:p w:rsidR="002A22A4" w:rsidRPr="006E709F" w:rsidRDefault="002A22A4" w:rsidP="00A801D0">
            <w:pPr>
              <w:pStyle w:val="Tabletext"/>
            </w:pPr>
            <w:r w:rsidRPr="006E709F">
              <w:t>14</w:t>
            </w:r>
          </w:p>
        </w:tc>
        <w:tc>
          <w:tcPr>
            <w:tcW w:w="1449" w:type="pct"/>
            <w:tcBorders>
              <w:bottom w:val="single" w:sz="4" w:space="0" w:color="auto"/>
            </w:tcBorders>
            <w:shd w:val="clear" w:color="auto" w:fill="auto"/>
          </w:tcPr>
          <w:p w:rsidR="002A22A4" w:rsidRPr="006E709F" w:rsidRDefault="002A22A4" w:rsidP="00A801D0">
            <w:pPr>
              <w:pStyle w:val="Tabletext"/>
            </w:pPr>
            <w:r w:rsidRPr="006E709F">
              <w:t>Commissioner for Corporate Affairs</w:t>
            </w:r>
          </w:p>
        </w:tc>
        <w:tc>
          <w:tcPr>
            <w:tcW w:w="1449" w:type="pct"/>
            <w:tcBorders>
              <w:bottom w:val="single" w:sz="4" w:space="0" w:color="auto"/>
            </w:tcBorders>
            <w:shd w:val="clear" w:color="auto" w:fill="auto"/>
          </w:tcPr>
          <w:p w:rsidR="002A22A4" w:rsidRPr="006E709F" w:rsidRDefault="002A22A4" w:rsidP="00C328E8">
            <w:pPr>
              <w:pStyle w:val="Tabletext"/>
            </w:pPr>
          </w:p>
        </w:tc>
        <w:tc>
          <w:tcPr>
            <w:tcW w:w="1352" w:type="pct"/>
            <w:tcBorders>
              <w:bottom w:val="single" w:sz="4" w:space="0" w:color="auto"/>
            </w:tcBorders>
            <w:shd w:val="clear" w:color="auto" w:fill="auto"/>
          </w:tcPr>
          <w:p w:rsidR="002A22A4" w:rsidRPr="006E709F" w:rsidRDefault="002A22A4" w:rsidP="00A801D0">
            <w:pPr>
              <w:pStyle w:val="Tabletext"/>
            </w:pPr>
            <w:r w:rsidRPr="006E709F">
              <w:t>Victoria</w:t>
            </w:r>
          </w:p>
        </w:tc>
      </w:tr>
      <w:tr w:rsidR="002A22A4" w:rsidRPr="006E709F" w:rsidTr="00E118FA">
        <w:trPr>
          <w:cantSplit/>
        </w:trPr>
        <w:tc>
          <w:tcPr>
            <w:tcW w:w="750" w:type="pct"/>
            <w:tcBorders>
              <w:top w:val="single" w:sz="4" w:space="0" w:color="auto"/>
            </w:tcBorders>
            <w:shd w:val="clear" w:color="auto" w:fill="auto"/>
          </w:tcPr>
          <w:p w:rsidR="002A22A4" w:rsidRPr="006E709F" w:rsidRDefault="002A22A4" w:rsidP="00A801D0">
            <w:pPr>
              <w:pStyle w:val="Tabletext"/>
            </w:pPr>
            <w:r w:rsidRPr="006E709F">
              <w:t>15</w:t>
            </w:r>
          </w:p>
        </w:tc>
        <w:tc>
          <w:tcPr>
            <w:tcW w:w="1449" w:type="pct"/>
            <w:tcBorders>
              <w:top w:val="single" w:sz="4" w:space="0" w:color="auto"/>
            </w:tcBorders>
            <w:shd w:val="clear" w:color="auto" w:fill="auto"/>
          </w:tcPr>
          <w:p w:rsidR="002A22A4" w:rsidRPr="006E709F" w:rsidRDefault="002A22A4" w:rsidP="00A801D0">
            <w:pPr>
              <w:pStyle w:val="Tabletext"/>
            </w:pPr>
            <w:r w:rsidRPr="006E709F">
              <w:t>Public Trustee</w:t>
            </w:r>
          </w:p>
        </w:tc>
        <w:tc>
          <w:tcPr>
            <w:tcW w:w="1449" w:type="pct"/>
            <w:tcBorders>
              <w:top w:val="single" w:sz="4" w:space="0" w:color="auto"/>
            </w:tcBorders>
            <w:shd w:val="clear" w:color="auto" w:fill="auto"/>
          </w:tcPr>
          <w:p w:rsidR="002A22A4" w:rsidRPr="006E709F" w:rsidRDefault="002A22A4" w:rsidP="00A801D0">
            <w:pPr>
              <w:pStyle w:val="Tabletext"/>
            </w:pPr>
            <w:r w:rsidRPr="006E709F">
              <w:rPr>
                <w:i/>
              </w:rPr>
              <w:t>Public Trustee Act 1958</w:t>
            </w:r>
          </w:p>
        </w:tc>
        <w:tc>
          <w:tcPr>
            <w:tcW w:w="1352" w:type="pct"/>
            <w:tcBorders>
              <w:top w:val="single" w:sz="4" w:space="0" w:color="auto"/>
            </w:tcBorders>
            <w:shd w:val="clear" w:color="auto" w:fill="auto"/>
          </w:tcPr>
          <w:p w:rsidR="002A22A4" w:rsidRPr="006E709F" w:rsidRDefault="002A22A4" w:rsidP="00A801D0">
            <w:pPr>
              <w:pStyle w:val="Tabletext"/>
            </w:pPr>
            <w:r w:rsidRPr="006E709F">
              <w:t>Victoria</w:t>
            </w:r>
          </w:p>
        </w:tc>
      </w:tr>
      <w:tr w:rsidR="002A22A4" w:rsidRPr="006E709F" w:rsidTr="00E118FA">
        <w:tc>
          <w:tcPr>
            <w:tcW w:w="750" w:type="pct"/>
            <w:shd w:val="clear" w:color="auto" w:fill="auto"/>
          </w:tcPr>
          <w:p w:rsidR="002A22A4" w:rsidRPr="006E709F" w:rsidRDefault="002A22A4" w:rsidP="00A801D0">
            <w:pPr>
              <w:pStyle w:val="Tabletext"/>
            </w:pPr>
            <w:r w:rsidRPr="006E709F">
              <w:t>16</w:t>
            </w:r>
          </w:p>
        </w:tc>
        <w:tc>
          <w:tcPr>
            <w:tcW w:w="1449" w:type="pct"/>
            <w:shd w:val="clear" w:color="auto" w:fill="auto"/>
          </w:tcPr>
          <w:p w:rsidR="002A22A4" w:rsidRPr="006E709F" w:rsidRDefault="002A22A4" w:rsidP="00A801D0">
            <w:pPr>
              <w:pStyle w:val="Tabletext"/>
            </w:pPr>
            <w:r w:rsidRPr="006E709F">
              <w:t>Master of the Supreme Court</w:t>
            </w:r>
          </w:p>
        </w:tc>
        <w:tc>
          <w:tcPr>
            <w:tcW w:w="1449" w:type="pct"/>
            <w:shd w:val="clear" w:color="auto" w:fill="auto"/>
          </w:tcPr>
          <w:p w:rsidR="002A22A4" w:rsidRPr="006E709F" w:rsidRDefault="002A22A4" w:rsidP="00A801D0">
            <w:pPr>
              <w:pStyle w:val="Tabletext"/>
            </w:pPr>
            <w:r w:rsidRPr="006E709F">
              <w:rPr>
                <w:i/>
              </w:rPr>
              <w:t>Supreme Court Act 1958</w:t>
            </w:r>
          </w:p>
        </w:tc>
        <w:tc>
          <w:tcPr>
            <w:tcW w:w="1352" w:type="pct"/>
            <w:shd w:val="clear" w:color="auto" w:fill="auto"/>
          </w:tcPr>
          <w:p w:rsidR="002A22A4" w:rsidRPr="006E709F" w:rsidRDefault="002A22A4" w:rsidP="00A801D0">
            <w:pPr>
              <w:pStyle w:val="Tabletext"/>
            </w:pPr>
            <w:r w:rsidRPr="006E709F">
              <w:t>Victoria</w:t>
            </w:r>
          </w:p>
        </w:tc>
      </w:tr>
      <w:tr w:rsidR="002A22A4" w:rsidRPr="006E709F" w:rsidTr="00E118FA">
        <w:tc>
          <w:tcPr>
            <w:tcW w:w="750" w:type="pct"/>
            <w:shd w:val="clear" w:color="auto" w:fill="auto"/>
          </w:tcPr>
          <w:p w:rsidR="002A22A4" w:rsidRPr="006E709F" w:rsidRDefault="002A22A4" w:rsidP="00A801D0">
            <w:pPr>
              <w:pStyle w:val="Tabletext"/>
            </w:pPr>
            <w:r w:rsidRPr="006E709F">
              <w:t>17</w:t>
            </w:r>
          </w:p>
        </w:tc>
        <w:tc>
          <w:tcPr>
            <w:tcW w:w="1449" w:type="pct"/>
            <w:shd w:val="clear" w:color="auto" w:fill="auto"/>
          </w:tcPr>
          <w:p w:rsidR="002A22A4" w:rsidRPr="006E709F" w:rsidRDefault="002A22A4" w:rsidP="00A801D0">
            <w:pPr>
              <w:pStyle w:val="Tabletext"/>
            </w:pPr>
            <w:r w:rsidRPr="006E709F">
              <w:t>Treasurer</w:t>
            </w:r>
          </w:p>
        </w:tc>
        <w:tc>
          <w:tcPr>
            <w:tcW w:w="1449" w:type="pct"/>
            <w:shd w:val="clear" w:color="auto" w:fill="auto"/>
          </w:tcPr>
          <w:p w:rsidR="002A22A4" w:rsidRPr="006E709F" w:rsidRDefault="002A22A4" w:rsidP="00C328E8">
            <w:pPr>
              <w:pStyle w:val="Tabletext"/>
            </w:pPr>
          </w:p>
        </w:tc>
        <w:tc>
          <w:tcPr>
            <w:tcW w:w="1352" w:type="pct"/>
            <w:shd w:val="clear" w:color="auto" w:fill="auto"/>
          </w:tcPr>
          <w:p w:rsidR="002A22A4" w:rsidRPr="006E709F" w:rsidRDefault="002A22A4" w:rsidP="00A801D0">
            <w:pPr>
              <w:pStyle w:val="Tabletext"/>
            </w:pPr>
            <w:r w:rsidRPr="006E709F">
              <w:t>New South Wales</w:t>
            </w:r>
          </w:p>
        </w:tc>
      </w:tr>
      <w:tr w:rsidR="002A22A4" w:rsidRPr="006E709F" w:rsidTr="00E118FA">
        <w:tc>
          <w:tcPr>
            <w:tcW w:w="750" w:type="pct"/>
            <w:shd w:val="clear" w:color="auto" w:fill="auto"/>
          </w:tcPr>
          <w:p w:rsidR="002A22A4" w:rsidRPr="006E709F" w:rsidRDefault="002A22A4" w:rsidP="00A801D0">
            <w:pPr>
              <w:pStyle w:val="Tabletext"/>
            </w:pPr>
            <w:r w:rsidRPr="006E709F">
              <w:t>18</w:t>
            </w:r>
          </w:p>
        </w:tc>
        <w:tc>
          <w:tcPr>
            <w:tcW w:w="1449" w:type="pct"/>
            <w:shd w:val="clear" w:color="auto" w:fill="auto"/>
          </w:tcPr>
          <w:p w:rsidR="002A22A4" w:rsidRPr="006E709F" w:rsidRDefault="002A22A4" w:rsidP="00A801D0">
            <w:pPr>
              <w:pStyle w:val="Tabletext"/>
            </w:pPr>
            <w:r w:rsidRPr="006E709F">
              <w:t>Public Trustee</w:t>
            </w:r>
          </w:p>
        </w:tc>
        <w:tc>
          <w:tcPr>
            <w:tcW w:w="1449" w:type="pct"/>
            <w:shd w:val="clear" w:color="auto" w:fill="auto"/>
          </w:tcPr>
          <w:p w:rsidR="002A22A4" w:rsidRPr="006E709F" w:rsidRDefault="002A22A4" w:rsidP="00A801D0">
            <w:pPr>
              <w:pStyle w:val="Tabletext"/>
            </w:pPr>
            <w:r w:rsidRPr="006E709F">
              <w:rPr>
                <w:i/>
              </w:rPr>
              <w:t>Public Trustee Act 1913</w:t>
            </w:r>
          </w:p>
        </w:tc>
        <w:tc>
          <w:tcPr>
            <w:tcW w:w="1352" w:type="pct"/>
            <w:shd w:val="clear" w:color="auto" w:fill="auto"/>
          </w:tcPr>
          <w:p w:rsidR="002A22A4" w:rsidRPr="006E709F" w:rsidRDefault="002A22A4" w:rsidP="00A801D0">
            <w:pPr>
              <w:pStyle w:val="Tabletext"/>
            </w:pPr>
            <w:r w:rsidRPr="006E709F">
              <w:t>New South Wales</w:t>
            </w:r>
          </w:p>
        </w:tc>
      </w:tr>
      <w:tr w:rsidR="002A22A4" w:rsidRPr="006E709F" w:rsidTr="00E118FA">
        <w:tc>
          <w:tcPr>
            <w:tcW w:w="750" w:type="pct"/>
            <w:shd w:val="clear" w:color="auto" w:fill="auto"/>
          </w:tcPr>
          <w:p w:rsidR="002A22A4" w:rsidRPr="006E709F" w:rsidRDefault="002A22A4" w:rsidP="00A801D0">
            <w:pPr>
              <w:pStyle w:val="Tabletext"/>
            </w:pPr>
            <w:r w:rsidRPr="006E709F">
              <w:t>19</w:t>
            </w:r>
          </w:p>
        </w:tc>
        <w:tc>
          <w:tcPr>
            <w:tcW w:w="1449" w:type="pct"/>
            <w:shd w:val="clear" w:color="auto" w:fill="auto"/>
          </w:tcPr>
          <w:p w:rsidR="002A22A4" w:rsidRPr="006E709F" w:rsidRDefault="002A22A4" w:rsidP="00A801D0">
            <w:pPr>
              <w:pStyle w:val="Tabletext"/>
            </w:pPr>
            <w:r w:rsidRPr="006E709F">
              <w:t>Master</w:t>
            </w:r>
          </w:p>
        </w:tc>
        <w:tc>
          <w:tcPr>
            <w:tcW w:w="1449" w:type="pct"/>
            <w:shd w:val="clear" w:color="auto" w:fill="auto"/>
          </w:tcPr>
          <w:p w:rsidR="002A22A4" w:rsidRPr="006E709F" w:rsidRDefault="00A801D0" w:rsidP="00A801D0">
            <w:pPr>
              <w:pStyle w:val="Tabletext"/>
            </w:pPr>
            <w:r w:rsidRPr="006E709F">
              <w:t>Division</w:t>
            </w:r>
            <w:r w:rsidR="00DA13DE" w:rsidRPr="006E709F">
              <w:t> </w:t>
            </w:r>
            <w:r w:rsidR="002A22A4" w:rsidRPr="006E709F">
              <w:t xml:space="preserve">1 of </w:t>
            </w:r>
            <w:r w:rsidRPr="006E709F">
              <w:t>Part</w:t>
            </w:r>
            <w:r w:rsidR="00E376FA" w:rsidRPr="006E709F">
              <w:t> </w:t>
            </w:r>
            <w:r w:rsidR="002A22A4" w:rsidRPr="006E709F">
              <w:t xml:space="preserve">VIII of the </w:t>
            </w:r>
            <w:r w:rsidR="002A22A4" w:rsidRPr="006E709F">
              <w:rPr>
                <w:i/>
              </w:rPr>
              <w:t>Supreme Court Act 1970</w:t>
            </w:r>
          </w:p>
        </w:tc>
        <w:tc>
          <w:tcPr>
            <w:tcW w:w="1352" w:type="pct"/>
            <w:shd w:val="clear" w:color="auto" w:fill="auto"/>
          </w:tcPr>
          <w:p w:rsidR="002A22A4" w:rsidRPr="006E709F" w:rsidRDefault="002A22A4" w:rsidP="00A801D0">
            <w:pPr>
              <w:pStyle w:val="Tabletext"/>
            </w:pPr>
            <w:r w:rsidRPr="006E709F">
              <w:t>New South Wales</w:t>
            </w:r>
          </w:p>
        </w:tc>
      </w:tr>
      <w:tr w:rsidR="002A22A4" w:rsidRPr="006E709F" w:rsidTr="00E118FA">
        <w:tc>
          <w:tcPr>
            <w:tcW w:w="750" w:type="pct"/>
            <w:shd w:val="clear" w:color="auto" w:fill="auto"/>
          </w:tcPr>
          <w:p w:rsidR="002A22A4" w:rsidRPr="006E709F" w:rsidRDefault="002A22A4" w:rsidP="00A801D0">
            <w:pPr>
              <w:pStyle w:val="Tabletext"/>
            </w:pPr>
            <w:r w:rsidRPr="006E709F">
              <w:t>20</w:t>
            </w:r>
          </w:p>
        </w:tc>
        <w:tc>
          <w:tcPr>
            <w:tcW w:w="1449" w:type="pct"/>
            <w:shd w:val="clear" w:color="auto" w:fill="auto"/>
          </w:tcPr>
          <w:p w:rsidR="002A22A4" w:rsidRPr="006E709F" w:rsidRDefault="002A22A4" w:rsidP="00A801D0">
            <w:pPr>
              <w:pStyle w:val="Tabletext"/>
            </w:pPr>
            <w:r w:rsidRPr="006E709F">
              <w:t>Supervisor of Loan Fund Companies</w:t>
            </w:r>
          </w:p>
        </w:tc>
        <w:tc>
          <w:tcPr>
            <w:tcW w:w="1449" w:type="pct"/>
            <w:shd w:val="clear" w:color="auto" w:fill="auto"/>
          </w:tcPr>
          <w:p w:rsidR="002A22A4" w:rsidRPr="006E709F" w:rsidRDefault="002A22A4" w:rsidP="00A801D0">
            <w:pPr>
              <w:pStyle w:val="Tabletext"/>
            </w:pPr>
            <w:r w:rsidRPr="006E709F">
              <w:rPr>
                <w:i/>
              </w:rPr>
              <w:t>Loan Fund Companies Act 1976</w:t>
            </w:r>
          </w:p>
        </w:tc>
        <w:tc>
          <w:tcPr>
            <w:tcW w:w="1352" w:type="pct"/>
            <w:shd w:val="clear" w:color="auto" w:fill="auto"/>
          </w:tcPr>
          <w:p w:rsidR="002A22A4" w:rsidRPr="006E709F" w:rsidRDefault="002A22A4" w:rsidP="00A801D0">
            <w:pPr>
              <w:pStyle w:val="Tabletext"/>
            </w:pPr>
            <w:r w:rsidRPr="006E709F">
              <w:t>New South Wales</w:t>
            </w:r>
          </w:p>
        </w:tc>
      </w:tr>
      <w:tr w:rsidR="002A22A4" w:rsidRPr="006E709F" w:rsidTr="00E118FA">
        <w:tc>
          <w:tcPr>
            <w:tcW w:w="750" w:type="pct"/>
            <w:shd w:val="clear" w:color="auto" w:fill="auto"/>
          </w:tcPr>
          <w:p w:rsidR="002A22A4" w:rsidRPr="006E709F" w:rsidRDefault="002A22A4" w:rsidP="00A801D0">
            <w:pPr>
              <w:pStyle w:val="Tabletext"/>
            </w:pPr>
            <w:r w:rsidRPr="006E709F">
              <w:t>21</w:t>
            </w:r>
          </w:p>
        </w:tc>
        <w:tc>
          <w:tcPr>
            <w:tcW w:w="1449" w:type="pct"/>
            <w:shd w:val="clear" w:color="auto" w:fill="auto"/>
          </w:tcPr>
          <w:p w:rsidR="002A22A4" w:rsidRPr="006E709F" w:rsidRDefault="002A22A4" w:rsidP="00A801D0">
            <w:pPr>
              <w:pStyle w:val="Tabletext"/>
            </w:pPr>
            <w:r w:rsidRPr="006E709F">
              <w:t>Protective Commissioner</w:t>
            </w:r>
          </w:p>
        </w:tc>
        <w:tc>
          <w:tcPr>
            <w:tcW w:w="1449" w:type="pct"/>
            <w:shd w:val="clear" w:color="auto" w:fill="auto"/>
          </w:tcPr>
          <w:p w:rsidR="002A22A4" w:rsidRPr="006E709F" w:rsidRDefault="002A22A4" w:rsidP="00A801D0">
            <w:pPr>
              <w:pStyle w:val="Tabletext"/>
            </w:pPr>
            <w:r w:rsidRPr="006E709F">
              <w:rPr>
                <w:i/>
              </w:rPr>
              <w:t>Mental Health Act 1958</w:t>
            </w:r>
          </w:p>
        </w:tc>
        <w:tc>
          <w:tcPr>
            <w:tcW w:w="1352" w:type="pct"/>
            <w:shd w:val="clear" w:color="auto" w:fill="auto"/>
          </w:tcPr>
          <w:p w:rsidR="002A22A4" w:rsidRPr="006E709F" w:rsidRDefault="002A22A4" w:rsidP="00A801D0">
            <w:pPr>
              <w:pStyle w:val="Tabletext"/>
            </w:pPr>
            <w:r w:rsidRPr="006E709F">
              <w:t>New South Wales</w:t>
            </w:r>
          </w:p>
        </w:tc>
      </w:tr>
      <w:tr w:rsidR="002A22A4" w:rsidRPr="006E709F" w:rsidTr="00E118FA">
        <w:tc>
          <w:tcPr>
            <w:tcW w:w="750" w:type="pct"/>
            <w:shd w:val="clear" w:color="auto" w:fill="auto"/>
          </w:tcPr>
          <w:p w:rsidR="002A22A4" w:rsidRPr="006E709F" w:rsidRDefault="002A22A4" w:rsidP="00A801D0">
            <w:pPr>
              <w:pStyle w:val="Tabletext"/>
            </w:pPr>
            <w:r w:rsidRPr="006E709F">
              <w:t>22</w:t>
            </w:r>
          </w:p>
        </w:tc>
        <w:tc>
          <w:tcPr>
            <w:tcW w:w="1449" w:type="pct"/>
            <w:shd w:val="clear" w:color="auto" w:fill="auto"/>
          </w:tcPr>
          <w:p w:rsidR="002A22A4" w:rsidRPr="006E709F" w:rsidRDefault="002A22A4" w:rsidP="00A801D0">
            <w:pPr>
              <w:pStyle w:val="Tabletext"/>
            </w:pPr>
            <w:r w:rsidRPr="006E709F">
              <w:t>Treasurer</w:t>
            </w:r>
          </w:p>
        </w:tc>
        <w:tc>
          <w:tcPr>
            <w:tcW w:w="1449" w:type="pct"/>
            <w:shd w:val="clear" w:color="auto" w:fill="auto"/>
          </w:tcPr>
          <w:p w:rsidR="002A22A4" w:rsidRPr="006E709F" w:rsidRDefault="002A22A4" w:rsidP="00C328E8">
            <w:pPr>
              <w:pStyle w:val="Tabletext"/>
            </w:pPr>
          </w:p>
        </w:tc>
        <w:tc>
          <w:tcPr>
            <w:tcW w:w="1352" w:type="pct"/>
            <w:shd w:val="clear" w:color="auto" w:fill="auto"/>
          </w:tcPr>
          <w:p w:rsidR="002A22A4" w:rsidRPr="006E709F" w:rsidRDefault="002A22A4" w:rsidP="00A801D0">
            <w:pPr>
              <w:pStyle w:val="Tabletext"/>
            </w:pPr>
            <w:r w:rsidRPr="006E709F">
              <w:t>Queensland</w:t>
            </w:r>
          </w:p>
        </w:tc>
      </w:tr>
      <w:tr w:rsidR="002A22A4" w:rsidRPr="006E709F" w:rsidTr="00E118FA">
        <w:tc>
          <w:tcPr>
            <w:tcW w:w="750" w:type="pct"/>
            <w:shd w:val="clear" w:color="auto" w:fill="auto"/>
          </w:tcPr>
          <w:p w:rsidR="002A22A4" w:rsidRPr="006E709F" w:rsidRDefault="002A22A4" w:rsidP="00A801D0">
            <w:pPr>
              <w:pStyle w:val="Tabletext"/>
            </w:pPr>
            <w:r w:rsidRPr="006E709F">
              <w:t>23</w:t>
            </w:r>
          </w:p>
        </w:tc>
        <w:tc>
          <w:tcPr>
            <w:tcW w:w="1449" w:type="pct"/>
            <w:shd w:val="clear" w:color="auto" w:fill="auto"/>
          </w:tcPr>
          <w:p w:rsidR="002A22A4" w:rsidRPr="006E709F" w:rsidRDefault="002A22A4" w:rsidP="00A801D0">
            <w:pPr>
              <w:pStyle w:val="Tabletext"/>
            </w:pPr>
            <w:r w:rsidRPr="006E709F">
              <w:t>Commissioner for Corporate Affairs</w:t>
            </w:r>
          </w:p>
        </w:tc>
        <w:tc>
          <w:tcPr>
            <w:tcW w:w="1449" w:type="pct"/>
            <w:shd w:val="clear" w:color="auto" w:fill="auto"/>
          </w:tcPr>
          <w:p w:rsidR="002A22A4" w:rsidRPr="006E709F" w:rsidRDefault="002A22A4" w:rsidP="00C328E8">
            <w:pPr>
              <w:pStyle w:val="Tabletext"/>
            </w:pPr>
          </w:p>
        </w:tc>
        <w:tc>
          <w:tcPr>
            <w:tcW w:w="1352" w:type="pct"/>
            <w:shd w:val="clear" w:color="auto" w:fill="auto"/>
          </w:tcPr>
          <w:p w:rsidR="002A22A4" w:rsidRPr="006E709F" w:rsidRDefault="002A22A4" w:rsidP="00A801D0">
            <w:pPr>
              <w:pStyle w:val="Tabletext"/>
            </w:pPr>
            <w:r w:rsidRPr="006E709F">
              <w:t>Queensland</w:t>
            </w:r>
          </w:p>
        </w:tc>
      </w:tr>
      <w:tr w:rsidR="002A22A4" w:rsidRPr="006E709F" w:rsidTr="00E118FA">
        <w:tc>
          <w:tcPr>
            <w:tcW w:w="750" w:type="pct"/>
            <w:shd w:val="clear" w:color="auto" w:fill="auto"/>
          </w:tcPr>
          <w:p w:rsidR="002A22A4" w:rsidRPr="006E709F" w:rsidRDefault="002A22A4" w:rsidP="00A801D0">
            <w:pPr>
              <w:pStyle w:val="Tabletext"/>
            </w:pPr>
            <w:r w:rsidRPr="006E709F">
              <w:t>24</w:t>
            </w:r>
          </w:p>
        </w:tc>
        <w:tc>
          <w:tcPr>
            <w:tcW w:w="1449" w:type="pct"/>
            <w:shd w:val="clear" w:color="auto" w:fill="auto"/>
          </w:tcPr>
          <w:p w:rsidR="002A22A4" w:rsidRPr="006E709F" w:rsidRDefault="002A22A4" w:rsidP="00A801D0">
            <w:pPr>
              <w:pStyle w:val="Tabletext"/>
            </w:pPr>
            <w:r w:rsidRPr="006E709F">
              <w:t>Public Trustee</w:t>
            </w:r>
          </w:p>
        </w:tc>
        <w:tc>
          <w:tcPr>
            <w:tcW w:w="1449" w:type="pct"/>
            <w:shd w:val="clear" w:color="auto" w:fill="auto"/>
          </w:tcPr>
          <w:p w:rsidR="002A22A4" w:rsidRPr="006E709F" w:rsidRDefault="002A22A4" w:rsidP="00A801D0">
            <w:pPr>
              <w:pStyle w:val="Tabletext"/>
            </w:pPr>
            <w:r w:rsidRPr="006E709F">
              <w:rPr>
                <w:i/>
              </w:rPr>
              <w:t>Public Trustee Act 1978</w:t>
            </w:r>
          </w:p>
        </w:tc>
        <w:tc>
          <w:tcPr>
            <w:tcW w:w="1352" w:type="pct"/>
            <w:shd w:val="clear" w:color="auto" w:fill="auto"/>
          </w:tcPr>
          <w:p w:rsidR="002A22A4" w:rsidRPr="006E709F" w:rsidRDefault="002A22A4" w:rsidP="00A801D0">
            <w:pPr>
              <w:pStyle w:val="Tabletext"/>
            </w:pPr>
            <w:r w:rsidRPr="006E709F">
              <w:t>Queensland</w:t>
            </w:r>
          </w:p>
        </w:tc>
      </w:tr>
      <w:tr w:rsidR="002A22A4" w:rsidRPr="006E709F" w:rsidTr="00E118FA">
        <w:tc>
          <w:tcPr>
            <w:tcW w:w="750" w:type="pct"/>
            <w:shd w:val="clear" w:color="auto" w:fill="auto"/>
          </w:tcPr>
          <w:p w:rsidR="002A22A4" w:rsidRPr="006E709F" w:rsidRDefault="002A22A4" w:rsidP="00A801D0">
            <w:pPr>
              <w:pStyle w:val="Tabletext"/>
            </w:pPr>
            <w:r w:rsidRPr="006E709F">
              <w:t>25</w:t>
            </w:r>
          </w:p>
        </w:tc>
        <w:tc>
          <w:tcPr>
            <w:tcW w:w="1449" w:type="pct"/>
            <w:shd w:val="clear" w:color="auto" w:fill="auto"/>
          </w:tcPr>
          <w:p w:rsidR="002A22A4" w:rsidRPr="006E709F" w:rsidRDefault="002A22A4" w:rsidP="00A801D0">
            <w:pPr>
              <w:pStyle w:val="Tabletext"/>
            </w:pPr>
            <w:r w:rsidRPr="006E709F">
              <w:t>Registrar</w:t>
            </w:r>
          </w:p>
        </w:tc>
        <w:tc>
          <w:tcPr>
            <w:tcW w:w="1449" w:type="pct"/>
            <w:shd w:val="clear" w:color="auto" w:fill="auto"/>
          </w:tcPr>
          <w:p w:rsidR="002A22A4" w:rsidRPr="006E709F" w:rsidRDefault="002A22A4" w:rsidP="00A801D0">
            <w:pPr>
              <w:pStyle w:val="Tabletext"/>
            </w:pPr>
            <w:r w:rsidRPr="006E709F">
              <w:t>Supreme Court Acts 1861</w:t>
            </w:r>
            <w:r w:rsidR="000C4237">
              <w:noBreakHyphen/>
            </w:r>
            <w:r w:rsidRPr="006E709F">
              <w:t>1980</w:t>
            </w:r>
          </w:p>
        </w:tc>
        <w:tc>
          <w:tcPr>
            <w:tcW w:w="1352" w:type="pct"/>
            <w:shd w:val="clear" w:color="auto" w:fill="auto"/>
          </w:tcPr>
          <w:p w:rsidR="002A22A4" w:rsidRPr="006E709F" w:rsidRDefault="002A22A4" w:rsidP="00A801D0">
            <w:pPr>
              <w:pStyle w:val="Tabletext"/>
            </w:pPr>
            <w:r w:rsidRPr="006E709F">
              <w:t>Queensland</w:t>
            </w:r>
          </w:p>
        </w:tc>
      </w:tr>
      <w:tr w:rsidR="002A22A4" w:rsidRPr="006E709F" w:rsidTr="00E118FA">
        <w:tc>
          <w:tcPr>
            <w:tcW w:w="750" w:type="pct"/>
            <w:shd w:val="clear" w:color="auto" w:fill="auto"/>
          </w:tcPr>
          <w:p w:rsidR="002A22A4" w:rsidRPr="006E709F" w:rsidRDefault="002A22A4" w:rsidP="00A801D0">
            <w:pPr>
              <w:pStyle w:val="Tabletext"/>
            </w:pPr>
            <w:r w:rsidRPr="006E709F">
              <w:t>26</w:t>
            </w:r>
          </w:p>
        </w:tc>
        <w:tc>
          <w:tcPr>
            <w:tcW w:w="1449" w:type="pct"/>
            <w:shd w:val="clear" w:color="auto" w:fill="auto"/>
          </w:tcPr>
          <w:p w:rsidR="002A22A4" w:rsidRPr="006E709F" w:rsidRDefault="002A22A4" w:rsidP="00A801D0">
            <w:pPr>
              <w:pStyle w:val="Tabletext"/>
            </w:pPr>
            <w:r w:rsidRPr="006E709F">
              <w:t>Treasurer</w:t>
            </w:r>
          </w:p>
        </w:tc>
        <w:tc>
          <w:tcPr>
            <w:tcW w:w="1449" w:type="pct"/>
            <w:shd w:val="clear" w:color="auto" w:fill="auto"/>
          </w:tcPr>
          <w:p w:rsidR="002A22A4" w:rsidRPr="006E709F" w:rsidRDefault="002A22A4" w:rsidP="00C328E8">
            <w:pPr>
              <w:pStyle w:val="Tabletext"/>
            </w:pPr>
          </w:p>
        </w:tc>
        <w:tc>
          <w:tcPr>
            <w:tcW w:w="1352" w:type="pct"/>
            <w:shd w:val="clear" w:color="auto" w:fill="auto"/>
          </w:tcPr>
          <w:p w:rsidR="002A22A4" w:rsidRPr="006E709F" w:rsidRDefault="002A22A4" w:rsidP="00A801D0">
            <w:pPr>
              <w:pStyle w:val="Tabletext"/>
            </w:pPr>
            <w:r w:rsidRPr="006E709F">
              <w:t>South Australia</w:t>
            </w:r>
          </w:p>
        </w:tc>
      </w:tr>
      <w:tr w:rsidR="002A22A4" w:rsidRPr="006E709F" w:rsidTr="00E118FA">
        <w:tc>
          <w:tcPr>
            <w:tcW w:w="750" w:type="pct"/>
            <w:shd w:val="clear" w:color="auto" w:fill="auto"/>
          </w:tcPr>
          <w:p w:rsidR="002A22A4" w:rsidRPr="006E709F" w:rsidRDefault="002A22A4" w:rsidP="00A801D0">
            <w:pPr>
              <w:pStyle w:val="Tabletext"/>
            </w:pPr>
            <w:r w:rsidRPr="006E709F">
              <w:t>27</w:t>
            </w:r>
          </w:p>
        </w:tc>
        <w:tc>
          <w:tcPr>
            <w:tcW w:w="1449" w:type="pct"/>
            <w:shd w:val="clear" w:color="auto" w:fill="auto"/>
          </w:tcPr>
          <w:p w:rsidR="002A22A4" w:rsidRPr="006E709F" w:rsidRDefault="002A22A4" w:rsidP="00A801D0">
            <w:pPr>
              <w:pStyle w:val="Tabletext"/>
            </w:pPr>
            <w:r w:rsidRPr="006E709F">
              <w:t>Curator of Prisoners Property</w:t>
            </w:r>
          </w:p>
        </w:tc>
        <w:tc>
          <w:tcPr>
            <w:tcW w:w="1449" w:type="pct"/>
            <w:shd w:val="clear" w:color="auto" w:fill="auto"/>
          </w:tcPr>
          <w:p w:rsidR="002A22A4" w:rsidRPr="006E709F" w:rsidRDefault="002A22A4" w:rsidP="00A801D0">
            <w:pPr>
              <w:pStyle w:val="Tabletext"/>
            </w:pPr>
            <w:r w:rsidRPr="006E709F">
              <w:rPr>
                <w:i/>
              </w:rPr>
              <w:t>Criminal Law Consolidation Act 1935</w:t>
            </w:r>
            <w:r w:rsidR="000C4237">
              <w:rPr>
                <w:i/>
              </w:rPr>
              <w:noBreakHyphen/>
            </w:r>
            <w:r w:rsidRPr="006E709F">
              <w:rPr>
                <w:i/>
              </w:rPr>
              <w:t>80</w:t>
            </w:r>
          </w:p>
        </w:tc>
        <w:tc>
          <w:tcPr>
            <w:tcW w:w="1352" w:type="pct"/>
            <w:shd w:val="clear" w:color="auto" w:fill="auto"/>
          </w:tcPr>
          <w:p w:rsidR="002A22A4" w:rsidRPr="006E709F" w:rsidRDefault="002A22A4" w:rsidP="00A801D0">
            <w:pPr>
              <w:pStyle w:val="Tabletext"/>
            </w:pPr>
            <w:r w:rsidRPr="006E709F">
              <w:t>South Australia</w:t>
            </w:r>
          </w:p>
        </w:tc>
      </w:tr>
      <w:tr w:rsidR="002A22A4" w:rsidRPr="006E709F" w:rsidTr="00E118FA">
        <w:tc>
          <w:tcPr>
            <w:tcW w:w="750" w:type="pct"/>
            <w:shd w:val="clear" w:color="auto" w:fill="auto"/>
          </w:tcPr>
          <w:p w:rsidR="002A22A4" w:rsidRPr="006E709F" w:rsidRDefault="002A22A4" w:rsidP="00A801D0">
            <w:pPr>
              <w:pStyle w:val="Tabletext"/>
            </w:pPr>
            <w:r w:rsidRPr="006E709F">
              <w:t>28</w:t>
            </w:r>
          </w:p>
        </w:tc>
        <w:tc>
          <w:tcPr>
            <w:tcW w:w="1449" w:type="pct"/>
            <w:shd w:val="clear" w:color="auto" w:fill="auto"/>
          </w:tcPr>
          <w:p w:rsidR="002A22A4" w:rsidRPr="006E709F" w:rsidRDefault="002A22A4" w:rsidP="00A801D0">
            <w:pPr>
              <w:pStyle w:val="Tabletext"/>
            </w:pPr>
            <w:r w:rsidRPr="006E709F">
              <w:t>Public Trustee</w:t>
            </w:r>
          </w:p>
        </w:tc>
        <w:tc>
          <w:tcPr>
            <w:tcW w:w="1449" w:type="pct"/>
            <w:shd w:val="clear" w:color="auto" w:fill="auto"/>
          </w:tcPr>
          <w:p w:rsidR="002A22A4" w:rsidRPr="006E709F" w:rsidRDefault="002A22A4" w:rsidP="00A801D0">
            <w:pPr>
              <w:pStyle w:val="Tabletext"/>
            </w:pPr>
            <w:r w:rsidRPr="006E709F">
              <w:rPr>
                <w:i/>
              </w:rPr>
              <w:t>Administration and Probate Act 1919</w:t>
            </w:r>
            <w:r w:rsidR="000C4237">
              <w:rPr>
                <w:i/>
              </w:rPr>
              <w:noBreakHyphen/>
            </w:r>
            <w:r w:rsidRPr="006E709F">
              <w:rPr>
                <w:i/>
              </w:rPr>
              <w:t>1980</w:t>
            </w:r>
          </w:p>
        </w:tc>
        <w:tc>
          <w:tcPr>
            <w:tcW w:w="1352" w:type="pct"/>
            <w:shd w:val="clear" w:color="auto" w:fill="auto"/>
          </w:tcPr>
          <w:p w:rsidR="002A22A4" w:rsidRPr="006E709F" w:rsidRDefault="002A22A4" w:rsidP="00A801D0">
            <w:pPr>
              <w:pStyle w:val="Tabletext"/>
            </w:pPr>
            <w:r w:rsidRPr="006E709F">
              <w:t>South Australia</w:t>
            </w:r>
          </w:p>
        </w:tc>
      </w:tr>
      <w:tr w:rsidR="002A22A4" w:rsidRPr="006E709F" w:rsidTr="00E118FA">
        <w:tc>
          <w:tcPr>
            <w:tcW w:w="750" w:type="pct"/>
            <w:shd w:val="clear" w:color="auto" w:fill="auto"/>
          </w:tcPr>
          <w:p w:rsidR="002A22A4" w:rsidRPr="006E709F" w:rsidRDefault="002A22A4" w:rsidP="00A801D0">
            <w:pPr>
              <w:pStyle w:val="Tabletext"/>
            </w:pPr>
            <w:r w:rsidRPr="006E709F">
              <w:t>29</w:t>
            </w:r>
          </w:p>
        </w:tc>
        <w:tc>
          <w:tcPr>
            <w:tcW w:w="1449" w:type="pct"/>
            <w:shd w:val="clear" w:color="auto" w:fill="auto"/>
          </w:tcPr>
          <w:p w:rsidR="002A22A4" w:rsidRPr="006E709F" w:rsidRDefault="002A22A4" w:rsidP="00A801D0">
            <w:pPr>
              <w:pStyle w:val="Tabletext"/>
            </w:pPr>
            <w:r w:rsidRPr="006E709F">
              <w:t>Master or accountant</w:t>
            </w:r>
          </w:p>
        </w:tc>
        <w:tc>
          <w:tcPr>
            <w:tcW w:w="1449" w:type="pct"/>
            <w:shd w:val="clear" w:color="auto" w:fill="auto"/>
          </w:tcPr>
          <w:p w:rsidR="002A22A4" w:rsidRPr="006E709F" w:rsidRDefault="002A22A4" w:rsidP="00A801D0">
            <w:pPr>
              <w:pStyle w:val="Tabletext"/>
            </w:pPr>
            <w:r w:rsidRPr="006E709F">
              <w:t>Supreme Court Act 1935</w:t>
            </w:r>
            <w:r w:rsidR="000C4237">
              <w:noBreakHyphen/>
            </w:r>
            <w:r w:rsidRPr="006E709F">
              <w:t>1980</w:t>
            </w:r>
          </w:p>
        </w:tc>
        <w:tc>
          <w:tcPr>
            <w:tcW w:w="1352" w:type="pct"/>
            <w:shd w:val="clear" w:color="auto" w:fill="auto"/>
          </w:tcPr>
          <w:p w:rsidR="002A22A4" w:rsidRPr="006E709F" w:rsidRDefault="002A22A4" w:rsidP="00A801D0">
            <w:pPr>
              <w:pStyle w:val="Tabletext"/>
            </w:pPr>
            <w:r w:rsidRPr="006E709F">
              <w:t>South Australia</w:t>
            </w:r>
          </w:p>
        </w:tc>
      </w:tr>
      <w:tr w:rsidR="002A22A4" w:rsidRPr="006E709F" w:rsidTr="00E118FA">
        <w:trPr>
          <w:cantSplit/>
        </w:trPr>
        <w:tc>
          <w:tcPr>
            <w:tcW w:w="750" w:type="pct"/>
            <w:shd w:val="clear" w:color="auto" w:fill="auto"/>
          </w:tcPr>
          <w:p w:rsidR="002A22A4" w:rsidRPr="006E709F" w:rsidRDefault="002A22A4" w:rsidP="00A801D0">
            <w:pPr>
              <w:pStyle w:val="Tabletext"/>
            </w:pPr>
            <w:r w:rsidRPr="006E709F">
              <w:t>30</w:t>
            </w:r>
          </w:p>
        </w:tc>
        <w:tc>
          <w:tcPr>
            <w:tcW w:w="1449" w:type="pct"/>
            <w:shd w:val="clear" w:color="auto" w:fill="auto"/>
          </w:tcPr>
          <w:p w:rsidR="002A22A4" w:rsidRPr="006E709F" w:rsidRDefault="002A22A4" w:rsidP="00A801D0">
            <w:pPr>
              <w:pStyle w:val="Tabletext"/>
            </w:pPr>
            <w:r w:rsidRPr="006E709F">
              <w:t>Administrator</w:t>
            </w:r>
          </w:p>
        </w:tc>
        <w:tc>
          <w:tcPr>
            <w:tcW w:w="1449" w:type="pct"/>
            <w:shd w:val="clear" w:color="auto" w:fill="auto"/>
          </w:tcPr>
          <w:p w:rsidR="002A22A4" w:rsidRPr="006E709F" w:rsidRDefault="00A801D0" w:rsidP="00A801D0">
            <w:pPr>
              <w:pStyle w:val="Tabletext"/>
            </w:pPr>
            <w:r w:rsidRPr="006E709F">
              <w:t>Chapter</w:t>
            </w:r>
            <w:r w:rsidR="00E376FA" w:rsidRPr="006E709F">
              <w:t xml:space="preserve"> </w:t>
            </w:r>
            <w:r w:rsidR="002A22A4" w:rsidRPr="006E709F">
              <w:t xml:space="preserve">XLIX of the </w:t>
            </w:r>
            <w:r w:rsidR="002A22A4" w:rsidRPr="006E709F">
              <w:rPr>
                <w:i/>
              </w:rPr>
              <w:t>Criminal Code</w:t>
            </w:r>
          </w:p>
        </w:tc>
        <w:tc>
          <w:tcPr>
            <w:tcW w:w="1352" w:type="pct"/>
            <w:shd w:val="clear" w:color="auto" w:fill="auto"/>
          </w:tcPr>
          <w:p w:rsidR="002A22A4" w:rsidRPr="006E709F" w:rsidRDefault="002A22A4" w:rsidP="00A801D0">
            <w:pPr>
              <w:pStyle w:val="Tabletext"/>
            </w:pPr>
            <w:r w:rsidRPr="006E709F">
              <w:t>Tasmania</w:t>
            </w:r>
          </w:p>
        </w:tc>
      </w:tr>
      <w:tr w:rsidR="002A22A4" w:rsidRPr="006E709F" w:rsidTr="00E118FA">
        <w:tc>
          <w:tcPr>
            <w:tcW w:w="750" w:type="pct"/>
            <w:shd w:val="clear" w:color="auto" w:fill="auto"/>
          </w:tcPr>
          <w:p w:rsidR="002A22A4" w:rsidRPr="006E709F" w:rsidRDefault="002A22A4" w:rsidP="00A801D0">
            <w:pPr>
              <w:pStyle w:val="Tabletext"/>
            </w:pPr>
            <w:r w:rsidRPr="006E709F">
              <w:t>31</w:t>
            </w:r>
          </w:p>
        </w:tc>
        <w:tc>
          <w:tcPr>
            <w:tcW w:w="1449" w:type="pct"/>
            <w:shd w:val="clear" w:color="auto" w:fill="auto"/>
          </w:tcPr>
          <w:p w:rsidR="002A22A4" w:rsidRPr="006E709F" w:rsidRDefault="002A22A4" w:rsidP="00A801D0">
            <w:pPr>
              <w:pStyle w:val="Tabletext"/>
            </w:pPr>
            <w:r w:rsidRPr="006E709F">
              <w:t>Treasurer</w:t>
            </w:r>
          </w:p>
        </w:tc>
        <w:tc>
          <w:tcPr>
            <w:tcW w:w="1449" w:type="pct"/>
            <w:shd w:val="clear" w:color="auto" w:fill="auto"/>
          </w:tcPr>
          <w:p w:rsidR="002A22A4" w:rsidRPr="006E709F" w:rsidRDefault="002A22A4" w:rsidP="00C328E8">
            <w:pPr>
              <w:pStyle w:val="Tabletext"/>
            </w:pPr>
          </w:p>
        </w:tc>
        <w:tc>
          <w:tcPr>
            <w:tcW w:w="1352" w:type="pct"/>
            <w:shd w:val="clear" w:color="auto" w:fill="auto"/>
          </w:tcPr>
          <w:p w:rsidR="002A22A4" w:rsidRPr="006E709F" w:rsidRDefault="002A22A4" w:rsidP="00A801D0">
            <w:pPr>
              <w:pStyle w:val="Tabletext"/>
            </w:pPr>
            <w:r w:rsidRPr="006E709F">
              <w:t>Tasmania</w:t>
            </w:r>
          </w:p>
        </w:tc>
      </w:tr>
      <w:tr w:rsidR="002A22A4" w:rsidRPr="006E709F" w:rsidTr="00E118FA">
        <w:tc>
          <w:tcPr>
            <w:tcW w:w="750" w:type="pct"/>
            <w:tcBorders>
              <w:bottom w:val="single" w:sz="4" w:space="0" w:color="auto"/>
            </w:tcBorders>
            <w:shd w:val="clear" w:color="auto" w:fill="auto"/>
          </w:tcPr>
          <w:p w:rsidR="002A22A4" w:rsidRPr="006E709F" w:rsidRDefault="002A22A4" w:rsidP="00A801D0">
            <w:pPr>
              <w:pStyle w:val="Tabletext"/>
            </w:pPr>
            <w:r w:rsidRPr="006E709F">
              <w:t>32</w:t>
            </w:r>
          </w:p>
        </w:tc>
        <w:tc>
          <w:tcPr>
            <w:tcW w:w="1449" w:type="pct"/>
            <w:tcBorders>
              <w:bottom w:val="single" w:sz="4" w:space="0" w:color="auto"/>
            </w:tcBorders>
            <w:shd w:val="clear" w:color="auto" w:fill="auto"/>
          </w:tcPr>
          <w:p w:rsidR="002A22A4" w:rsidRPr="006E709F" w:rsidRDefault="002A22A4" w:rsidP="00A801D0">
            <w:pPr>
              <w:pStyle w:val="Tabletext"/>
            </w:pPr>
            <w:r w:rsidRPr="006E709F">
              <w:t>Commissioner for Corporate Affairs</w:t>
            </w:r>
          </w:p>
        </w:tc>
        <w:tc>
          <w:tcPr>
            <w:tcW w:w="1449" w:type="pct"/>
            <w:tcBorders>
              <w:bottom w:val="single" w:sz="4" w:space="0" w:color="auto"/>
            </w:tcBorders>
            <w:shd w:val="clear" w:color="auto" w:fill="auto"/>
          </w:tcPr>
          <w:p w:rsidR="002A22A4" w:rsidRPr="006E709F" w:rsidRDefault="002A22A4" w:rsidP="00C328E8">
            <w:pPr>
              <w:pStyle w:val="Tabletext"/>
            </w:pPr>
          </w:p>
        </w:tc>
        <w:tc>
          <w:tcPr>
            <w:tcW w:w="1352" w:type="pct"/>
            <w:tcBorders>
              <w:bottom w:val="single" w:sz="4" w:space="0" w:color="auto"/>
            </w:tcBorders>
            <w:shd w:val="clear" w:color="auto" w:fill="auto"/>
          </w:tcPr>
          <w:p w:rsidR="002A22A4" w:rsidRPr="006E709F" w:rsidRDefault="002A22A4" w:rsidP="00A801D0">
            <w:pPr>
              <w:pStyle w:val="Tabletext"/>
            </w:pPr>
            <w:r w:rsidRPr="006E709F">
              <w:t>Tasmania</w:t>
            </w:r>
          </w:p>
        </w:tc>
      </w:tr>
      <w:tr w:rsidR="002A22A4" w:rsidRPr="006E709F" w:rsidTr="00E118FA">
        <w:trPr>
          <w:cantSplit/>
        </w:trPr>
        <w:tc>
          <w:tcPr>
            <w:tcW w:w="750" w:type="pct"/>
            <w:tcBorders>
              <w:bottom w:val="single" w:sz="4" w:space="0" w:color="auto"/>
            </w:tcBorders>
            <w:shd w:val="clear" w:color="auto" w:fill="auto"/>
          </w:tcPr>
          <w:p w:rsidR="002A22A4" w:rsidRPr="006E709F" w:rsidRDefault="002A22A4" w:rsidP="00A801D0">
            <w:pPr>
              <w:pStyle w:val="Tabletext"/>
            </w:pPr>
            <w:r w:rsidRPr="006E709F">
              <w:t>33</w:t>
            </w:r>
          </w:p>
        </w:tc>
        <w:tc>
          <w:tcPr>
            <w:tcW w:w="1449" w:type="pct"/>
            <w:tcBorders>
              <w:bottom w:val="single" w:sz="4" w:space="0" w:color="auto"/>
            </w:tcBorders>
            <w:shd w:val="clear" w:color="auto" w:fill="auto"/>
          </w:tcPr>
          <w:p w:rsidR="002A22A4" w:rsidRPr="006E709F" w:rsidRDefault="002A22A4" w:rsidP="00A801D0">
            <w:pPr>
              <w:pStyle w:val="Tabletext"/>
            </w:pPr>
            <w:r w:rsidRPr="006E709F">
              <w:t>Public Trustee</w:t>
            </w:r>
          </w:p>
        </w:tc>
        <w:tc>
          <w:tcPr>
            <w:tcW w:w="1449" w:type="pct"/>
            <w:tcBorders>
              <w:bottom w:val="single" w:sz="4" w:space="0" w:color="auto"/>
            </w:tcBorders>
            <w:shd w:val="clear" w:color="auto" w:fill="auto"/>
          </w:tcPr>
          <w:p w:rsidR="002A22A4" w:rsidRPr="006E709F" w:rsidRDefault="002A22A4" w:rsidP="00A801D0">
            <w:pPr>
              <w:pStyle w:val="Tabletext"/>
            </w:pPr>
            <w:r w:rsidRPr="006E709F">
              <w:rPr>
                <w:i/>
              </w:rPr>
              <w:t>Public Trustee Office Act 1930</w:t>
            </w:r>
          </w:p>
        </w:tc>
        <w:tc>
          <w:tcPr>
            <w:tcW w:w="1352" w:type="pct"/>
            <w:tcBorders>
              <w:bottom w:val="single" w:sz="4" w:space="0" w:color="auto"/>
            </w:tcBorders>
            <w:shd w:val="clear" w:color="auto" w:fill="auto"/>
          </w:tcPr>
          <w:p w:rsidR="002A22A4" w:rsidRPr="006E709F" w:rsidRDefault="002A22A4" w:rsidP="00A801D0">
            <w:pPr>
              <w:pStyle w:val="Tabletext"/>
            </w:pPr>
            <w:r w:rsidRPr="006E709F">
              <w:t>Tasmania</w:t>
            </w:r>
          </w:p>
        </w:tc>
      </w:tr>
      <w:tr w:rsidR="002A22A4" w:rsidRPr="006E709F" w:rsidTr="00E118FA">
        <w:trPr>
          <w:cantSplit/>
        </w:trPr>
        <w:tc>
          <w:tcPr>
            <w:tcW w:w="750" w:type="pct"/>
            <w:tcBorders>
              <w:top w:val="single" w:sz="4" w:space="0" w:color="auto"/>
            </w:tcBorders>
            <w:shd w:val="clear" w:color="auto" w:fill="auto"/>
          </w:tcPr>
          <w:p w:rsidR="002A22A4" w:rsidRPr="006E709F" w:rsidRDefault="002A22A4" w:rsidP="00A801D0">
            <w:pPr>
              <w:pStyle w:val="Tabletext"/>
            </w:pPr>
            <w:r w:rsidRPr="006E709F">
              <w:t>34</w:t>
            </w:r>
          </w:p>
        </w:tc>
        <w:tc>
          <w:tcPr>
            <w:tcW w:w="1449" w:type="pct"/>
            <w:tcBorders>
              <w:top w:val="single" w:sz="4" w:space="0" w:color="auto"/>
            </w:tcBorders>
            <w:shd w:val="clear" w:color="auto" w:fill="auto"/>
          </w:tcPr>
          <w:p w:rsidR="002A22A4" w:rsidRPr="006E709F" w:rsidRDefault="002A22A4" w:rsidP="00A801D0">
            <w:pPr>
              <w:pStyle w:val="Tabletext"/>
            </w:pPr>
            <w:r w:rsidRPr="006E709F">
              <w:t>Registrar of the Supreme Court</w:t>
            </w:r>
          </w:p>
        </w:tc>
        <w:tc>
          <w:tcPr>
            <w:tcW w:w="1449" w:type="pct"/>
            <w:tcBorders>
              <w:top w:val="single" w:sz="4" w:space="0" w:color="auto"/>
            </w:tcBorders>
            <w:shd w:val="clear" w:color="auto" w:fill="auto"/>
          </w:tcPr>
          <w:p w:rsidR="002A22A4" w:rsidRPr="006E709F" w:rsidRDefault="002A22A4" w:rsidP="00A801D0">
            <w:pPr>
              <w:pStyle w:val="Tabletext"/>
            </w:pPr>
            <w:r w:rsidRPr="006E709F">
              <w:rPr>
                <w:i/>
              </w:rPr>
              <w:t>Supreme Court Act 1959</w:t>
            </w:r>
          </w:p>
        </w:tc>
        <w:tc>
          <w:tcPr>
            <w:tcW w:w="1352" w:type="pct"/>
            <w:tcBorders>
              <w:top w:val="single" w:sz="4" w:space="0" w:color="auto"/>
            </w:tcBorders>
            <w:shd w:val="clear" w:color="auto" w:fill="auto"/>
          </w:tcPr>
          <w:p w:rsidR="002A22A4" w:rsidRPr="006E709F" w:rsidRDefault="002A22A4" w:rsidP="00A801D0">
            <w:pPr>
              <w:pStyle w:val="Tabletext"/>
            </w:pPr>
            <w:r w:rsidRPr="006E709F">
              <w:t>Tasmania</w:t>
            </w:r>
          </w:p>
        </w:tc>
      </w:tr>
      <w:tr w:rsidR="002A22A4" w:rsidRPr="006E709F" w:rsidTr="00E118FA">
        <w:tc>
          <w:tcPr>
            <w:tcW w:w="750" w:type="pct"/>
            <w:shd w:val="clear" w:color="auto" w:fill="auto"/>
          </w:tcPr>
          <w:p w:rsidR="002A22A4" w:rsidRPr="006E709F" w:rsidRDefault="002A22A4" w:rsidP="00A801D0">
            <w:pPr>
              <w:pStyle w:val="Tabletext"/>
            </w:pPr>
            <w:r w:rsidRPr="006E709F">
              <w:t>35</w:t>
            </w:r>
          </w:p>
        </w:tc>
        <w:tc>
          <w:tcPr>
            <w:tcW w:w="1449" w:type="pct"/>
            <w:shd w:val="clear" w:color="auto" w:fill="auto"/>
          </w:tcPr>
          <w:p w:rsidR="002A22A4" w:rsidRPr="006E709F" w:rsidRDefault="002A22A4" w:rsidP="00A801D0">
            <w:pPr>
              <w:pStyle w:val="Tabletext"/>
            </w:pPr>
            <w:r w:rsidRPr="006E709F">
              <w:t>Treasurer</w:t>
            </w:r>
          </w:p>
        </w:tc>
        <w:tc>
          <w:tcPr>
            <w:tcW w:w="1449" w:type="pct"/>
            <w:shd w:val="clear" w:color="auto" w:fill="auto"/>
          </w:tcPr>
          <w:p w:rsidR="002A22A4" w:rsidRPr="006E709F" w:rsidRDefault="002A22A4" w:rsidP="00C328E8">
            <w:pPr>
              <w:pStyle w:val="Tabletext"/>
            </w:pPr>
          </w:p>
        </w:tc>
        <w:tc>
          <w:tcPr>
            <w:tcW w:w="1352" w:type="pct"/>
            <w:shd w:val="clear" w:color="auto" w:fill="auto"/>
          </w:tcPr>
          <w:p w:rsidR="002A22A4" w:rsidRPr="006E709F" w:rsidRDefault="002A22A4" w:rsidP="00A801D0">
            <w:pPr>
              <w:pStyle w:val="Tabletext"/>
            </w:pPr>
            <w:r w:rsidRPr="006E709F">
              <w:t>Australian Capital Territory</w:t>
            </w:r>
          </w:p>
        </w:tc>
      </w:tr>
      <w:tr w:rsidR="002A22A4" w:rsidRPr="006E709F" w:rsidTr="00E118FA">
        <w:tc>
          <w:tcPr>
            <w:tcW w:w="750" w:type="pct"/>
            <w:shd w:val="clear" w:color="auto" w:fill="auto"/>
          </w:tcPr>
          <w:p w:rsidR="002A22A4" w:rsidRPr="006E709F" w:rsidRDefault="002A22A4" w:rsidP="00A801D0">
            <w:pPr>
              <w:pStyle w:val="Tabletext"/>
            </w:pPr>
            <w:r w:rsidRPr="006E709F">
              <w:t>36</w:t>
            </w:r>
          </w:p>
        </w:tc>
        <w:tc>
          <w:tcPr>
            <w:tcW w:w="1449" w:type="pct"/>
            <w:shd w:val="clear" w:color="auto" w:fill="auto"/>
          </w:tcPr>
          <w:p w:rsidR="002A22A4" w:rsidRPr="006E709F" w:rsidRDefault="002A22A4" w:rsidP="00A801D0">
            <w:pPr>
              <w:pStyle w:val="Tabletext"/>
            </w:pPr>
            <w:r w:rsidRPr="006E709F">
              <w:t>Public Trustee</w:t>
            </w:r>
          </w:p>
        </w:tc>
        <w:tc>
          <w:tcPr>
            <w:tcW w:w="1449" w:type="pct"/>
            <w:shd w:val="clear" w:color="auto" w:fill="auto"/>
          </w:tcPr>
          <w:p w:rsidR="002A22A4" w:rsidRPr="006E709F" w:rsidRDefault="002A22A4" w:rsidP="00A801D0">
            <w:pPr>
              <w:pStyle w:val="Tabletext"/>
            </w:pPr>
            <w:r w:rsidRPr="006E709F">
              <w:rPr>
                <w:i/>
              </w:rPr>
              <w:t xml:space="preserve">Administration and Probate Ordinance 1929 </w:t>
            </w:r>
            <w:r w:rsidRPr="006E709F">
              <w:t xml:space="preserve">and the </w:t>
            </w:r>
            <w:r w:rsidRPr="006E709F">
              <w:rPr>
                <w:i/>
              </w:rPr>
              <w:t>Public Trustee Act 1985</w:t>
            </w:r>
          </w:p>
        </w:tc>
        <w:tc>
          <w:tcPr>
            <w:tcW w:w="1352" w:type="pct"/>
            <w:shd w:val="clear" w:color="auto" w:fill="auto"/>
          </w:tcPr>
          <w:p w:rsidR="002A22A4" w:rsidRPr="006E709F" w:rsidRDefault="002A22A4" w:rsidP="00A801D0">
            <w:pPr>
              <w:pStyle w:val="Tabletext"/>
            </w:pPr>
            <w:r w:rsidRPr="006E709F">
              <w:t>Australian Capital Territory</w:t>
            </w:r>
          </w:p>
        </w:tc>
      </w:tr>
      <w:tr w:rsidR="002A22A4" w:rsidRPr="006E709F" w:rsidTr="00E118FA">
        <w:tc>
          <w:tcPr>
            <w:tcW w:w="750" w:type="pct"/>
            <w:shd w:val="clear" w:color="auto" w:fill="auto"/>
          </w:tcPr>
          <w:p w:rsidR="002A22A4" w:rsidRPr="006E709F" w:rsidRDefault="002A22A4" w:rsidP="00A801D0">
            <w:pPr>
              <w:pStyle w:val="Tabletext"/>
            </w:pPr>
            <w:r w:rsidRPr="006E709F">
              <w:t>37</w:t>
            </w:r>
          </w:p>
        </w:tc>
        <w:tc>
          <w:tcPr>
            <w:tcW w:w="1449" w:type="pct"/>
            <w:shd w:val="clear" w:color="auto" w:fill="auto"/>
          </w:tcPr>
          <w:p w:rsidR="002A22A4" w:rsidRPr="006E709F" w:rsidRDefault="002A22A4" w:rsidP="00A801D0">
            <w:pPr>
              <w:pStyle w:val="Tabletext"/>
            </w:pPr>
            <w:r w:rsidRPr="006E709F">
              <w:t>Registrar of the Supreme Court</w:t>
            </w:r>
          </w:p>
        </w:tc>
        <w:tc>
          <w:tcPr>
            <w:tcW w:w="1449" w:type="pct"/>
            <w:shd w:val="clear" w:color="auto" w:fill="auto"/>
          </w:tcPr>
          <w:p w:rsidR="002A22A4" w:rsidRPr="006E709F" w:rsidRDefault="002A22A4" w:rsidP="00A801D0">
            <w:pPr>
              <w:pStyle w:val="Tabletext"/>
            </w:pPr>
            <w:r w:rsidRPr="006E709F">
              <w:rPr>
                <w:i/>
              </w:rPr>
              <w:t>Australian Capital Territory Supreme Court Act 1933</w:t>
            </w:r>
          </w:p>
        </w:tc>
        <w:tc>
          <w:tcPr>
            <w:tcW w:w="1352" w:type="pct"/>
            <w:shd w:val="clear" w:color="auto" w:fill="auto"/>
          </w:tcPr>
          <w:p w:rsidR="002A22A4" w:rsidRPr="006E709F" w:rsidRDefault="002A22A4" w:rsidP="00A801D0">
            <w:pPr>
              <w:pStyle w:val="Tabletext"/>
            </w:pPr>
            <w:r w:rsidRPr="006E709F">
              <w:t>Commonwealth</w:t>
            </w:r>
          </w:p>
        </w:tc>
      </w:tr>
      <w:tr w:rsidR="002A22A4" w:rsidRPr="006E709F" w:rsidTr="00E118FA">
        <w:tc>
          <w:tcPr>
            <w:tcW w:w="750" w:type="pct"/>
            <w:shd w:val="clear" w:color="auto" w:fill="auto"/>
          </w:tcPr>
          <w:p w:rsidR="002A22A4" w:rsidRPr="006E709F" w:rsidRDefault="002A22A4" w:rsidP="00A801D0">
            <w:pPr>
              <w:pStyle w:val="Tabletext"/>
            </w:pPr>
            <w:r w:rsidRPr="006E709F">
              <w:t>38</w:t>
            </w:r>
          </w:p>
        </w:tc>
        <w:tc>
          <w:tcPr>
            <w:tcW w:w="1449" w:type="pct"/>
            <w:shd w:val="clear" w:color="auto" w:fill="auto"/>
          </w:tcPr>
          <w:p w:rsidR="002A22A4" w:rsidRPr="006E709F" w:rsidRDefault="002A22A4" w:rsidP="00A801D0">
            <w:pPr>
              <w:pStyle w:val="Tabletext"/>
            </w:pPr>
            <w:r w:rsidRPr="006E709F">
              <w:t>Master of the Supreme Court</w:t>
            </w:r>
          </w:p>
        </w:tc>
        <w:tc>
          <w:tcPr>
            <w:tcW w:w="1449" w:type="pct"/>
            <w:shd w:val="clear" w:color="auto" w:fill="auto"/>
          </w:tcPr>
          <w:p w:rsidR="002A22A4" w:rsidRPr="006E709F" w:rsidRDefault="002A22A4" w:rsidP="00A801D0">
            <w:pPr>
              <w:pStyle w:val="Tabletext"/>
            </w:pPr>
            <w:r w:rsidRPr="006E709F">
              <w:rPr>
                <w:i/>
              </w:rPr>
              <w:t>Australian Capital Territory Supreme Court Act 1933</w:t>
            </w:r>
          </w:p>
        </w:tc>
        <w:tc>
          <w:tcPr>
            <w:tcW w:w="1352" w:type="pct"/>
            <w:shd w:val="clear" w:color="auto" w:fill="auto"/>
          </w:tcPr>
          <w:p w:rsidR="002A22A4" w:rsidRPr="006E709F" w:rsidRDefault="002A22A4" w:rsidP="00A801D0">
            <w:pPr>
              <w:pStyle w:val="Tabletext"/>
            </w:pPr>
            <w:r w:rsidRPr="006E709F">
              <w:t>Commonwealth</w:t>
            </w:r>
          </w:p>
        </w:tc>
      </w:tr>
      <w:tr w:rsidR="002A22A4" w:rsidRPr="006E709F" w:rsidTr="00E118FA">
        <w:tc>
          <w:tcPr>
            <w:tcW w:w="750" w:type="pct"/>
            <w:shd w:val="clear" w:color="auto" w:fill="auto"/>
          </w:tcPr>
          <w:p w:rsidR="002A22A4" w:rsidRPr="006E709F" w:rsidRDefault="002A22A4" w:rsidP="00A801D0">
            <w:pPr>
              <w:pStyle w:val="Tabletext"/>
            </w:pPr>
            <w:r w:rsidRPr="006E709F">
              <w:t>39</w:t>
            </w:r>
          </w:p>
        </w:tc>
        <w:tc>
          <w:tcPr>
            <w:tcW w:w="1449" w:type="pct"/>
            <w:shd w:val="clear" w:color="auto" w:fill="auto"/>
          </w:tcPr>
          <w:p w:rsidR="002A22A4" w:rsidRPr="006E709F" w:rsidRDefault="002A22A4" w:rsidP="00A801D0">
            <w:pPr>
              <w:pStyle w:val="Tabletext"/>
            </w:pPr>
            <w:r w:rsidRPr="006E709F">
              <w:t>Treasurer</w:t>
            </w:r>
          </w:p>
        </w:tc>
        <w:tc>
          <w:tcPr>
            <w:tcW w:w="1449" w:type="pct"/>
            <w:shd w:val="clear" w:color="auto" w:fill="auto"/>
          </w:tcPr>
          <w:p w:rsidR="002A22A4" w:rsidRPr="006E709F" w:rsidRDefault="002A22A4" w:rsidP="00C328E8">
            <w:pPr>
              <w:pStyle w:val="Tabletext"/>
            </w:pPr>
          </w:p>
        </w:tc>
        <w:tc>
          <w:tcPr>
            <w:tcW w:w="1352" w:type="pct"/>
            <w:shd w:val="clear" w:color="auto" w:fill="auto"/>
          </w:tcPr>
          <w:p w:rsidR="002A22A4" w:rsidRPr="006E709F" w:rsidRDefault="002A22A4" w:rsidP="00A801D0">
            <w:pPr>
              <w:pStyle w:val="Tabletext"/>
            </w:pPr>
            <w:r w:rsidRPr="006E709F">
              <w:t>Northern Territory</w:t>
            </w:r>
          </w:p>
        </w:tc>
      </w:tr>
      <w:tr w:rsidR="002A22A4" w:rsidRPr="006E709F" w:rsidTr="00E118FA">
        <w:tc>
          <w:tcPr>
            <w:tcW w:w="750" w:type="pct"/>
            <w:shd w:val="clear" w:color="auto" w:fill="auto"/>
          </w:tcPr>
          <w:p w:rsidR="002A22A4" w:rsidRPr="006E709F" w:rsidRDefault="002A22A4" w:rsidP="00A801D0">
            <w:pPr>
              <w:pStyle w:val="Tabletext"/>
            </w:pPr>
            <w:r w:rsidRPr="006E709F">
              <w:t>40</w:t>
            </w:r>
          </w:p>
        </w:tc>
        <w:tc>
          <w:tcPr>
            <w:tcW w:w="1449" w:type="pct"/>
            <w:shd w:val="clear" w:color="auto" w:fill="auto"/>
          </w:tcPr>
          <w:p w:rsidR="002A22A4" w:rsidRPr="006E709F" w:rsidRDefault="002A22A4" w:rsidP="00A801D0">
            <w:pPr>
              <w:pStyle w:val="Tabletext"/>
            </w:pPr>
            <w:r w:rsidRPr="006E709F">
              <w:t>Public Trustee</w:t>
            </w:r>
          </w:p>
        </w:tc>
        <w:tc>
          <w:tcPr>
            <w:tcW w:w="1449" w:type="pct"/>
            <w:shd w:val="clear" w:color="auto" w:fill="auto"/>
          </w:tcPr>
          <w:p w:rsidR="002A22A4" w:rsidRPr="006E709F" w:rsidRDefault="002A22A4" w:rsidP="00A801D0">
            <w:pPr>
              <w:pStyle w:val="Tabletext"/>
            </w:pPr>
            <w:r w:rsidRPr="006E709F">
              <w:rPr>
                <w:i/>
              </w:rPr>
              <w:t>Public Trustee Act 1979</w:t>
            </w:r>
          </w:p>
        </w:tc>
        <w:tc>
          <w:tcPr>
            <w:tcW w:w="1352" w:type="pct"/>
            <w:shd w:val="clear" w:color="auto" w:fill="auto"/>
          </w:tcPr>
          <w:p w:rsidR="002A22A4" w:rsidRPr="006E709F" w:rsidRDefault="002A22A4" w:rsidP="00A801D0">
            <w:pPr>
              <w:pStyle w:val="Tabletext"/>
            </w:pPr>
            <w:r w:rsidRPr="006E709F">
              <w:t>Northern Territory</w:t>
            </w:r>
          </w:p>
        </w:tc>
      </w:tr>
      <w:tr w:rsidR="002A22A4" w:rsidRPr="006E709F" w:rsidTr="00E118FA">
        <w:tc>
          <w:tcPr>
            <w:tcW w:w="750" w:type="pct"/>
            <w:tcBorders>
              <w:bottom w:val="single" w:sz="4" w:space="0" w:color="auto"/>
            </w:tcBorders>
            <w:shd w:val="clear" w:color="auto" w:fill="auto"/>
          </w:tcPr>
          <w:p w:rsidR="002A22A4" w:rsidRPr="006E709F" w:rsidRDefault="002A22A4" w:rsidP="00A801D0">
            <w:pPr>
              <w:pStyle w:val="Tabletext"/>
            </w:pPr>
            <w:r w:rsidRPr="006E709F">
              <w:t>41</w:t>
            </w:r>
          </w:p>
        </w:tc>
        <w:tc>
          <w:tcPr>
            <w:tcW w:w="1449" w:type="pct"/>
            <w:tcBorders>
              <w:bottom w:val="single" w:sz="4" w:space="0" w:color="auto"/>
            </w:tcBorders>
            <w:shd w:val="clear" w:color="auto" w:fill="auto"/>
          </w:tcPr>
          <w:p w:rsidR="002A22A4" w:rsidRPr="006E709F" w:rsidRDefault="002A22A4" w:rsidP="00A801D0">
            <w:pPr>
              <w:pStyle w:val="Tabletext"/>
            </w:pPr>
            <w:r w:rsidRPr="006E709F">
              <w:t>Master of the Supreme Court</w:t>
            </w:r>
          </w:p>
        </w:tc>
        <w:tc>
          <w:tcPr>
            <w:tcW w:w="1449" w:type="pct"/>
            <w:tcBorders>
              <w:bottom w:val="single" w:sz="4" w:space="0" w:color="auto"/>
            </w:tcBorders>
            <w:shd w:val="clear" w:color="auto" w:fill="auto"/>
          </w:tcPr>
          <w:p w:rsidR="002A22A4" w:rsidRPr="006E709F" w:rsidRDefault="002A22A4" w:rsidP="00C328E8">
            <w:pPr>
              <w:pStyle w:val="Tabletext"/>
            </w:pPr>
          </w:p>
        </w:tc>
        <w:tc>
          <w:tcPr>
            <w:tcW w:w="1352" w:type="pct"/>
            <w:tcBorders>
              <w:bottom w:val="single" w:sz="4" w:space="0" w:color="auto"/>
            </w:tcBorders>
            <w:shd w:val="clear" w:color="auto" w:fill="auto"/>
          </w:tcPr>
          <w:p w:rsidR="002A22A4" w:rsidRPr="006E709F" w:rsidRDefault="002A22A4" w:rsidP="00A801D0">
            <w:pPr>
              <w:pStyle w:val="Tabletext"/>
            </w:pPr>
            <w:r w:rsidRPr="006E709F">
              <w:t>Northern Territory</w:t>
            </w:r>
          </w:p>
        </w:tc>
      </w:tr>
      <w:tr w:rsidR="002A22A4" w:rsidRPr="006E709F" w:rsidTr="00E118FA">
        <w:tc>
          <w:tcPr>
            <w:tcW w:w="750" w:type="pct"/>
            <w:tcBorders>
              <w:bottom w:val="single" w:sz="12" w:space="0" w:color="auto"/>
            </w:tcBorders>
            <w:shd w:val="clear" w:color="auto" w:fill="auto"/>
          </w:tcPr>
          <w:p w:rsidR="002A22A4" w:rsidRPr="006E709F" w:rsidRDefault="002A22A4" w:rsidP="00A801D0">
            <w:pPr>
              <w:pStyle w:val="Tabletext"/>
            </w:pPr>
            <w:r w:rsidRPr="006E709F">
              <w:t>42</w:t>
            </w:r>
          </w:p>
        </w:tc>
        <w:tc>
          <w:tcPr>
            <w:tcW w:w="1449" w:type="pct"/>
            <w:tcBorders>
              <w:bottom w:val="single" w:sz="12" w:space="0" w:color="auto"/>
            </w:tcBorders>
            <w:shd w:val="clear" w:color="auto" w:fill="auto"/>
          </w:tcPr>
          <w:p w:rsidR="002A22A4" w:rsidRPr="006E709F" w:rsidRDefault="002A22A4" w:rsidP="00A801D0">
            <w:pPr>
              <w:pStyle w:val="Tabletext"/>
            </w:pPr>
            <w:r w:rsidRPr="006E709F">
              <w:t>Commissioner for Corporate Affairs</w:t>
            </w:r>
          </w:p>
        </w:tc>
        <w:tc>
          <w:tcPr>
            <w:tcW w:w="1449" w:type="pct"/>
            <w:tcBorders>
              <w:bottom w:val="single" w:sz="12" w:space="0" w:color="auto"/>
            </w:tcBorders>
            <w:shd w:val="clear" w:color="auto" w:fill="auto"/>
          </w:tcPr>
          <w:p w:rsidR="002A22A4" w:rsidRPr="006E709F" w:rsidRDefault="002A22A4" w:rsidP="00A801D0">
            <w:pPr>
              <w:pStyle w:val="Tabletext"/>
            </w:pPr>
            <w:r w:rsidRPr="006E709F">
              <w:rPr>
                <w:i/>
              </w:rPr>
              <w:t>Companies (Administration) Act 1986</w:t>
            </w:r>
          </w:p>
        </w:tc>
        <w:tc>
          <w:tcPr>
            <w:tcW w:w="1352" w:type="pct"/>
            <w:tcBorders>
              <w:bottom w:val="single" w:sz="12" w:space="0" w:color="auto"/>
            </w:tcBorders>
            <w:shd w:val="clear" w:color="auto" w:fill="auto"/>
          </w:tcPr>
          <w:p w:rsidR="002A22A4" w:rsidRPr="006E709F" w:rsidRDefault="002A22A4" w:rsidP="00A801D0">
            <w:pPr>
              <w:pStyle w:val="Tabletext"/>
            </w:pPr>
            <w:r w:rsidRPr="006E709F">
              <w:t>Northern Territory</w:t>
            </w:r>
          </w:p>
        </w:tc>
      </w:tr>
    </w:tbl>
    <w:p w:rsidR="002A22A4" w:rsidRPr="006E709F" w:rsidRDefault="00A801D0" w:rsidP="00A801D0">
      <w:pPr>
        <w:pStyle w:val="ActHead1"/>
        <w:pageBreakBefore/>
      </w:pPr>
      <w:bookmarkStart w:id="2" w:name="_Toc160609695"/>
      <w:r w:rsidRPr="000C4237">
        <w:rPr>
          <w:rStyle w:val="CharChapNo"/>
        </w:rPr>
        <w:t>Schedule</w:t>
      </w:r>
      <w:r w:rsidR="00DA13DE" w:rsidRPr="000C4237">
        <w:rPr>
          <w:rStyle w:val="CharChapNo"/>
        </w:rPr>
        <w:t> </w:t>
      </w:r>
      <w:r w:rsidR="002A22A4" w:rsidRPr="000C4237">
        <w:rPr>
          <w:rStyle w:val="CharChapNo"/>
        </w:rPr>
        <w:t>4</w:t>
      </w:r>
      <w:r w:rsidRPr="006E709F">
        <w:t>—</w:t>
      </w:r>
      <w:r w:rsidR="002A22A4" w:rsidRPr="000C4237">
        <w:rPr>
          <w:rStyle w:val="CharChapText"/>
        </w:rPr>
        <w:t>Prescribed amounts</w:t>
      </w:r>
      <w:bookmarkEnd w:id="2"/>
    </w:p>
    <w:p w:rsidR="002A22A4" w:rsidRPr="006E709F" w:rsidRDefault="002A22A4" w:rsidP="00A801D0">
      <w:pPr>
        <w:pStyle w:val="notemargin"/>
      </w:pPr>
      <w:r w:rsidRPr="006E709F">
        <w:t>(regulation</w:t>
      </w:r>
      <w:r w:rsidR="00DA13DE" w:rsidRPr="006E709F">
        <w:t> </w:t>
      </w:r>
      <w:r w:rsidRPr="006E709F">
        <w:t>1.1.01)</w:t>
      </w:r>
    </w:p>
    <w:p w:rsidR="002A22A4" w:rsidRPr="006E709F" w:rsidRDefault="00A801D0" w:rsidP="002A22A4">
      <w:pPr>
        <w:pStyle w:val="Header"/>
      </w:pPr>
      <w:r w:rsidRPr="000C4237">
        <w:rPr>
          <w:rStyle w:val="CharPartNo"/>
        </w:rPr>
        <w:t xml:space="preserve"> </w:t>
      </w:r>
      <w:r w:rsidRPr="000C4237">
        <w:rPr>
          <w:rStyle w:val="CharPartText"/>
        </w:rPr>
        <w:t xml:space="preserve"> </w:t>
      </w:r>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80"/>
        <w:gridCol w:w="5184"/>
        <w:gridCol w:w="1965"/>
      </w:tblGrid>
      <w:tr w:rsidR="002A22A4" w:rsidRPr="006E709F" w:rsidTr="00E118FA">
        <w:trPr>
          <w:tblHeader/>
        </w:trPr>
        <w:tc>
          <w:tcPr>
            <w:tcW w:w="809"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1</w:t>
            </w:r>
          </w:p>
        </w:tc>
        <w:tc>
          <w:tcPr>
            <w:tcW w:w="3039"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2</w:t>
            </w:r>
          </w:p>
        </w:tc>
        <w:tc>
          <w:tcPr>
            <w:tcW w:w="1152"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3</w:t>
            </w:r>
          </w:p>
        </w:tc>
      </w:tr>
      <w:tr w:rsidR="002A22A4" w:rsidRPr="006E709F" w:rsidTr="00E118FA">
        <w:trPr>
          <w:tblHeader/>
        </w:trPr>
        <w:tc>
          <w:tcPr>
            <w:tcW w:w="809" w:type="pct"/>
            <w:tcBorders>
              <w:top w:val="single" w:sz="6" w:space="0" w:color="auto"/>
              <w:bottom w:val="single" w:sz="12" w:space="0" w:color="auto"/>
            </w:tcBorders>
            <w:shd w:val="clear" w:color="auto" w:fill="auto"/>
          </w:tcPr>
          <w:p w:rsidR="002A22A4" w:rsidRPr="006E709F" w:rsidRDefault="002A22A4" w:rsidP="000858E6">
            <w:pPr>
              <w:pStyle w:val="TableHeading"/>
            </w:pPr>
            <w:r w:rsidRPr="006E709F">
              <w:t>Item</w:t>
            </w:r>
          </w:p>
        </w:tc>
        <w:tc>
          <w:tcPr>
            <w:tcW w:w="3039" w:type="pct"/>
            <w:tcBorders>
              <w:top w:val="single" w:sz="6" w:space="0" w:color="auto"/>
              <w:bottom w:val="single" w:sz="12" w:space="0" w:color="auto"/>
            </w:tcBorders>
            <w:shd w:val="clear" w:color="auto" w:fill="auto"/>
          </w:tcPr>
          <w:p w:rsidR="002A22A4" w:rsidRPr="006E709F" w:rsidRDefault="002A22A4" w:rsidP="000858E6">
            <w:pPr>
              <w:pStyle w:val="TableHeading"/>
            </w:pPr>
            <w:r w:rsidRPr="006E709F">
              <w:t>Matter</w:t>
            </w:r>
          </w:p>
        </w:tc>
        <w:tc>
          <w:tcPr>
            <w:tcW w:w="1152" w:type="pct"/>
            <w:tcBorders>
              <w:top w:val="single" w:sz="6" w:space="0" w:color="auto"/>
              <w:bottom w:val="single" w:sz="12" w:space="0" w:color="auto"/>
            </w:tcBorders>
            <w:shd w:val="clear" w:color="auto" w:fill="auto"/>
          </w:tcPr>
          <w:p w:rsidR="002A22A4" w:rsidRPr="006E709F" w:rsidRDefault="002A22A4" w:rsidP="000858E6">
            <w:pPr>
              <w:pStyle w:val="TableHeading"/>
            </w:pPr>
            <w:r w:rsidRPr="006E709F">
              <w:t>Amount ($)</w:t>
            </w:r>
          </w:p>
        </w:tc>
      </w:tr>
      <w:tr w:rsidR="002A22A4" w:rsidRPr="006E709F" w:rsidTr="00E118FA">
        <w:tc>
          <w:tcPr>
            <w:tcW w:w="809" w:type="pct"/>
            <w:tcBorders>
              <w:top w:val="single" w:sz="12" w:space="0" w:color="auto"/>
              <w:bottom w:val="nil"/>
              <w:right w:val="nil"/>
            </w:tcBorders>
            <w:shd w:val="clear" w:color="auto" w:fill="auto"/>
          </w:tcPr>
          <w:p w:rsidR="002A22A4" w:rsidRPr="006E709F" w:rsidRDefault="002A22A4" w:rsidP="00A801D0">
            <w:pPr>
              <w:pStyle w:val="Tabletext"/>
            </w:pPr>
            <w:r w:rsidRPr="006E709F">
              <w:t>1</w:t>
            </w:r>
          </w:p>
        </w:tc>
        <w:tc>
          <w:tcPr>
            <w:tcW w:w="3039" w:type="pct"/>
            <w:tcBorders>
              <w:top w:val="single" w:sz="12" w:space="0" w:color="auto"/>
              <w:left w:val="nil"/>
              <w:bottom w:val="nil"/>
              <w:right w:val="nil"/>
            </w:tcBorders>
            <w:shd w:val="clear" w:color="auto" w:fill="auto"/>
          </w:tcPr>
          <w:p w:rsidR="002A22A4" w:rsidRPr="006E709F" w:rsidRDefault="002A22A4" w:rsidP="00A801D0">
            <w:pPr>
              <w:pStyle w:val="Tabletext"/>
            </w:pPr>
            <w:r w:rsidRPr="006E709F">
              <w:t>Inspection of registers for the purposes of:</w:t>
            </w:r>
          </w:p>
        </w:tc>
        <w:tc>
          <w:tcPr>
            <w:tcW w:w="1152" w:type="pct"/>
            <w:tcBorders>
              <w:top w:val="single" w:sz="12" w:space="0" w:color="auto"/>
              <w:left w:val="nil"/>
              <w:bottom w:val="nil"/>
            </w:tcBorders>
            <w:shd w:val="clear" w:color="auto" w:fill="auto"/>
          </w:tcPr>
          <w:p w:rsidR="002A22A4" w:rsidRPr="006E709F" w:rsidRDefault="002A22A4" w:rsidP="00A801D0">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C36BD7">
            <w:pPr>
              <w:pStyle w:val="Tablea"/>
            </w:pPr>
            <w:r w:rsidRPr="006E709F">
              <w:t>(</w:t>
            </w:r>
            <w:r w:rsidR="002A22A4" w:rsidRPr="006E709F">
              <w:t>a</w:t>
            </w:r>
            <w:r w:rsidRPr="006E709F">
              <w:t xml:space="preserve">) </w:t>
            </w:r>
            <w:r w:rsidR="002A22A4" w:rsidRPr="006E709F">
              <w:t>subsection</w:t>
            </w:r>
            <w:r w:rsidR="00DA13DE" w:rsidRPr="006E709F">
              <w:t> </w:t>
            </w:r>
            <w:r w:rsidR="002A22A4" w:rsidRPr="006E709F">
              <w:t>173(2) or subsection</w:t>
            </w:r>
            <w:r w:rsidR="00DA13DE" w:rsidRPr="006E709F">
              <w:t> </w:t>
            </w:r>
            <w:r w:rsidR="002A22A4" w:rsidRPr="006E709F">
              <w:t>672DA(7):</w:t>
            </w:r>
          </w:p>
        </w:tc>
        <w:tc>
          <w:tcPr>
            <w:tcW w:w="1152" w:type="pct"/>
            <w:tcBorders>
              <w:top w:val="nil"/>
              <w:left w:val="nil"/>
              <w:bottom w:val="nil"/>
            </w:tcBorders>
            <w:shd w:val="clear" w:color="auto" w:fill="auto"/>
          </w:tcPr>
          <w:p w:rsidR="002A22A4" w:rsidRPr="006E709F" w:rsidRDefault="002A22A4" w:rsidP="00C328E8">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A801D0">
            <w:pPr>
              <w:pStyle w:val="Tablei"/>
            </w:pPr>
            <w:r w:rsidRPr="006E709F">
              <w:t>(</w:t>
            </w:r>
            <w:r w:rsidR="002A22A4" w:rsidRPr="006E709F">
              <w:t>i</w:t>
            </w:r>
            <w:r w:rsidRPr="006E709F">
              <w:t xml:space="preserve">) </w:t>
            </w:r>
            <w:r w:rsidR="002A22A4" w:rsidRPr="006E709F">
              <w:t>if a register is not kept on a computer</w:t>
            </w:r>
            <w:r w:rsidRPr="006E709F">
              <w:t>—</w:t>
            </w:r>
            <w:r w:rsidR="002A22A4" w:rsidRPr="006E709F">
              <w:t>for each inspection</w:t>
            </w:r>
          </w:p>
        </w:tc>
        <w:tc>
          <w:tcPr>
            <w:tcW w:w="1152" w:type="pct"/>
            <w:tcBorders>
              <w:top w:val="nil"/>
              <w:left w:val="nil"/>
              <w:bottom w:val="nil"/>
            </w:tcBorders>
            <w:shd w:val="clear" w:color="auto" w:fill="auto"/>
          </w:tcPr>
          <w:p w:rsidR="002A22A4" w:rsidRPr="006E709F" w:rsidRDefault="002A22A4" w:rsidP="000858E6">
            <w:pPr>
              <w:pStyle w:val="Tabletext"/>
            </w:pPr>
            <w:r w:rsidRPr="006E709F">
              <w:t>5.00</w:t>
            </w:r>
          </w:p>
        </w:tc>
      </w:tr>
      <w:tr w:rsidR="002A22A4" w:rsidRPr="006E709F" w:rsidTr="00E118FA">
        <w:tc>
          <w:tcPr>
            <w:tcW w:w="809" w:type="pct"/>
            <w:tcBorders>
              <w:top w:val="nil"/>
              <w:bottom w:val="single" w:sz="4" w:space="0" w:color="auto"/>
              <w:right w:val="nil"/>
            </w:tcBorders>
            <w:shd w:val="clear" w:color="auto" w:fill="auto"/>
          </w:tcPr>
          <w:p w:rsidR="002A22A4" w:rsidRPr="006E709F" w:rsidRDefault="002A22A4" w:rsidP="00A801D0">
            <w:pPr>
              <w:pStyle w:val="Tabletext"/>
            </w:pPr>
          </w:p>
        </w:tc>
        <w:tc>
          <w:tcPr>
            <w:tcW w:w="3039" w:type="pct"/>
            <w:tcBorders>
              <w:top w:val="nil"/>
              <w:left w:val="nil"/>
              <w:bottom w:val="single" w:sz="4" w:space="0" w:color="auto"/>
              <w:right w:val="nil"/>
            </w:tcBorders>
            <w:shd w:val="clear" w:color="auto" w:fill="auto"/>
          </w:tcPr>
          <w:p w:rsidR="002A22A4" w:rsidRPr="006E709F" w:rsidRDefault="00A801D0" w:rsidP="00A801D0">
            <w:pPr>
              <w:pStyle w:val="Tablei"/>
            </w:pPr>
            <w:r w:rsidRPr="006E709F">
              <w:t>(</w:t>
            </w:r>
            <w:r w:rsidR="002A22A4" w:rsidRPr="006E709F">
              <w:t>ii</w:t>
            </w:r>
            <w:r w:rsidRPr="006E709F">
              <w:t xml:space="preserve">) </w:t>
            </w:r>
            <w:r w:rsidR="002A22A4" w:rsidRPr="006E709F">
              <w:t>if a register is kept on a computer</w:t>
            </w:r>
            <w:r w:rsidRPr="006E709F">
              <w:t>—</w:t>
            </w:r>
            <w:r w:rsidR="002A22A4" w:rsidRPr="006E709F">
              <w:t>for each inspection</w:t>
            </w:r>
          </w:p>
        </w:tc>
        <w:tc>
          <w:tcPr>
            <w:tcW w:w="1152" w:type="pct"/>
            <w:tcBorders>
              <w:top w:val="nil"/>
              <w:left w:val="nil"/>
              <w:bottom w:val="single" w:sz="4" w:space="0" w:color="auto"/>
            </w:tcBorders>
            <w:shd w:val="clear" w:color="auto" w:fill="auto"/>
          </w:tcPr>
          <w:p w:rsidR="002A22A4" w:rsidRPr="006E709F" w:rsidRDefault="002A22A4" w:rsidP="00A801D0">
            <w:pPr>
              <w:pStyle w:val="Tabletext"/>
            </w:pPr>
            <w:r w:rsidRPr="006E709F">
              <w:t>a reasonable amount that does not exceed the marginal cost to the company of providing an inspection</w:t>
            </w:r>
          </w:p>
        </w:tc>
      </w:tr>
      <w:tr w:rsidR="00875880" w:rsidRPr="006E709F" w:rsidTr="00E118FA">
        <w:tc>
          <w:tcPr>
            <w:tcW w:w="809" w:type="pct"/>
            <w:tcBorders>
              <w:top w:val="single" w:sz="4" w:space="0" w:color="auto"/>
              <w:bottom w:val="nil"/>
              <w:right w:val="nil"/>
            </w:tcBorders>
            <w:shd w:val="clear" w:color="auto" w:fill="auto"/>
          </w:tcPr>
          <w:p w:rsidR="00875880" w:rsidRPr="006E709F" w:rsidRDefault="00875880" w:rsidP="00A801D0">
            <w:pPr>
              <w:pStyle w:val="Tabletext"/>
            </w:pPr>
            <w:r w:rsidRPr="006E709F">
              <w:t>1AA</w:t>
            </w:r>
          </w:p>
        </w:tc>
        <w:tc>
          <w:tcPr>
            <w:tcW w:w="3039" w:type="pct"/>
            <w:tcBorders>
              <w:top w:val="single" w:sz="4" w:space="0" w:color="auto"/>
              <w:left w:val="nil"/>
              <w:bottom w:val="nil"/>
              <w:right w:val="nil"/>
            </w:tcBorders>
            <w:shd w:val="clear" w:color="auto" w:fill="auto"/>
          </w:tcPr>
          <w:p w:rsidR="00875880" w:rsidRPr="006E709F" w:rsidRDefault="00875880" w:rsidP="00875880">
            <w:pPr>
              <w:pStyle w:val="Tabletext"/>
            </w:pPr>
            <w:r w:rsidRPr="006E709F">
              <w:t>Supply of copies for subsection</w:t>
            </w:r>
            <w:r w:rsidR="00DA13DE" w:rsidRPr="006E709F">
              <w:t> </w:t>
            </w:r>
            <w:r w:rsidRPr="006E709F">
              <w:t>173(3)</w:t>
            </w:r>
          </w:p>
          <w:p w:rsidR="00875880" w:rsidRPr="006E709F" w:rsidRDefault="00875880" w:rsidP="00A801D0">
            <w:pPr>
              <w:pStyle w:val="Tabletext"/>
            </w:pPr>
            <w:r w:rsidRPr="006E709F">
              <w:t>In addition, if information is provided about 5,000 or more members:</w:t>
            </w:r>
          </w:p>
        </w:tc>
        <w:tc>
          <w:tcPr>
            <w:tcW w:w="1152" w:type="pct"/>
            <w:tcBorders>
              <w:top w:val="single" w:sz="4" w:space="0" w:color="auto"/>
              <w:left w:val="nil"/>
              <w:bottom w:val="nil"/>
            </w:tcBorders>
            <w:shd w:val="clear" w:color="auto" w:fill="auto"/>
          </w:tcPr>
          <w:p w:rsidR="00875880" w:rsidRPr="006E709F" w:rsidRDefault="00875880" w:rsidP="00A801D0">
            <w:pPr>
              <w:pStyle w:val="Tabletext"/>
            </w:pPr>
            <w:r w:rsidRPr="006E709F">
              <w:t>250.00</w:t>
            </w:r>
          </w:p>
        </w:tc>
      </w:tr>
      <w:tr w:rsidR="00875880" w:rsidRPr="006E709F" w:rsidTr="00E118FA">
        <w:tc>
          <w:tcPr>
            <w:tcW w:w="809" w:type="pct"/>
            <w:tcBorders>
              <w:top w:val="nil"/>
              <w:bottom w:val="nil"/>
              <w:right w:val="nil"/>
            </w:tcBorders>
            <w:shd w:val="clear" w:color="auto" w:fill="auto"/>
          </w:tcPr>
          <w:p w:rsidR="00875880" w:rsidRPr="006E709F" w:rsidRDefault="00875880" w:rsidP="00A801D0">
            <w:pPr>
              <w:pStyle w:val="Tabletext"/>
            </w:pPr>
          </w:p>
        </w:tc>
        <w:tc>
          <w:tcPr>
            <w:tcW w:w="3039" w:type="pct"/>
            <w:tcBorders>
              <w:top w:val="nil"/>
              <w:left w:val="nil"/>
              <w:bottom w:val="nil"/>
              <w:right w:val="nil"/>
            </w:tcBorders>
            <w:shd w:val="clear" w:color="auto" w:fill="auto"/>
          </w:tcPr>
          <w:p w:rsidR="00875880" w:rsidRPr="006E709F" w:rsidRDefault="00875880" w:rsidP="00A801D0">
            <w:pPr>
              <w:pStyle w:val="Tablea"/>
            </w:pPr>
            <w:r w:rsidRPr="006E709F">
              <w:t>(a) for the 5,000th member and for each additional member up to and including the 19,999th member</w:t>
            </w:r>
          </w:p>
        </w:tc>
        <w:tc>
          <w:tcPr>
            <w:tcW w:w="1152" w:type="pct"/>
            <w:tcBorders>
              <w:top w:val="nil"/>
              <w:left w:val="nil"/>
              <w:bottom w:val="nil"/>
            </w:tcBorders>
            <w:shd w:val="clear" w:color="auto" w:fill="auto"/>
          </w:tcPr>
          <w:p w:rsidR="00875880" w:rsidRPr="006E709F" w:rsidRDefault="00875880" w:rsidP="00A801D0">
            <w:pPr>
              <w:pStyle w:val="Tabletext"/>
            </w:pPr>
            <w:r w:rsidRPr="006E709F">
              <w:t>0.05</w:t>
            </w:r>
          </w:p>
        </w:tc>
      </w:tr>
      <w:tr w:rsidR="00875880" w:rsidRPr="006E709F" w:rsidTr="00E118FA">
        <w:tc>
          <w:tcPr>
            <w:tcW w:w="809" w:type="pct"/>
            <w:tcBorders>
              <w:top w:val="nil"/>
              <w:bottom w:val="single" w:sz="4" w:space="0" w:color="auto"/>
              <w:right w:val="nil"/>
            </w:tcBorders>
            <w:shd w:val="clear" w:color="auto" w:fill="auto"/>
          </w:tcPr>
          <w:p w:rsidR="00875880" w:rsidRPr="006E709F" w:rsidRDefault="00875880" w:rsidP="00A801D0">
            <w:pPr>
              <w:pStyle w:val="Tabletext"/>
            </w:pPr>
          </w:p>
        </w:tc>
        <w:tc>
          <w:tcPr>
            <w:tcW w:w="3039" w:type="pct"/>
            <w:tcBorders>
              <w:top w:val="nil"/>
              <w:left w:val="nil"/>
              <w:bottom w:val="single" w:sz="4" w:space="0" w:color="auto"/>
              <w:right w:val="nil"/>
            </w:tcBorders>
            <w:shd w:val="clear" w:color="auto" w:fill="auto"/>
          </w:tcPr>
          <w:p w:rsidR="00875880" w:rsidRPr="006E709F" w:rsidRDefault="00875880" w:rsidP="00A801D0">
            <w:pPr>
              <w:pStyle w:val="Tablea"/>
            </w:pPr>
            <w:r w:rsidRPr="006E709F">
              <w:t>(b) for the 20,000th member and for each additional member</w:t>
            </w:r>
          </w:p>
        </w:tc>
        <w:tc>
          <w:tcPr>
            <w:tcW w:w="1152" w:type="pct"/>
            <w:tcBorders>
              <w:top w:val="nil"/>
              <w:left w:val="nil"/>
              <w:bottom w:val="single" w:sz="4" w:space="0" w:color="auto"/>
            </w:tcBorders>
            <w:shd w:val="clear" w:color="auto" w:fill="auto"/>
          </w:tcPr>
          <w:p w:rsidR="00875880" w:rsidRPr="006E709F" w:rsidRDefault="00875880" w:rsidP="00A801D0">
            <w:pPr>
              <w:pStyle w:val="Tabletext"/>
            </w:pPr>
            <w:r w:rsidRPr="006E709F">
              <w:t>0.01</w:t>
            </w:r>
          </w:p>
        </w:tc>
      </w:tr>
      <w:tr w:rsidR="002A22A4" w:rsidRPr="006E709F" w:rsidTr="00E118FA">
        <w:tc>
          <w:tcPr>
            <w:tcW w:w="809" w:type="pct"/>
            <w:tcBorders>
              <w:top w:val="single" w:sz="4" w:space="0" w:color="auto"/>
              <w:bottom w:val="nil"/>
              <w:right w:val="nil"/>
            </w:tcBorders>
            <w:shd w:val="clear" w:color="auto" w:fill="auto"/>
          </w:tcPr>
          <w:p w:rsidR="002A22A4" w:rsidRPr="006E709F" w:rsidRDefault="002A22A4" w:rsidP="00A801D0">
            <w:pPr>
              <w:pStyle w:val="Tabletext"/>
            </w:pPr>
            <w:r w:rsidRPr="006E709F">
              <w:t>1A</w:t>
            </w:r>
          </w:p>
        </w:tc>
        <w:tc>
          <w:tcPr>
            <w:tcW w:w="3039" w:type="pct"/>
            <w:tcBorders>
              <w:top w:val="single" w:sz="4" w:space="0" w:color="auto"/>
              <w:left w:val="nil"/>
              <w:bottom w:val="nil"/>
              <w:right w:val="nil"/>
            </w:tcBorders>
            <w:shd w:val="clear" w:color="auto" w:fill="auto"/>
          </w:tcPr>
          <w:p w:rsidR="002A22A4" w:rsidRPr="006E709F" w:rsidRDefault="002A22A4" w:rsidP="00A801D0">
            <w:pPr>
              <w:pStyle w:val="Tabletext"/>
            </w:pPr>
            <w:r w:rsidRPr="006E709F">
              <w:t>Inspection of registers or records for:</w:t>
            </w:r>
          </w:p>
        </w:tc>
        <w:tc>
          <w:tcPr>
            <w:tcW w:w="1152" w:type="pct"/>
            <w:tcBorders>
              <w:top w:val="single" w:sz="4" w:space="0" w:color="auto"/>
              <w:left w:val="nil"/>
              <w:bottom w:val="nil"/>
            </w:tcBorders>
            <w:shd w:val="clear" w:color="auto" w:fill="auto"/>
          </w:tcPr>
          <w:p w:rsidR="002A22A4" w:rsidRPr="006E709F" w:rsidRDefault="002A22A4" w:rsidP="00A801D0">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7678F7">
            <w:pPr>
              <w:pStyle w:val="Tablea"/>
            </w:pPr>
            <w:r w:rsidRPr="006E709F">
              <w:t>(</w:t>
            </w:r>
            <w:r w:rsidR="002A22A4" w:rsidRPr="006E709F">
              <w:t>a</w:t>
            </w:r>
            <w:r w:rsidRPr="006E709F">
              <w:t xml:space="preserve">) </w:t>
            </w:r>
            <w:r w:rsidR="002A22A4" w:rsidRPr="006E709F">
              <w:t>subsection</w:t>
            </w:r>
            <w:r w:rsidR="00DA13DE" w:rsidRPr="006E709F">
              <w:t> </w:t>
            </w:r>
            <w:r w:rsidR="002A22A4" w:rsidRPr="006E709F">
              <w:t>271(3)</w:t>
            </w:r>
          </w:p>
        </w:tc>
        <w:tc>
          <w:tcPr>
            <w:tcW w:w="1152" w:type="pct"/>
            <w:tcBorders>
              <w:top w:val="nil"/>
              <w:left w:val="nil"/>
              <w:bottom w:val="nil"/>
            </w:tcBorders>
            <w:shd w:val="clear" w:color="auto" w:fill="auto"/>
          </w:tcPr>
          <w:p w:rsidR="002A22A4" w:rsidRPr="006E709F" w:rsidRDefault="002A22A4" w:rsidP="00C328E8">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7678F7">
            <w:pPr>
              <w:pStyle w:val="Tablea"/>
            </w:pPr>
            <w:r w:rsidRPr="006E709F">
              <w:t>(</w:t>
            </w:r>
            <w:r w:rsidR="002A22A4" w:rsidRPr="006E709F">
              <w:t>b</w:t>
            </w:r>
            <w:r w:rsidRPr="006E709F">
              <w:t xml:space="preserve">) </w:t>
            </w:r>
            <w:r w:rsidR="002A22A4" w:rsidRPr="006E709F">
              <w:t>subsection</w:t>
            </w:r>
            <w:r w:rsidR="00DA13DE" w:rsidRPr="006E709F">
              <w:t> </w:t>
            </w:r>
            <w:r w:rsidR="002A22A4" w:rsidRPr="006E709F">
              <w:t>668A(3);</w:t>
            </w:r>
          </w:p>
        </w:tc>
        <w:tc>
          <w:tcPr>
            <w:tcW w:w="1152" w:type="pct"/>
            <w:tcBorders>
              <w:top w:val="nil"/>
              <w:left w:val="nil"/>
              <w:bottom w:val="nil"/>
            </w:tcBorders>
            <w:shd w:val="clear" w:color="auto" w:fill="auto"/>
          </w:tcPr>
          <w:p w:rsidR="002A22A4" w:rsidRPr="006E709F" w:rsidRDefault="002A22A4" w:rsidP="00C328E8">
            <w:pPr>
              <w:pStyle w:val="Tabletext"/>
            </w:pPr>
          </w:p>
        </w:tc>
      </w:tr>
      <w:tr w:rsidR="002A22A4" w:rsidRPr="006E709F" w:rsidTr="00E118FA">
        <w:tc>
          <w:tcPr>
            <w:tcW w:w="809" w:type="pct"/>
            <w:tcBorders>
              <w:top w:val="nil"/>
              <w:bottom w:val="single" w:sz="4" w:space="0" w:color="auto"/>
              <w:right w:val="nil"/>
            </w:tcBorders>
            <w:shd w:val="clear" w:color="auto" w:fill="auto"/>
          </w:tcPr>
          <w:p w:rsidR="002A22A4" w:rsidRPr="006E709F" w:rsidRDefault="002A22A4" w:rsidP="00C328E8">
            <w:pPr>
              <w:pStyle w:val="Tabletext"/>
            </w:pPr>
          </w:p>
        </w:tc>
        <w:tc>
          <w:tcPr>
            <w:tcW w:w="3039" w:type="pct"/>
            <w:tcBorders>
              <w:top w:val="nil"/>
              <w:left w:val="nil"/>
              <w:bottom w:val="single" w:sz="4" w:space="0" w:color="auto"/>
              <w:right w:val="nil"/>
            </w:tcBorders>
            <w:shd w:val="clear" w:color="auto" w:fill="auto"/>
          </w:tcPr>
          <w:p w:rsidR="002A22A4" w:rsidRPr="006E709F" w:rsidRDefault="002A22A4" w:rsidP="00A801D0">
            <w:pPr>
              <w:pStyle w:val="Tabletext"/>
            </w:pPr>
            <w:r w:rsidRPr="006E709F">
              <w:t>for each inspection</w:t>
            </w:r>
          </w:p>
        </w:tc>
        <w:tc>
          <w:tcPr>
            <w:tcW w:w="1152" w:type="pct"/>
            <w:tcBorders>
              <w:top w:val="nil"/>
              <w:left w:val="nil"/>
              <w:bottom w:val="single" w:sz="4" w:space="0" w:color="auto"/>
            </w:tcBorders>
            <w:shd w:val="clear" w:color="auto" w:fill="auto"/>
          </w:tcPr>
          <w:p w:rsidR="002A22A4" w:rsidRPr="006E709F" w:rsidRDefault="002A22A4" w:rsidP="00A801D0">
            <w:pPr>
              <w:pStyle w:val="Tabletext"/>
            </w:pPr>
            <w:r w:rsidRPr="006E709F">
              <w:t>5.00</w:t>
            </w:r>
          </w:p>
        </w:tc>
      </w:tr>
      <w:tr w:rsidR="002A22A4" w:rsidRPr="006E709F" w:rsidTr="00E118FA">
        <w:tc>
          <w:tcPr>
            <w:tcW w:w="809" w:type="pct"/>
            <w:tcBorders>
              <w:top w:val="single" w:sz="4" w:space="0" w:color="auto"/>
              <w:bottom w:val="single" w:sz="4" w:space="0" w:color="auto"/>
            </w:tcBorders>
            <w:shd w:val="clear" w:color="auto" w:fill="auto"/>
          </w:tcPr>
          <w:p w:rsidR="002A22A4" w:rsidRPr="006E709F" w:rsidRDefault="002A22A4" w:rsidP="00A801D0">
            <w:pPr>
              <w:pStyle w:val="Tabletext"/>
            </w:pPr>
            <w:r w:rsidRPr="006E709F">
              <w:t>2</w:t>
            </w:r>
          </w:p>
        </w:tc>
        <w:tc>
          <w:tcPr>
            <w:tcW w:w="3039" w:type="pct"/>
            <w:tcBorders>
              <w:top w:val="single" w:sz="4" w:space="0" w:color="auto"/>
              <w:bottom w:val="single" w:sz="4" w:space="0" w:color="auto"/>
            </w:tcBorders>
            <w:shd w:val="clear" w:color="auto" w:fill="auto"/>
          </w:tcPr>
          <w:p w:rsidR="002A22A4" w:rsidRPr="006E709F" w:rsidRDefault="002A22A4" w:rsidP="00A801D0">
            <w:pPr>
              <w:pStyle w:val="Tabletext"/>
            </w:pPr>
            <w:r w:rsidRPr="006E709F">
              <w:t>Supply under section</w:t>
            </w:r>
            <w:r w:rsidR="00DA13DE" w:rsidRPr="006E709F">
              <w:t> </w:t>
            </w:r>
            <w:r w:rsidRPr="006E709F">
              <w:t>139 by a company to a member of the company of a copy of the company’s constitution</w:t>
            </w:r>
          </w:p>
        </w:tc>
        <w:tc>
          <w:tcPr>
            <w:tcW w:w="1152" w:type="pct"/>
            <w:tcBorders>
              <w:top w:val="single" w:sz="4" w:space="0" w:color="auto"/>
              <w:bottom w:val="single" w:sz="4" w:space="0" w:color="auto"/>
            </w:tcBorders>
            <w:shd w:val="clear" w:color="auto" w:fill="auto"/>
          </w:tcPr>
          <w:p w:rsidR="002A22A4" w:rsidRPr="006E709F" w:rsidRDefault="002A22A4" w:rsidP="00A801D0">
            <w:pPr>
              <w:pStyle w:val="Tabletext"/>
            </w:pPr>
            <w:r w:rsidRPr="006E709F">
              <w:t>10.00</w:t>
            </w:r>
          </w:p>
        </w:tc>
      </w:tr>
      <w:tr w:rsidR="002A22A4" w:rsidRPr="006E709F" w:rsidTr="00E118FA">
        <w:tc>
          <w:tcPr>
            <w:tcW w:w="809" w:type="pct"/>
            <w:tcBorders>
              <w:bottom w:val="nil"/>
              <w:right w:val="nil"/>
            </w:tcBorders>
            <w:shd w:val="clear" w:color="auto" w:fill="auto"/>
          </w:tcPr>
          <w:p w:rsidR="002A22A4" w:rsidRPr="006E709F" w:rsidRDefault="002A22A4" w:rsidP="00C86594">
            <w:pPr>
              <w:pStyle w:val="Tabletext"/>
            </w:pPr>
            <w:r w:rsidRPr="006E709F">
              <w:t>3</w:t>
            </w:r>
          </w:p>
        </w:tc>
        <w:tc>
          <w:tcPr>
            <w:tcW w:w="3039" w:type="pct"/>
            <w:tcBorders>
              <w:left w:val="nil"/>
              <w:bottom w:val="nil"/>
              <w:right w:val="nil"/>
            </w:tcBorders>
            <w:shd w:val="clear" w:color="auto" w:fill="auto"/>
          </w:tcPr>
          <w:p w:rsidR="002A22A4" w:rsidRPr="006E709F" w:rsidRDefault="002A22A4" w:rsidP="00750EE3">
            <w:pPr>
              <w:pStyle w:val="Tabletext"/>
            </w:pPr>
            <w:r w:rsidRPr="006E709F">
              <w:t>Supply of copies for subsection</w:t>
            </w:r>
            <w:r w:rsidR="00DA13DE" w:rsidRPr="006E709F">
              <w:t> </w:t>
            </w:r>
            <w:r w:rsidR="00C36BD7" w:rsidRPr="006E709F">
              <w:t>672DA</w:t>
            </w:r>
            <w:r w:rsidRPr="006E709F">
              <w:t>(8):</w:t>
            </w:r>
          </w:p>
        </w:tc>
        <w:tc>
          <w:tcPr>
            <w:tcW w:w="1152" w:type="pct"/>
            <w:tcBorders>
              <w:left w:val="nil"/>
              <w:bottom w:val="nil"/>
            </w:tcBorders>
            <w:shd w:val="clear" w:color="auto" w:fill="auto"/>
          </w:tcPr>
          <w:p w:rsidR="002A22A4" w:rsidRPr="006E709F" w:rsidRDefault="002A22A4" w:rsidP="00C86594">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86594">
            <w:pPr>
              <w:pStyle w:val="Tabletext"/>
            </w:pPr>
          </w:p>
        </w:tc>
        <w:tc>
          <w:tcPr>
            <w:tcW w:w="3039" w:type="pct"/>
            <w:tcBorders>
              <w:top w:val="nil"/>
              <w:left w:val="nil"/>
              <w:bottom w:val="nil"/>
              <w:right w:val="nil"/>
            </w:tcBorders>
            <w:shd w:val="clear" w:color="auto" w:fill="auto"/>
          </w:tcPr>
          <w:p w:rsidR="002A22A4" w:rsidRPr="006E709F" w:rsidRDefault="00A801D0" w:rsidP="00C86594">
            <w:pPr>
              <w:pStyle w:val="Tablea"/>
            </w:pPr>
            <w:r w:rsidRPr="006E709F">
              <w:t>(</w:t>
            </w:r>
            <w:r w:rsidR="002A22A4" w:rsidRPr="006E709F">
              <w:t>a</w:t>
            </w:r>
            <w:r w:rsidRPr="006E709F">
              <w:t xml:space="preserve">) </w:t>
            </w:r>
            <w:r w:rsidR="002A22A4" w:rsidRPr="006E709F">
              <w:t>if a register is not kept on a computer</w:t>
            </w:r>
            <w:r w:rsidRPr="006E709F">
              <w:t>—</w:t>
            </w:r>
            <w:r w:rsidR="002A22A4" w:rsidRPr="006E709F">
              <w:t xml:space="preserve">for each page, or part of a page, not exceeding international sheet size A4 of the copy supplied or, at the option of the supplier, for each 100 words or part of 100 words </w:t>
            </w:r>
          </w:p>
        </w:tc>
        <w:tc>
          <w:tcPr>
            <w:tcW w:w="1152" w:type="pct"/>
            <w:tcBorders>
              <w:top w:val="nil"/>
              <w:left w:val="nil"/>
              <w:bottom w:val="nil"/>
            </w:tcBorders>
            <w:shd w:val="clear" w:color="auto" w:fill="auto"/>
          </w:tcPr>
          <w:p w:rsidR="002A22A4" w:rsidRPr="006E709F" w:rsidRDefault="002A22A4" w:rsidP="00C86594">
            <w:pPr>
              <w:pStyle w:val="Tabletext"/>
            </w:pPr>
            <w:r w:rsidRPr="006E709F">
              <w:t xml:space="preserve">0.50 </w:t>
            </w:r>
          </w:p>
        </w:tc>
      </w:tr>
      <w:tr w:rsidR="002A22A4" w:rsidRPr="006E709F" w:rsidTr="00E118FA">
        <w:trPr>
          <w:cantSplit/>
        </w:trPr>
        <w:tc>
          <w:tcPr>
            <w:tcW w:w="809" w:type="pct"/>
            <w:tcBorders>
              <w:top w:val="nil"/>
              <w:bottom w:val="single" w:sz="4" w:space="0" w:color="auto"/>
              <w:right w:val="nil"/>
            </w:tcBorders>
            <w:shd w:val="clear" w:color="auto" w:fill="auto"/>
          </w:tcPr>
          <w:p w:rsidR="002A22A4" w:rsidRPr="006E709F" w:rsidRDefault="002A22A4" w:rsidP="00A801D0">
            <w:pPr>
              <w:pStyle w:val="Tabletext"/>
            </w:pPr>
          </w:p>
        </w:tc>
        <w:tc>
          <w:tcPr>
            <w:tcW w:w="3039" w:type="pct"/>
            <w:tcBorders>
              <w:top w:val="nil"/>
              <w:left w:val="nil"/>
              <w:bottom w:val="single" w:sz="4" w:space="0" w:color="auto"/>
              <w:right w:val="nil"/>
            </w:tcBorders>
            <w:shd w:val="clear" w:color="auto" w:fill="auto"/>
          </w:tcPr>
          <w:p w:rsidR="002A22A4" w:rsidRPr="006E709F" w:rsidRDefault="00A801D0" w:rsidP="00A801D0">
            <w:pPr>
              <w:pStyle w:val="Tablea"/>
            </w:pPr>
            <w:r w:rsidRPr="006E709F">
              <w:t>(</w:t>
            </w:r>
            <w:r w:rsidR="002A22A4" w:rsidRPr="006E709F">
              <w:t>b</w:t>
            </w:r>
            <w:r w:rsidRPr="006E709F">
              <w:t xml:space="preserve">) </w:t>
            </w:r>
            <w:r w:rsidR="002A22A4" w:rsidRPr="006E709F">
              <w:t>if a register is kept on a computer</w:t>
            </w:r>
            <w:r w:rsidRPr="006E709F">
              <w:t>—</w:t>
            </w:r>
            <w:r w:rsidR="002A22A4" w:rsidRPr="006E709F">
              <w:t xml:space="preserve">for each inspection </w:t>
            </w:r>
          </w:p>
        </w:tc>
        <w:tc>
          <w:tcPr>
            <w:tcW w:w="1152" w:type="pct"/>
            <w:tcBorders>
              <w:top w:val="nil"/>
              <w:left w:val="nil"/>
              <w:bottom w:val="single" w:sz="4" w:space="0" w:color="auto"/>
            </w:tcBorders>
            <w:shd w:val="clear" w:color="auto" w:fill="auto"/>
          </w:tcPr>
          <w:p w:rsidR="002A22A4" w:rsidRPr="006E709F" w:rsidRDefault="002A22A4" w:rsidP="00A801D0">
            <w:pPr>
              <w:pStyle w:val="Tabletext"/>
            </w:pPr>
            <w:r w:rsidRPr="006E709F">
              <w:t xml:space="preserve">a reasonable amount that does not exceed the marginal cost to the company of providing a copy </w:t>
            </w:r>
          </w:p>
        </w:tc>
      </w:tr>
      <w:tr w:rsidR="002A22A4" w:rsidRPr="006E709F" w:rsidTr="00E118FA">
        <w:tc>
          <w:tcPr>
            <w:tcW w:w="809" w:type="pct"/>
            <w:tcBorders>
              <w:top w:val="single" w:sz="4" w:space="0" w:color="auto"/>
              <w:bottom w:val="nil"/>
              <w:right w:val="nil"/>
            </w:tcBorders>
            <w:shd w:val="clear" w:color="auto" w:fill="auto"/>
          </w:tcPr>
          <w:p w:rsidR="002A22A4" w:rsidRPr="006E709F" w:rsidRDefault="00C328E8" w:rsidP="00A801D0">
            <w:pPr>
              <w:pStyle w:val="Tabletext"/>
            </w:pPr>
            <w:r w:rsidRPr="006E709F">
              <w:t>3A</w:t>
            </w:r>
          </w:p>
        </w:tc>
        <w:tc>
          <w:tcPr>
            <w:tcW w:w="3039" w:type="pct"/>
            <w:tcBorders>
              <w:top w:val="single" w:sz="4" w:space="0" w:color="auto"/>
              <w:left w:val="nil"/>
              <w:bottom w:val="nil"/>
              <w:right w:val="nil"/>
            </w:tcBorders>
            <w:shd w:val="clear" w:color="auto" w:fill="auto"/>
          </w:tcPr>
          <w:p w:rsidR="002A22A4" w:rsidRPr="006E709F" w:rsidRDefault="002A22A4" w:rsidP="00A801D0">
            <w:pPr>
              <w:pStyle w:val="Tabletext"/>
            </w:pPr>
            <w:r w:rsidRPr="006E709F">
              <w:t>Supply of copies for:</w:t>
            </w:r>
          </w:p>
        </w:tc>
        <w:tc>
          <w:tcPr>
            <w:tcW w:w="1152" w:type="pct"/>
            <w:tcBorders>
              <w:top w:val="single" w:sz="4" w:space="0" w:color="auto"/>
              <w:left w:val="nil"/>
              <w:bottom w:val="nil"/>
            </w:tcBorders>
            <w:shd w:val="clear" w:color="auto" w:fill="auto"/>
          </w:tcPr>
          <w:p w:rsidR="002A22A4" w:rsidRPr="006E709F" w:rsidRDefault="002A22A4" w:rsidP="00A801D0">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C36BD7">
            <w:pPr>
              <w:pStyle w:val="Tablea"/>
            </w:pPr>
            <w:r w:rsidRPr="006E709F">
              <w:t>(</w:t>
            </w:r>
            <w:r w:rsidR="002A22A4" w:rsidRPr="006E709F">
              <w:t>a</w:t>
            </w:r>
            <w:r w:rsidRPr="006E709F">
              <w:t xml:space="preserve">) </w:t>
            </w:r>
            <w:r w:rsidR="002A22A4" w:rsidRPr="006E709F">
              <w:t>subsection</w:t>
            </w:r>
            <w:r w:rsidR="00DA13DE" w:rsidRPr="006E709F">
              <w:t> </w:t>
            </w:r>
            <w:r w:rsidR="002A22A4" w:rsidRPr="006E709F">
              <w:t>246G(3)</w:t>
            </w:r>
          </w:p>
        </w:tc>
        <w:tc>
          <w:tcPr>
            <w:tcW w:w="1152" w:type="pct"/>
            <w:tcBorders>
              <w:top w:val="nil"/>
              <w:left w:val="nil"/>
              <w:bottom w:val="nil"/>
            </w:tcBorders>
            <w:shd w:val="clear" w:color="auto" w:fill="auto"/>
          </w:tcPr>
          <w:p w:rsidR="002A22A4" w:rsidRPr="006E709F" w:rsidRDefault="002A22A4" w:rsidP="00C328E8">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C36BD7">
            <w:pPr>
              <w:pStyle w:val="Tablea"/>
            </w:pPr>
            <w:r w:rsidRPr="006E709F">
              <w:t>(</w:t>
            </w:r>
            <w:r w:rsidR="002A22A4" w:rsidRPr="006E709F">
              <w:t>b</w:t>
            </w:r>
            <w:r w:rsidRPr="006E709F">
              <w:t xml:space="preserve">) </w:t>
            </w:r>
            <w:r w:rsidR="002A22A4" w:rsidRPr="006E709F">
              <w:t>subsection</w:t>
            </w:r>
            <w:r w:rsidR="00DA13DE" w:rsidRPr="006E709F">
              <w:t> </w:t>
            </w:r>
            <w:r w:rsidR="002A22A4" w:rsidRPr="006E709F">
              <w:t>251B(4)</w:t>
            </w:r>
          </w:p>
        </w:tc>
        <w:tc>
          <w:tcPr>
            <w:tcW w:w="1152" w:type="pct"/>
            <w:tcBorders>
              <w:top w:val="nil"/>
              <w:left w:val="nil"/>
              <w:bottom w:val="nil"/>
            </w:tcBorders>
            <w:shd w:val="clear" w:color="auto" w:fill="auto"/>
          </w:tcPr>
          <w:p w:rsidR="002A22A4" w:rsidRPr="006E709F" w:rsidRDefault="002A22A4" w:rsidP="00C328E8">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C36BD7">
            <w:pPr>
              <w:pStyle w:val="Tablea"/>
            </w:pPr>
            <w:r w:rsidRPr="006E709F">
              <w:t>(</w:t>
            </w:r>
            <w:r w:rsidR="002A22A4" w:rsidRPr="006E709F">
              <w:t>ba</w:t>
            </w:r>
            <w:r w:rsidRPr="006E709F">
              <w:t xml:space="preserve">) </w:t>
            </w:r>
            <w:r w:rsidR="002A22A4" w:rsidRPr="006E709F">
              <w:t>subsection</w:t>
            </w:r>
            <w:r w:rsidR="00DA13DE" w:rsidRPr="006E709F">
              <w:t> </w:t>
            </w:r>
            <w:r w:rsidR="002A22A4" w:rsidRPr="006E709F">
              <w:t>253N(4)</w:t>
            </w:r>
          </w:p>
        </w:tc>
        <w:tc>
          <w:tcPr>
            <w:tcW w:w="1152" w:type="pct"/>
            <w:tcBorders>
              <w:top w:val="nil"/>
              <w:left w:val="nil"/>
              <w:bottom w:val="nil"/>
            </w:tcBorders>
            <w:shd w:val="clear" w:color="auto" w:fill="auto"/>
          </w:tcPr>
          <w:p w:rsidR="002A22A4" w:rsidRPr="006E709F" w:rsidRDefault="002A22A4" w:rsidP="00C328E8">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7678F7">
            <w:pPr>
              <w:pStyle w:val="Tablea"/>
            </w:pPr>
            <w:r w:rsidRPr="006E709F">
              <w:t>(</w:t>
            </w:r>
            <w:r w:rsidR="002A22A4" w:rsidRPr="006E709F">
              <w:t>c</w:t>
            </w:r>
            <w:r w:rsidRPr="006E709F">
              <w:t xml:space="preserve">) </w:t>
            </w:r>
            <w:r w:rsidR="002A22A4" w:rsidRPr="006E709F">
              <w:t>subsection</w:t>
            </w:r>
            <w:r w:rsidR="00DA13DE" w:rsidRPr="006E709F">
              <w:t> </w:t>
            </w:r>
            <w:r w:rsidR="002A22A4" w:rsidRPr="006E709F">
              <w:t>271(4)</w:t>
            </w:r>
          </w:p>
        </w:tc>
        <w:tc>
          <w:tcPr>
            <w:tcW w:w="1152" w:type="pct"/>
            <w:tcBorders>
              <w:top w:val="nil"/>
              <w:left w:val="nil"/>
              <w:bottom w:val="nil"/>
            </w:tcBorders>
            <w:shd w:val="clear" w:color="auto" w:fill="auto"/>
          </w:tcPr>
          <w:p w:rsidR="002A22A4" w:rsidRPr="006E709F" w:rsidRDefault="002A22A4" w:rsidP="00C328E8">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7678F7">
            <w:pPr>
              <w:pStyle w:val="Tablea"/>
            </w:pPr>
            <w:r w:rsidRPr="006E709F">
              <w:t>(</w:t>
            </w:r>
            <w:r w:rsidR="002A22A4" w:rsidRPr="006E709F">
              <w:t>d</w:t>
            </w:r>
            <w:r w:rsidRPr="006E709F">
              <w:t xml:space="preserve">) </w:t>
            </w:r>
            <w:r w:rsidR="002A22A4" w:rsidRPr="006E709F">
              <w:t>subsection</w:t>
            </w:r>
            <w:r w:rsidR="00DA13DE" w:rsidRPr="006E709F">
              <w:t> </w:t>
            </w:r>
            <w:r w:rsidR="002A22A4" w:rsidRPr="006E709F">
              <w:t>812(3)</w:t>
            </w:r>
          </w:p>
        </w:tc>
        <w:tc>
          <w:tcPr>
            <w:tcW w:w="1152" w:type="pct"/>
            <w:tcBorders>
              <w:top w:val="nil"/>
              <w:left w:val="nil"/>
              <w:bottom w:val="nil"/>
            </w:tcBorders>
            <w:shd w:val="clear" w:color="auto" w:fill="auto"/>
          </w:tcPr>
          <w:p w:rsidR="002A22A4" w:rsidRPr="006E709F" w:rsidRDefault="002A22A4" w:rsidP="00C328E8">
            <w:pPr>
              <w:pStyle w:val="Tabletext"/>
            </w:pPr>
          </w:p>
        </w:tc>
      </w:tr>
      <w:tr w:rsidR="002A22A4" w:rsidRPr="006E709F" w:rsidTr="00E118FA">
        <w:tc>
          <w:tcPr>
            <w:tcW w:w="809" w:type="pct"/>
            <w:tcBorders>
              <w:top w:val="nil"/>
              <w:bottom w:val="nil"/>
              <w:right w:val="nil"/>
            </w:tcBorders>
            <w:shd w:val="clear" w:color="auto" w:fill="auto"/>
          </w:tcPr>
          <w:p w:rsidR="002A22A4" w:rsidRPr="006E709F" w:rsidRDefault="002A22A4" w:rsidP="00C328E8">
            <w:pPr>
              <w:pStyle w:val="Tabletext"/>
            </w:pPr>
          </w:p>
        </w:tc>
        <w:tc>
          <w:tcPr>
            <w:tcW w:w="3039" w:type="pct"/>
            <w:tcBorders>
              <w:top w:val="nil"/>
              <w:left w:val="nil"/>
              <w:bottom w:val="nil"/>
              <w:right w:val="nil"/>
            </w:tcBorders>
            <w:shd w:val="clear" w:color="auto" w:fill="auto"/>
          </w:tcPr>
          <w:p w:rsidR="002A22A4" w:rsidRPr="006E709F" w:rsidRDefault="00A801D0" w:rsidP="007678F7">
            <w:pPr>
              <w:pStyle w:val="Tablea"/>
            </w:pPr>
            <w:r w:rsidRPr="006E709F">
              <w:t>(</w:t>
            </w:r>
            <w:r w:rsidR="002A22A4" w:rsidRPr="006E709F">
              <w:t>e</w:t>
            </w:r>
            <w:r w:rsidRPr="006E709F">
              <w:t xml:space="preserve">) </w:t>
            </w:r>
            <w:r w:rsidR="002A22A4" w:rsidRPr="006E709F">
              <w:t>paragraph</w:t>
            </w:r>
            <w:r w:rsidR="00DA13DE" w:rsidRPr="006E709F">
              <w:t> </w:t>
            </w:r>
            <w:r w:rsidR="002A22A4" w:rsidRPr="006E709F">
              <w:t>1178(3</w:t>
            </w:r>
            <w:r w:rsidRPr="006E709F">
              <w:t>)(</w:t>
            </w:r>
            <w:r w:rsidR="002A22A4" w:rsidRPr="006E709F">
              <w:t>a);</w:t>
            </w:r>
          </w:p>
        </w:tc>
        <w:tc>
          <w:tcPr>
            <w:tcW w:w="1152" w:type="pct"/>
            <w:tcBorders>
              <w:top w:val="nil"/>
              <w:left w:val="nil"/>
              <w:bottom w:val="nil"/>
            </w:tcBorders>
            <w:shd w:val="clear" w:color="auto" w:fill="auto"/>
          </w:tcPr>
          <w:p w:rsidR="002A22A4" w:rsidRPr="006E709F" w:rsidRDefault="002A22A4" w:rsidP="00C328E8">
            <w:pPr>
              <w:pStyle w:val="Tabletext"/>
            </w:pPr>
          </w:p>
        </w:tc>
      </w:tr>
      <w:tr w:rsidR="002A22A4" w:rsidRPr="006E709F" w:rsidTr="00E118FA">
        <w:tc>
          <w:tcPr>
            <w:tcW w:w="809" w:type="pct"/>
            <w:tcBorders>
              <w:top w:val="nil"/>
              <w:bottom w:val="single" w:sz="4" w:space="0" w:color="auto"/>
              <w:right w:val="nil"/>
            </w:tcBorders>
            <w:shd w:val="clear" w:color="auto" w:fill="auto"/>
          </w:tcPr>
          <w:p w:rsidR="002A22A4" w:rsidRPr="006E709F" w:rsidRDefault="002A22A4" w:rsidP="00C328E8">
            <w:pPr>
              <w:pStyle w:val="Tabletext"/>
            </w:pPr>
          </w:p>
        </w:tc>
        <w:tc>
          <w:tcPr>
            <w:tcW w:w="3039" w:type="pct"/>
            <w:tcBorders>
              <w:top w:val="nil"/>
              <w:left w:val="nil"/>
              <w:bottom w:val="single" w:sz="4" w:space="0" w:color="auto"/>
              <w:right w:val="nil"/>
            </w:tcBorders>
            <w:shd w:val="clear" w:color="auto" w:fill="auto"/>
          </w:tcPr>
          <w:p w:rsidR="002A22A4" w:rsidRPr="006E709F" w:rsidRDefault="002A22A4" w:rsidP="00A801D0">
            <w:pPr>
              <w:pStyle w:val="Tabletext"/>
            </w:pPr>
            <w:r w:rsidRPr="006E709F">
              <w:t>for each page, or part of a page, not exceeding international sheet size A4 of the copy supplied or, at the option of the supplier, for each 100 words or part of 100 words</w:t>
            </w:r>
          </w:p>
        </w:tc>
        <w:tc>
          <w:tcPr>
            <w:tcW w:w="1152" w:type="pct"/>
            <w:tcBorders>
              <w:top w:val="nil"/>
              <w:left w:val="nil"/>
              <w:bottom w:val="single" w:sz="4" w:space="0" w:color="auto"/>
            </w:tcBorders>
            <w:shd w:val="clear" w:color="auto" w:fill="auto"/>
          </w:tcPr>
          <w:p w:rsidR="002A22A4" w:rsidRPr="006E709F" w:rsidRDefault="002A22A4" w:rsidP="00A801D0">
            <w:pPr>
              <w:pStyle w:val="Tabletext"/>
            </w:pPr>
            <w:r w:rsidRPr="006E709F">
              <w:t>0.50</w:t>
            </w:r>
          </w:p>
        </w:tc>
      </w:tr>
      <w:tr w:rsidR="002A22A4" w:rsidRPr="006E709F" w:rsidTr="00E118FA">
        <w:tc>
          <w:tcPr>
            <w:tcW w:w="809" w:type="pct"/>
            <w:tcBorders>
              <w:top w:val="single" w:sz="4" w:space="0" w:color="auto"/>
            </w:tcBorders>
            <w:shd w:val="clear" w:color="auto" w:fill="auto"/>
          </w:tcPr>
          <w:p w:rsidR="002A22A4" w:rsidRPr="006E709F" w:rsidRDefault="002A22A4" w:rsidP="00A801D0">
            <w:pPr>
              <w:pStyle w:val="Tabletext"/>
            </w:pPr>
            <w:r w:rsidRPr="006E709F">
              <w:t>4</w:t>
            </w:r>
          </w:p>
        </w:tc>
        <w:tc>
          <w:tcPr>
            <w:tcW w:w="3039" w:type="pct"/>
            <w:tcBorders>
              <w:top w:val="single" w:sz="4" w:space="0" w:color="auto"/>
            </w:tcBorders>
            <w:shd w:val="clear" w:color="auto" w:fill="auto"/>
          </w:tcPr>
          <w:p w:rsidR="002A22A4" w:rsidRPr="006E709F" w:rsidRDefault="002A22A4" w:rsidP="007678F7">
            <w:pPr>
              <w:pStyle w:val="Tabletext"/>
            </w:pPr>
            <w:r w:rsidRPr="006E709F">
              <w:t>Payment for each name and address provided under subsection</w:t>
            </w:r>
            <w:r w:rsidR="00DA13DE" w:rsidRPr="006E709F">
              <w:t> </w:t>
            </w:r>
            <w:r w:rsidRPr="006E709F">
              <w:t>641(5)</w:t>
            </w:r>
          </w:p>
        </w:tc>
        <w:tc>
          <w:tcPr>
            <w:tcW w:w="1152" w:type="pct"/>
            <w:tcBorders>
              <w:top w:val="single" w:sz="4" w:space="0" w:color="auto"/>
            </w:tcBorders>
            <w:shd w:val="clear" w:color="auto" w:fill="auto"/>
          </w:tcPr>
          <w:p w:rsidR="002A22A4" w:rsidRPr="006E709F" w:rsidRDefault="002A22A4" w:rsidP="00A801D0">
            <w:pPr>
              <w:pStyle w:val="Tabletext"/>
            </w:pPr>
            <w:r w:rsidRPr="006E709F">
              <w:t>0.10</w:t>
            </w:r>
          </w:p>
        </w:tc>
      </w:tr>
      <w:tr w:rsidR="002A22A4" w:rsidRPr="006E709F" w:rsidTr="00E118FA">
        <w:tc>
          <w:tcPr>
            <w:tcW w:w="809" w:type="pct"/>
            <w:shd w:val="clear" w:color="auto" w:fill="auto"/>
          </w:tcPr>
          <w:p w:rsidR="002A22A4" w:rsidRPr="006E709F" w:rsidRDefault="002A22A4" w:rsidP="00A801D0">
            <w:pPr>
              <w:pStyle w:val="Tabletext"/>
            </w:pPr>
            <w:r w:rsidRPr="006E709F">
              <w:t>5</w:t>
            </w:r>
          </w:p>
        </w:tc>
        <w:tc>
          <w:tcPr>
            <w:tcW w:w="3039" w:type="pct"/>
            <w:shd w:val="clear" w:color="auto" w:fill="auto"/>
          </w:tcPr>
          <w:p w:rsidR="002A22A4" w:rsidRPr="006E709F" w:rsidRDefault="002A22A4" w:rsidP="00A801D0">
            <w:pPr>
              <w:pStyle w:val="Tabletext"/>
            </w:pPr>
            <w:r w:rsidRPr="006E709F">
              <w:t>For compliance with a direction under section</w:t>
            </w:r>
            <w:r w:rsidR="00DA13DE" w:rsidRPr="006E709F">
              <w:t> </w:t>
            </w:r>
            <w:r w:rsidRPr="006E709F">
              <w:t>672A</w:t>
            </w:r>
          </w:p>
        </w:tc>
        <w:tc>
          <w:tcPr>
            <w:tcW w:w="1152" w:type="pct"/>
            <w:shd w:val="clear" w:color="auto" w:fill="auto"/>
          </w:tcPr>
          <w:p w:rsidR="002A22A4" w:rsidRPr="006E709F" w:rsidRDefault="002A22A4" w:rsidP="00A801D0">
            <w:pPr>
              <w:pStyle w:val="Tabletext"/>
            </w:pPr>
            <w:r w:rsidRPr="006E709F">
              <w:t xml:space="preserve">5.00 </w:t>
            </w:r>
          </w:p>
        </w:tc>
      </w:tr>
      <w:tr w:rsidR="002A22A4" w:rsidRPr="006E709F" w:rsidTr="00E118FA">
        <w:tc>
          <w:tcPr>
            <w:tcW w:w="809" w:type="pct"/>
            <w:shd w:val="clear" w:color="auto" w:fill="auto"/>
          </w:tcPr>
          <w:p w:rsidR="002A22A4" w:rsidRPr="006E709F" w:rsidRDefault="007C7D49" w:rsidP="00A801D0">
            <w:pPr>
              <w:pStyle w:val="Tabletext"/>
            </w:pPr>
            <w:r w:rsidRPr="006E709F">
              <w:t>6</w:t>
            </w:r>
          </w:p>
        </w:tc>
        <w:tc>
          <w:tcPr>
            <w:tcW w:w="3039" w:type="pct"/>
            <w:shd w:val="clear" w:color="auto" w:fill="auto"/>
          </w:tcPr>
          <w:p w:rsidR="002A22A4" w:rsidRPr="006E709F" w:rsidRDefault="002A22A4" w:rsidP="007678F7">
            <w:pPr>
              <w:pStyle w:val="Tabletext"/>
            </w:pPr>
            <w:r w:rsidRPr="006E709F">
              <w:t xml:space="preserve">Replacement of lost or destroyed certificate for </w:t>
            </w:r>
            <w:r w:rsidRPr="006E709F">
              <w:rPr>
                <w:color w:val="000000"/>
              </w:rPr>
              <w:t>paragraph</w:t>
            </w:r>
            <w:r w:rsidR="00DA13DE" w:rsidRPr="006E709F">
              <w:rPr>
                <w:color w:val="000000"/>
              </w:rPr>
              <w:t> </w:t>
            </w:r>
            <w:r w:rsidRPr="006E709F">
              <w:rPr>
                <w:color w:val="000000"/>
              </w:rPr>
              <w:t>1070D(4</w:t>
            </w:r>
            <w:r w:rsidR="00A801D0" w:rsidRPr="006E709F">
              <w:rPr>
                <w:color w:val="000000"/>
              </w:rPr>
              <w:t>)(</w:t>
            </w:r>
            <w:r w:rsidRPr="006E709F">
              <w:rPr>
                <w:color w:val="000000"/>
              </w:rPr>
              <w:t>a)</w:t>
            </w:r>
          </w:p>
        </w:tc>
        <w:tc>
          <w:tcPr>
            <w:tcW w:w="1152" w:type="pct"/>
            <w:shd w:val="clear" w:color="auto" w:fill="auto"/>
          </w:tcPr>
          <w:p w:rsidR="002A22A4" w:rsidRPr="006E709F" w:rsidRDefault="002A22A4" w:rsidP="00A801D0">
            <w:pPr>
              <w:pStyle w:val="Tabletext"/>
            </w:pPr>
            <w:r w:rsidRPr="006E709F">
              <w:t>10.00</w:t>
            </w:r>
          </w:p>
        </w:tc>
      </w:tr>
      <w:tr w:rsidR="002A22A4" w:rsidRPr="006E709F" w:rsidTr="00E118FA">
        <w:tc>
          <w:tcPr>
            <w:tcW w:w="809" w:type="pct"/>
            <w:tcBorders>
              <w:bottom w:val="single" w:sz="4" w:space="0" w:color="auto"/>
            </w:tcBorders>
            <w:shd w:val="clear" w:color="auto" w:fill="auto"/>
          </w:tcPr>
          <w:p w:rsidR="002A22A4" w:rsidRPr="006E709F" w:rsidRDefault="002A22A4" w:rsidP="00A801D0">
            <w:pPr>
              <w:pStyle w:val="Tabletext"/>
            </w:pPr>
            <w:r w:rsidRPr="006E709F">
              <w:t>7</w:t>
            </w:r>
          </w:p>
        </w:tc>
        <w:tc>
          <w:tcPr>
            <w:tcW w:w="3039" w:type="pct"/>
            <w:tcBorders>
              <w:bottom w:val="single" w:sz="4" w:space="0" w:color="auto"/>
            </w:tcBorders>
            <w:shd w:val="clear" w:color="auto" w:fill="auto"/>
          </w:tcPr>
          <w:p w:rsidR="002A22A4" w:rsidRPr="006E709F" w:rsidRDefault="002A22A4" w:rsidP="007678F7">
            <w:pPr>
              <w:pStyle w:val="Tabletext"/>
            </w:pPr>
            <w:r w:rsidRPr="006E709F">
              <w:t>Fee for supply by a responsible entity of a copy of the constitution of a registered scheme under subsection</w:t>
            </w:r>
            <w:r w:rsidR="00DA13DE" w:rsidRPr="006E709F">
              <w:t> </w:t>
            </w:r>
            <w:r w:rsidRPr="006E709F">
              <w:t>601GC(4)</w:t>
            </w:r>
          </w:p>
        </w:tc>
        <w:tc>
          <w:tcPr>
            <w:tcW w:w="1152" w:type="pct"/>
            <w:tcBorders>
              <w:bottom w:val="single" w:sz="4" w:space="0" w:color="auto"/>
            </w:tcBorders>
            <w:shd w:val="clear" w:color="auto" w:fill="auto"/>
          </w:tcPr>
          <w:p w:rsidR="002A22A4" w:rsidRPr="006E709F" w:rsidRDefault="002A22A4" w:rsidP="00A801D0">
            <w:pPr>
              <w:pStyle w:val="Tabletext"/>
            </w:pPr>
            <w:r w:rsidRPr="006E709F">
              <w:t>10.00</w:t>
            </w:r>
          </w:p>
        </w:tc>
      </w:tr>
      <w:tr w:rsidR="00875880" w:rsidRPr="006E709F" w:rsidTr="00E118FA">
        <w:tc>
          <w:tcPr>
            <w:tcW w:w="809" w:type="pct"/>
            <w:tcBorders>
              <w:bottom w:val="single" w:sz="4" w:space="0" w:color="auto"/>
            </w:tcBorders>
            <w:shd w:val="clear" w:color="auto" w:fill="auto"/>
          </w:tcPr>
          <w:p w:rsidR="00875880" w:rsidRPr="006E709F" w:rsidRDefault="00875880" w:rsidP="00A801D0">
            <w:pPr>
              <w:pStyle w:val="Tabletext"/>
            </w:pPr>
            <w:r w:rsidRPr="006E709F">
              <w:t>7A</w:t>
            </w:r>
          </w:p>
        </w:tc>
        <w:tc>
          <w:tcPr>
            <w:tcW w:w="3039" w:type="pct"/>
            <w:tcBorders>
              <w:bottom w:val="single" w:sz="4" w:space="0" w:color="auto"/>
            </w:tcBorders>
            <w:shd w:val="clear" w:color="auto" w:fill="auto"/>
          </w:tcPr>
          <w:p w:rsidR="00875880" w:rsidRPr="006E709F" w:rsidRDefault="00875880" w:rsidP="007678F7">
            <w:pPr>
              <w:pStyle w:val="Tabletext"/>
            </w:pPr>
            <w:r w:rsidRPr="006E709F">
              <w:t>Costs of the operator in providing a copy of the consolidated constitution of a notified foreign passport fund under section</w:t>
            </w:r>
            <w:r w:rsidR="00DA13DE" w:rsidRPr="006E709F">
              <w:t> </w:t>
            </w:r>
            <w:r w:rsidRPr="006E709F">
              <w:t>1213J</w:t>
            </w:r>
          </w:p>
        </w:tc>
        <w:tc>
          <w:tcPr>
            <w:tcW w:w="1152" w:type="pct"/>
            <w:tcBorders>
              <w:bottom w:val="single" w:sz="4" w:space="0" w:color="auto"/>
            </w:tcBorders>
            <w:shd w:val="clear" w:color="auto" w:fill="auto"/>
          </w:tcPr>
          <w:p w:rsidR="00875880" w:rsidRPr="006E709F" w:rsidRDefault="00875880" w:rsidP="00A801D0">
            <w:pPr>
              <w:pStyle w:val="Tabletext"/>
            </w:pPr>
            <w:r w:rsidRPr="006E709F">
              <w:t>10.00</w:t>
            </w:r>
          </w:p>
        </w:tc>
      </w:tr>
      <w:tr w:rsidR="00875880" w:rsidRPr="006E709F" w:rsidTr="00E118FA">
        <w:tc>
          <w:tcPr>
            <w:tcW w:w="809" w:type="pct"/>
            <w:tcBorders>
              <w:bottom w:val="nil"/>
            </w:tcBorders>
            <w:shd w:val="clear" w:color="auto" w:fill="auto"/>
          </w:tcPr>
          <w:p w:rsidR="00875880" w:rsidRPr="006E709F" w:rsidRDefault="00875880" w:rsidP="00A801D0">
            <w:pPr>
              <w:pStyle w:val="Tabletext"/>
            </w:pPr>
            <w:r w:rsidRPr="006E709F">
              <w:t>7B</w:t>
            </w:r>
          </w:p>
        </w:tc>
        <w:tc>
          <w:tcPr>
            <w:tcW w:w="3039" w:type="pct"/>
            <w:tcBorders>
              <w:bottom w:val="nil"/>
            </w:tcBorders>
            <w:shd w:val="clear" w:color="auto" w:fill="auto"/>
          </w:tcPr>
          <w:p w:rsidR="00875880" w:rsidRPr="006E709F" w:rsidRDefault="00875880" w:rsidP="00875880">
            <w:pPr>
              <w:pStyle w:val="Tabletext"/>
            </w:pPr>
            <w:r w:rsidRPr="006E709F">
              <w:t>Costs of the operator in providing a copy of the register of members of a notified foreign passport fund under section</w:t>
            </w:r>
            <w:r w:rsidR="00DA13DE" w:rsidRPr="006E709F">
              <w:t> </w:t>
            </w:r>
            <w:r w:rsidRPr="006E709F">
              <w:t>1213K</w:t>
            </w:r>
          </w:p>
          <w:p w:rsidR="00875880" w:rsidRPr="006E709F" w:rsidRDefault="00875880" w:rsidP="007678F7">
            <w:pPr>
              <w:pStyle w:val="Tabletext"/>
            </w:pPr>
            <w:r w:rsidRPr="006E709F">
              <w:t>In addition, if information is provided about 5,000 or more members:</w:t>
            </w:r>
          </w:p>
        </w:tc>
        <w:tc>
          <w:tcPr>
            <w:tcW w:w="1152" w:type="pct"/>
            <w:tcBorders>
              <w:bottom w:val="nil"/>
            </w:tcBorders>
            <w:shd w:val="clear" w:color="auto" w:fill="auto"/>
          </w:tcPr>
          <w:p w:rsidR="00875880" w:rsidRPr="006E709F" w:rsidRDefault="00875880" w:rsidP="00A801D0">
            <w:pPr>
              <w:pStyle w:val="Tabletext"/>
            </w:pPr>
            <w:r w:rsidRPr="006E709F">
              <w:t>250.00</w:t>
            </w:r>
          </w:p>
        </w:tc>
      </w:tr>
      <w:tr w:rsidR="00875880" w:rsidRPr="006E709F" w:rsidTr="00E118FA">
        <w:tc>
          <w:tcPr>
            <w:tcW w:w="809" w:type="pct"/>
            <w:tcBorders>
              <w:top w:val="nil"/>
              <w:bottom w:val="nil"/>
            </w:tcBorders>
            <w:shd w:val="clear" w:color="auto" w:fill="auto"/>
          </w:tcPr>
          <w:p w:rsidR="00875880" w:rsidRPr="006E709F" w:rsidRDefault="00875880" w:rsidP="00A801D0">
            <w:pPr>
              <w:pStyle w:val="Tabletext"/>
            </w:pPr>
          </w:p>
        </w:tc>
        <w:tc>
          <w:tcPr>
            <w:tcW w:w="3039" w:type="pct"/>
            <w:tcBorders>
              <w:top w:val="nil"/>
              <w:bottom w:val="nil"/>
            </w:tcBorders>
            <w:shd w:val="clear" w:color="auto" w:fill="auto"/>
          </w:tcPr>
          <w:p w:rsidR="00875880" w:rsidRPr="006E709F" w:rsidRDefault="00875880" w:rsidP="000D3A49">
            <w:pPr>
              <w:pStyle w:val="Tablea"/>
            </w:pPr>
            <w:r w:rsidRPr="006E709F">
              <w:t>(a) for the 5,000th member and for each additional member up to and including the 19,999th member</w:t>
            </w:r>
          </w:p>
        </w:tc>
        <w:tc>
          <w:tcPr>
            <w:tcW w:w="1152" w:type="pct"/>
            <w:tcBorders>
              <w:top w:val="nil"/>
              <w:bottom w:val="nil"/>
            </w:tcBorders>
            <w:shd w:val="clear" w:color="auto" w:fill="auto"/>
          </w:tcPr>
          <w:p w:rsidR="00875880" w:rsidRPr="006E709F" w:rsidRDefault="00875880" w:rsidP="00A801D0">
            <w:pPr>
              <w:pStyle w:val="Tabletext"/>
            </w:pPr>
            <w:r w:rsidRPr="006E709F">
              <w:t>0.05</w:t>
            </w:r>
          </w:p>
        </w:tc>
      </w:tr>
      <w:tr w:rsidR="00875880" w:rsidRPr="006E709F" w:rsidTr="00E118FA">
        <w:tc>
          <w:tcPr>
            <w:tcW w:w="809" w:type="pct"/>
            <w:tcBorders>
              <w:top w:val="nil"/>
              <w:bottom w:val="single" w:sz="4" w:space="0" w:color="auto"/>
            </w:tcBorders>
            <w:shd w:val="clear" w:color="auto" w:fill="auto"/>
          </w:tcPr>
          <w:p w:rsidR="00875880" w:rsidRPr="006E709F" w:rsidRDefault="00875880" w:rsidP="00A801D0">
            <w:pPr>
              <w:pStyle w:val="Tabletext"/>
            </w:pPr>
          </w:p>
        </w:tc>
        <w:tc>
          <w:tcPr>
            <w:tcW w:w="3039" w:type="pct"/>
            <w:tcBorders>
              <w:top w:val="nil"/>
              <w:bottom w:val="single" w:sz="4" w:space="0" w:color="auto"/>
            </w:tcBorders>
            <w:shd w:val="clear" w:color="auto" w:fill="auto"/>
          </w:tcPr>
          <w:p w:rsidR="00875880" w:rsidRPr="006E709F" w:rsidRDefault="00875880" w:rsidP="000D3A49">
            <w:pPr>
              <w:pStyle w:val="Tablea"/>
            </w:pPr>
            <w:r w:rsidRPr="006E709F">
              <w:t>(b) for the 20,000th member and for each additional member</w:t>
            </w:r>
          </w:p>
        </w:tc>
        <w:tc>
          <w:tcPr>
            <w:tcW w:w="1152" w:type="pct"/>
            <w:tcBorders>
              <w:top w:val="nil"/>
              <w:bottom w:val="single" w:sz="4" w:space="0" w:color="auto"/>
            </w:tcBorders>
            <w:shd w:val="clear" w:color="auto" w:fill="auto"/>
          </w:tcPr>
          <w:p w:rsidR="00875880" w:rsidRPr="006E709F" w:rsidRDefault="00875880" w:rsidP="00A801D0">
            <w:pPr>
              <w:pStyle w:val="Tabletext"/>
            </w:pPr>
            <w:r w:rsidRPr="006E709F">
              <w:t>0.01</w:t>
            </w:r>
          </w:p>
        </w:tc>
      </w:tr>
      <w:tr w:rsidR="00875880" w:rsidRPr="006E709F" w:rsidTr="00E118FA">
        <w:tc>
          <w:tcPr>
            <w:tcW w:w="809" w:type="pct"/>
            <w:tcBorders>
              <w:bottom w:val="nil"/>
              <w:right w:val="nil"/>
            </w:tcBorders>
            <w:shd w:val="clear" w:color="auto" w:fill="auto"/>
          </w:tcPr>
          <w:p w:rsidR="00875880" w:rsidRPr="006E709F" w:rsidRDefault="00875880" w:rsidP="00C328E8">
            <w:pPr>
              <w:pStyle w:val="Tabletext"/>
            </w:pPr>
            <w:r w:rsidRPr="006E709F">
              <w:t>8</w:t>
            </w:r>
          </w:p>
        </w:tc>
        <w:tc>
          <w:tcPr>
            <w:tcW w:w="3039" w:type="pct"/>
            <w:tcBorders>
              <w:left w:val="nil"/>
              <w:bottom w:val="nil"/>
              <w:right w:val="nil"/>
            </w:tcBorders>
            <w:shd w:val="clear" w:color="auto" w:fill="auto"/>
          </w:tcPr>
          <w:p w:rsidR="00875880" w:rsidRPr="006E709F" w:rsidRDefault="00875880" w:rsidP="009365FD">
            <w:pPr>
              <w:pStyle w:val="Tabletext"/>
              <w:keepNext/>
              <w:keepLines/>
            </w:pPr>
            <w:r w:rsidRPr="006E709F">
              <w:t>Inspection of register for subsection</w:t>
            </w:r>
            <w:r w:rsidR="00DA13DE" w:rsidRPr="006E709F">
              <w:t> </w:t>
            </w:r>
            <w:r w:rsidRPr="006E709F">
              <w:t>919E(3):</w:t>
            </w:r>
          </w:p>
        </w:tc>
        <w:tc>
          <w:tcPr>
            <w:tcW w:w="1152" w:type="pct"/>
            <w:tcBorders>
              <w:left w:val="nil"/>
              <w:bottom w:val="nil"/>
            </w:tcBorders>
            <w:shd w:val="clear" w:color="auto" w:fill="auto"/>
          </w:tcPr>
          <w:p w:rsidR="00875880" w:rsidRPr="006E709F" w:rsidRDefault="00875880" w:rsidP="009365FD">
            <w:pPr>
              <w:pStyle w:val="Tabletext"/>
              <w:keepNext/>
              <w:keepLines/>
            </w:pPr>
          </w:p>
        </w:tc>
      </w:tr>
      <w:tr w:rsidR="00875880" w:rsidRPr="006E709F" w:rsidTr="00E118FA">
        <w:tc>
          <w:tcPr>
            <w:tcW w:w="809" w:type="pct"/>
            <w:tcBorders>
              <w:top w:val="nil"/>
              <w:bottom w:val="nil"/>
              <w:right w:val="nil"/>
            </w:tcBorders>
            <w:shd w:val="clear" w:color="auto" w:fill="auto"/>
          </w:tcPr>
          <w:p w:rsidR="00875880" w:rsidRPr="006E709F" w:rsidRDefault="00875880" w:rsidP="00C328E8">
            <w:pPr>
              <w:pStyle w:val="Tabletext"/>
            </w:pPr>
          </w:p>
        </w:tc>
        <w:tc>
          <w:tcPr>
            <w:tcW w:w="3039" w:type="pct"/>
            <w:tcBorders>
              <w:top w:val="nil"/>
              <w:left w:val="nil"/>
              <w:bottom w:val="nil"/>
              <w:right w:val="nil"/>
            </w:tcBorders>
            <w:shd w:val="clear" w:color="auto" w:fill="auto"/>
          </w:tcPr>
          <w:p w:rsidR="00875880" w:rsidRPr="006E709F" w:rsidRDefault="00875880" w:rsidP="00A801D0">
            <w:pPr>
              <w:pStyle w:val="Tablea"/>
            </w:pPr>
            <w:r w:rsidRPr="006E709F">
              <w:t>(a) if the register is not kept on a computer—for each inspection</w:t>
            </w:r>
          </w:p>
        </w:tc>
        <w:tc>
          <w:tcPr>
            <w:tcW w:w="1152" w:type="pct"/>
            <w:tcBorders>
              <w:top w:val="nil"/>
              <w:left w:val="nil"/>
              <w:bottom w:val="nil"/>
            </w:tcBorders>
            <w:shd w:val="clear" w:color="auto" w:fill="auto"/>
          </w:tcPr>
          <w:p w:rsidR="00875880" w:rsidRPr="006E709F" w:rsidRDefault="00875880" w:rsidP="00C328E8">
            <w:pPr>
              <w:pStyle w:val="Tabletext"/>
              <w:keepNext/>
              <w:keepLines/>
            </w:pPr>
            <w:r w:rsidRPr="006E709F">
              <w:t>12.50</w:t>
            </w:r>
          </w:p>
        </w:tc>
      </w:tr>
      <w:tr w:rsidR="00875880" w:rsidRPr="006E709F" w:rsidTr="00E118FA">
        <w:trPr>
          <w:cantSplit/>
        </w:trPr>
        <w:tc>
          <w:tcPr>
            <w:tcW w:w="809" w:type="pct"/>
            <w:tcBorders>
              <w:top w:val="nil"/>
              <w:bottom w:val="nil"/>
              <w:right w:val="nil"/>
            </w:tcBorders>
            <w:shd w:val="clear" w:color="auto" w:fill="auto"/>
          </w:tcPr>
          <w:p w:rsidR="00875880" w:rsidRPr="006E709F" w:rsidRDefault="00875880" w:rsidP="00A801D0">
            <w:pPr>
              <w:pStyle w:val="Tabletext"/>
            </w:pPr>
          </w:p>
        </w:tc>
        <w:tc>
          <w:tcPr>
            <w:tcW w:w="3039" w:type="pct"/>
            <w:tcBorders>
              <w:top w:val="nil"/>
              <w:left w:val="nil"/>
              <w:bottom w:val="nil"/>
              <w:right w:val="nil"/>
            </w:tcBorders>
            <w:shd w:val="clear" w:color="auto" w:fill="auto"/>
          </w:tcPr>
          <w:p w:rsidR="00875880" w:rsidRPr="006E709F" w:rsidRDefault="00875880" w:rsidP="00A801D0">
            <w:pPr>
              <w:pStyle w:val="Tablea"/>
            </w:pPr>
            <w:r w:rsidRPr="006E709F">
              <w:t>(b) if the register is kept on a computer—for each inspection</w:t>
            </w:r>
          </w:p>
        </w:tc>
        <w:tc>
          <w:tcPr>
            <w:tcW w:w="1152" w:type="pct"/>
            <w:tcBorders>
              <w:top w:val="nil"/>
              <w:left w:val="nil"/>
              <w:bottom w:val="nil"/>
            </w:tcBorders>
            <w:shd w:val="clear" w:color="auto" w:fill="auto"/>
          </w:tcPr>
          <w:p w:rsidR="00875880" w:rsidRPr="006E709F" w:rsidRDefault="00875880" w:rsidP="00A801D0">
            <w:pPr>
              <w:pStyle w:val="Tabletext"/>
            </w:pPr>
            <w:r w:rsidRPr="006E709F">
              <w:t>a reasonable amount that does not exceed the marginal cost to the declared professional body of providing an inspection</w:t>
            </w:r>
          </w:p>
        </w:tc>
      </w:tr>
      <w:tr w:rsidR="00875880" w:rsidRPr="006E709F" w:rsidTr="00E118FA">
        <w:tc>
          <w:tcPr>
            <w:tcW w:w="809" w:type="pct"/>
            <w:tcBorders>
              <w:top w:val="nil"/>
              <w:bottom w:val="single" w:sz="4" w:space="0" w:color="auto"/>
              <w:right w:val="nil"/>
            </w:tcBorders>
            <w:shd w:val="clear" w:color="auto" w:fill="auto"/>
          </w:tcPr>
          <w:p w:rsidR="00875880" w:rsidRPr="006E709F" w:rsidRDefault="00875880" w:rsidP="00A801D0">
            <w:pPr>
              <w:pStyle w:val="Tabletext"/>
            </w:pPr>
          </w:p>
        </w:tc>
        <w:tc>
          <w:tcPr>
            <w:tcW w:w="3039" w:type="pct"/>
            <w:tcBorders>
              <w:top w:val="nil"/>
              <w:left w:val="nil"/>
              <w:bottom w:val="single" w:sz="4" w:space="0" w:color="auto"/>
              <w:right w:val="nil"/>
            </w:tcBorders>
            <w:shd w:val="clear" w:color="auto" w:fill="auto"/>
          </w:tcPr>
          <w:p w:rsidR="00875880" w:rsidRPr="006E709F" w:rsidRDefault="00875880" w:rsidP="00A801D0">
            <w:pPr>
              <w:pStyle w:val="Tablea"/>
            </w:pPr>
            <w:r w:rsidRPr="006E709F">
              <w:t xml:space="preserve">(c) despite </w:t>
            </w:r>
            <w:r w:rsidR="00DA13DE" w:rsidRPr="006E709F">
              <w:t>paragraphs (</w:t>
            </w:r>
            <w:r w:rsidRPr="006E709F">
              <w:t>a) and (b), if the inspection is by a member of the declared professional body</w:t>
            </w:r>
          </w:p>
        </w:tc>
        <w:tc>
          <w:tcPr>
            <w:tcW w:w="1152" w:type="pct"/>
            <w:tcBorders>
              <w:top w:val="nil"/>
              <w:left w:val="nil"/>
              <w:bottom w:val="single" w:sz="4" w:space="0" w:color="auto"/>
            </w:tcBorders>
            <w:shd w:val="clear" w:color="auto" w:fill="auto"/>
          </w:tcPr>
          <w:p w:rsidR="00875880" w:rsidRPr="006E709F" w:rsidRDefault="00875880" w:rsidP="00A801D0">
            <w:pPr>
              <w:pStyle w:val="Tabletext"/>
            </w:pPr>
            <w:r w:rsidRPr="006E709F">
              <w:t>No fee</w:t>
            </w:r>
          </w:p>
        </w:tc>
      </w:tr>
      <w:tr w:rsidR="00875880" w:rsidRPr="006E709F" w:rsidTr="00E118FA">
        <w:tc>
          <w:tcPr>
            <w:tcW w:w="809" w:type="pct"/>
            <w:tcBorders>
              <w:top w:val="single" w:sz="4" w:space="0" w:color="auto"/>
              <w:bottom w:val="nil"/>
              <w:right w:val="nil"/>
            </w:tcBorders>
            <w:shd w:val="clear" w:color="auto" w:fill="auto"/>
          </w:tcPr>
          <w:p w:rsidR="00875880" w:rsidRPr="006E709F" w:rsidRDefault="00875880" w:rsidP="00A801D0">
            <w:pPr>
              <w:pStyle w:val="Tabletext"/>
            </w:pPr>
            <w:r w:rsidRPr="006E709F">
              <w:t>9</w:t>
            </w:r>
          </w:p>
        </w:tc>
        <w:tc>
          <w:tcPr>
            <w:tcW w:w="3039" w:type="pct"/>
            <w:tcBorders>
              <w:top w:val="single" w:sz="4" w:space="0" w:color="auto"/>
              <w:left w:val="nil"/>
              <w:bottom w:val="nil"/>
              <w:right w:val="nil"/>
            </w:tcBorders>
            <w:shd w:val="clear" w:color="auto" w:fill="auto"/>
          </w:tcPr>
          <w:p w:rsidR="00875880" w:rsidRPr="006E709F" w:rsidRDefault="00875880" w:rsidP="007678F7">
            <w:pPr>
              <w:pStyle w:val="Tabletext"/>
            </w:pPr>
            <w:r w:rsidRPr="006E709F">
              <w:t>Making copies of, or taking extracts from, a register for subsection</w:t>
            </w:r>
            <w:r w:rsidR="00DA13DE" w:rsidRPr="006E709F">
              <w:t> </w:t>
            </w:r>
            <w:r w:rsidRPr="006E709F">
              <w:t xml:space="preserve">919E(3): </w:t>
            </w:r>
          </w:p>
        </w:tc>
        <w:tc>
          <w:tcPr>
            <w:tcW w:w="1152" w:type="pct"/>
            <w:tcBorders>
              <w:top w:val="single" w:sz="4" w:space="0" w:color="auto"/>
              <w:left w:val="nil"/>
              <w:bottom w:val="nil"/>
            </w:tcBorders>
            <w:shd w:val="clear" w:color="auto" w:fill="auto"/>
          </w:tcPr>
          <w:p w:rsidR="00875880" w:rsidRPr="006E709F" w:rsidRDefault="00875880" w:rsidP="00A801D0">
            <w:pPr>
              <w:pStyle w:val="Tabletext"/>
            </w:pPr>
          </w:p>
        </w:tc>
      </w:tr>
      <w:tr w:rsidR="00875880" w:rsidRPr="006E709F" w:rsidTr="00E118FA">
        <w:tc>
          <w:tcPr>
            <w:tcW w:w="809" w:type="pct"/>
            <w:tcBorders>
              <w:top w:val="nil"/>
              <w:bottom w:val="nil"/>
              <w:right w:val="nil"/>
            </w:tcBorders>
            <w:shd w:val="clear" w:color="auto" w:fill="auto"/>
          </w:tcPr>
          <w:p w:rsidR="00875880" w:rsidRPr="006E709F" w:rsidRDefault="00875880" w:rsidP="00A801D0">
            <w:pPr>
              <w:pStyle w:val="Tabletext"/>
            </w:pPr>
          </w:p>
        </w:tc>
        <w:tc>
          <w:tcPr>
            <w:tcW w:w="3039" w:type="pct"/>
            <w:tcBorders>
              <w:top w:val="nil"/>
              <w:left w:val="nil"/>
              <w:bottom w:val="nil"/>
              <w:right w:val="nil"/>
            </w:tcBorders>
            <w:shd w:val="clear" w:color="auto" w:fill="auto"/>
          </w:tcPr>
          <w:p w:rsidR="00875880" w:rsidRPr="006E709F" w:rsidRDefault="00875880" w:rsidP="00A801D0">
            <w:pPr>
              <w:pStyle w:val="Tablea"/>
            </w:pPr>
            <w:r w:rsidRPr="006E709F">
              <w:t>(a) if the register is not kept on a computer—for each page, or part of a page, not exceeding international sheet size A4 of the copy supplied or, at the option of the supplier, for each 100 words or part of 100 words</w:t>
            </w:r>
          </w:p>
        </w:tc>
        <w:tc>
          <w:tcPr>
            <w:tcW w:w="1152" w:type="pct"/>
            <w:tcBorders>
              <w:top w:val="nil"/>
              <w:left w:val="nil"/>
              <w:bottom w:val="nil"/>
            </w:tcBorders>
            <w:shd w:val="clear" w:color="auto" w:fill="auto"/>
          </w:tcPr>
          <w:p w:rsidR="00875880" w:rsidRPr="006E709F" w:rsidRDefault="00875880" w:rsidP="00A801D0">
            <w:pPr>
              <w:pStyle w:val="Tabletext"/>
            </w:pPr>
            <w:r w:rsidRPr="006E709F">
              <w:t>1.25</w:t>
            </w:r>
          </w:p>
        </w:tc>
      </w:tr>
      <w:tr w:rsidR="00875880" w:rsidRPr="006E709F" w:rsidTr="00E118FA">
        <w:tc>
          <w:tcPr>
            <w:tcW w:w="809" w:type="pct"/>
            <w:tcBorders>
              <w:top w:val="nil"/>
              <w:bottom w:val="single" w:sz="12" w:space="0" w:color="auto"/>
              <w:right w:val="nil"/>
            </w:tcBorders>
            <w:shd w:val="clear" w:color="auto" w:fill="auto"/>
          </w:tcPr>
          <w:p w:rsidR="00875880" w:rsidRPr="006E709F" w:rsidRDefault="00875880" w:rsidP="00A801D0">
            <w:pPr>
              <w:pStyle w:val="Tabletext"/>
            </w:pPr>
          </w:p>
        </w:tc>
        <w:tc>
          <w:tcPr>
            <w:tcW w:w="3039" w:type="pct"/>
            <w:tcBorders>
              <w:top w:val="nil"/>
              <w:left w:val="nil"/>
              <w:bottom w:val="single" w:sz="12" w:space="0" w:color="auto"/>
              <w:right w:val="nil"/>
            </w:tcBorders>
            <w:shd w:val="clear" w:color="auto" w:fill="auto"/>
          </w:tcPr>
          <w:p w:rsidR="00875880" w:rsidRPr="006E709F" w:rsidRDefault="00875880" w:rsidP="00A801D0">
            <w:pPr>
              <w:pStyle w:val="Tablea"/>
            </w:pPr>
            <w:r w:rsidRPr="006E709F">
              <w:t>(b) if a register is kept on a computer—for each copy or extract</w:t>
            </w:r>
          </w:p>
        </w:tc>
        <w:tc>
          <w:tcPr>
            <w:tcW w:w="1152" w:type="pct"/>
            <w:tcBorders>
              <w:top w:val="nil"/>
              <w:left w:val="nil"/>
              <w:bottom w:val="single" w:sz="12" w:space="0" w:color="auto"/>
            </w:tcBorders>
            <w:shd w:val="clear" w:color="auto" w:fill="auto"/>
          </w:tcPr>
          <w:p w:rsidR="00875880" w:rsidRPr="006E709F" w:rsidRDefault="00875880" w:rsidP="00A801D0">
            <w:pPr>
              <w:pStyle w:val="Tabletext"/>
            </w:pPr>
            <w:r w:rsidRPr="006E709F">
              <w:t>a reasonable amount that does not exceed the marginal cost to the declared professional body of providing a copy or extract</w:t>
            </w:r>
          </w:p>
        </w:tc>
      </w:tr>
    </w:tbl>
    <w:p w:rsidR="00583C00" w:rsidRPr="006E709F" w:rsidRDefault="00583C00" w:rsidP="00871026">
      <w:pPr>
        <w:widowControl w:val="0"/>
        <w:tabs>
          <w:tab w:val="right" w:pos="7097"/>
          <w:tab w:val="left" w:pos="7230"/>
          <w:tab w:val="left" w:pos="7655"/>
        </w:tabs>
        <w:ind w:right="1792"/>
        <w:sectPr w:rsidR="00583C00" w:rsidRPr="006E709F" w:rsidSect="0052661F">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20"/>
          <w:docGrid w:linePitch="299"/>
        </w:sectPr>
      </w:pPr>
    </w:p>
    <w:p w:rsidR="002A22A4" w:rsidRPr="006E709F" w:rsidRDefault="00A801D0" w:rsidP="00E376FA">
      <w:pPr>
        <w:pStyle w:val="ActHead1"/>
        <w:pageBreakBefore/>
      </w:pPr>
      <w:bookmarkStart w:id="3" w:name="_Toc160609696"/>
      <w:r w:rsidRPr="000C4237">
        <w:rPr>
          <w:rStyle w:val="CharChapNo"/>
        </w:rPr>
        <w:t>Schedule</w:t>
      </w:r>
      <w:r w:rsidR="00DA13DE" w:rsidRPr="000C4237">
        <w:rPr>
          <w:rStyle w:val="CharChapNo"/>
        </w:rPr>
        <w:t> </w:t>
      </w:r>
      <w:r w:rsidR="002A22A4" w:rsidRPr="000C4237">
        <w:rPr>
          <w:rStyle w:val="CharChapNo"/>
        </w:rPr>
        <w:t>5C</w:t>
      </w:r>
      <w:r w:rsidRPr="006E709F">
        <w:t>—</w:t>
      </w:r>
      <w:r w:rsidR="002A22A4" w:rsidRPr="000C4237">
        <w:rPr>
          <w:rStyle w:val="CharChapText"/>
        </w:rPr>
        <w:t>Conduct of auditor</w:t>
      </w:r>
      <w:r w:rsidRPr="000C4237">
        <w:rPr>
          <w:rStyle w:val="CharChapText"/>
        </w:rPr>
        <w:t>—</w:t>
      </w:r>
      <w:r w:rsidR="002A22A4" w:rsidRPr="000C4237">
        <w:rPr>
          <w:rStyle w:val="CharChapText"/>
        </w:rPr>
        <w:t>relevant relationships</w:t>
      </w:r>
      <w:bookmarkEnd w:id="3"/>
    </w:p>
    <w:p w:rsidR="002A22A4" w:rsidRPr="006E709F" w:rsidRDefault="002A22A4" w:rsidP="00A801D0">
      <w:pPr>
        <w:pStyle w:val="notemargin"/>
      </w:pPr>
      <w:r w:rsidRPr="006E709F">
        <w:t>(regulation</w:t>
      </w:r>
      <w:r w:rsidR="00DA13DE" w:rsidRPr="006E709F">
        <w:t> </w:t>
      </w:r>
      <w:r w:rsidRPr="006E709F">
        <w:t>2M.6.05)</w:t>
      </w:r>
    </w:p>
    <w:p w:rsidR="002A22A4" w:rsidRPr="006E709F" w:rsidRDefault="00A801D0" w:rsidP="002A22A4">
      <w:pPr>
        <w:pStyle w:val="Header"/>
      </w:pPr>
      <w:r w:rsidRPr="000C4237">
        <w:rPr>
          <w:rStyle w:val="CharPartNo"/>
        </w:rPr>
        <w:t xml:space="preserve"> </w:t>
      </w:r>
      <w:r w:rsidRPr="000C4237">
        <w:rPr>
          <w:rStyle w:val="CharPartText"/>
        </w:rPr>
        <w:t xml:space="preserve"> </w:t>
      </w:r>
    </w:p>
    <w:p w:rsidR="002A22A4" w:rsidRPr="006E709F" w:rsidRDefault="00C44525" w:rsidP="00A801D0">
      <w:pPr>
        <w:pStyle w:val="ActHead5"/>
      </w:pPr>
      <w:bookmarkStart w:id="4" w:name="_Toc160609697"/>
      <w:r w:rsidRPr="000C4237">
        <w:rPr>
          <w:rStyle w:val="CharSectno"/>
        </w:rPr>
        <w:t>1</w:t>
      </w:r>
      <w:r w:rsidRPr="006E709F">
        <w:t xml:space="preserve">  </w:t>
      </w:r>
      <w:r w:rsidR="002A22A4" w:rsidRPr="006E709F">
        <w:t>Money owed</w:t>
      </w:r>
      <w:r w:rsidR="00A801D0" w:rsidRPr="006E709F">
        <w:t>—</w:t>
      </w:r>
      <w:r w:rsidR="002A22A4" w:rsidRPr="006E709F">
        <w:t>debt</w:t>
      </w:r>
      <w:bookmarkEnd w:id="4"/>
    </w:p>
    <w:p w:rsidR="002A22A4" w:rsidRPr="006E709F" w:rsidRDefault="002A22A4" w:rsidP="00A801D0">
      <w:pPr>
        <w:pStyle w:val="subsection"/>
      </w:pPr>
      <w:r w:rsidRPr="006E709F">
        <w:tab/>
        <w:t>(1)</w:t>
      </w:r>
      <w:r w:rsidRPr="006E709F">
        <w:tab/>
      </w:r>
      <w:r w:rsidR="00DA13DE" w:rsidRPr="006E709F">
        <w:t>Subclause (</w:t>
      </w:r>
      <w:r w:rsidRPr="006E709F">
        <w:t>2) applies in relation to audit activity in relation to a financial year that ends on or after the commencement of this Schedule.</w:t>
      </w:r>
    </w:p>
    <w:p w:rsidR="002A22A4" w:rsidRPr="006E709F" w:rsidRDefault="002A22A4" w:rsidP="00A801D0">
      <w:pPr>
        <w:pStyle w:val="subsection"/>
      </w:pPr>
      <w:r w:rsidRPr="006E709F">
        <w:tab/>
        <w:t>(2)</w:t>
      </w:r>
      <w:r w:rsidRPr="006E709F">
        <w:tab/>
        <w:t xml:space="preserve">The operation of </w:t>
      </w:r>
      <w:r w:rsidR="00A801D0" w:rsidRPr="006E709F">
        <w:t>Chapter</w:t>
      </w:r>
      <w:r w:rsidR="00DA13DE" w:rsidRPr="006E709F">
        <w:t> </w:t>
      </w:r>
      <w:r w:rsidRPr="006E709F">
        <w:t>2M of the Act is modified by omitting subsection</w:t>
      </w:r>
      <w:r w:rsidR="00DA13DE" w:rsidRPr="006E709F">
        <w:t> </w:t>
      </w:r>
      <w:r w:rsidRPr="006E709F">
        <w:t>324CH(5) of the Act (including the subheading) and substituting the following subheading and subsection:</w:t>
      </w:r>
    </w:p>
    <w:p w:rsidR="002A22A4" w:rsidRPr="006E709F" w:rsidRDefault="002A22A4" w:rsidP="002A22A4">
      <w:pPr>
        <w:pStyle w:val="SubsectionHead"/>
      </w:pPr>
      <w:r w:rsidRPr="006E709F">
        <w:t>Ordinary course of business exception</w:t>
      </w:r>
    </w:p>
    <w:p w:rsidR="002A22A4" w:rsidRPr="006E709F" w:rsidRDefault="002A22A4" w:rsidP="002A22A4">
      <w:pPr>
        <w:pStyle w:val="subsection"/>
      </w:pPr>
      <w:r w:rsidRPr="006E709F">
        <w:tab/>
        <w:t>(5)</w:t>
      </w:r>
      <w:r w:rsidRPr="006E709F">
        <w:tab/>
        <w:t>For the purposes of item</w:t>
      </w:r>
      <w:r w:rsidR="00DA13DE" w:rsidRPr="006E709F">
        <w:t> </w:t>
      </w:r>
      <w:r w:rsidRPr="006E709F">
        <w:t xml:space="preserve">15 of the table in </w:t>
      </w:r>
      <w:r w:rsidR="00DA13DE" w:rsidRPr="006E709F">
        <w:t>subsection (</w:t>
      </w:r>
      <w:r w:rsidRPr="006E709F">
        <w:t>1):</w:t>
      </w:r>
    </w:p>
    <w:p w:rsidR="002A22A4" w:rsidRPr="006E709F" w:rsidRDefault="002A22A4" w:rsidP="002A22A4">
      <w:pPr>
        <w:pStyle w:val="paragraph"/>
      </w:pPr>
      <w:r w:rsidRPr="006E709F">
        <w:tab/>
        <w:t>(a)</w:t>
      </w:r>
      <w:r w:rsidRPr="006E709F">
        <w:tab/>
        <w:t>disregard a debt owed by an individual to a body corporate or entity if:</w:t>
      </w:r>
    </w:p>
    <w:p w:rsidR="002A22A4" w:rsidRPr="006E709F" w:rsidRDefault="002A22A4" w:rsidP="002A22A4">
      <w:pPr>
        <w:pStyle w:val="paragraphsub"/>
      </w:pPr>
      <w:r w:rsidRPr="006E709F">
        <w:tab/>
        <w:t>(i)</w:t>
      </w:r>
      <w:r w:rsidRPr="006E709F">
        <w:tab/>
        <w:t>the body corporate or entity is:</w:t>
      </w:r>
    </w:p>
    <w:p w:rsidR="002A22A4" w:rsidRPr="006E709F" w:rsidRDefault="002A22A4" w:rsidP="002A22A4">
      <w:pPr>
        <w:pStyle w:val="paragraphsub-sub"/>
      </w:pPr>
      <w:r w:rsidRPr="006E709F">
        <w:tab/>
        <w:t>(A)</w:t>
      </w:r>
      <w:r w:rsidRPr="006E709F">
        <w:tab/>
        <w:t>an Australian ADI; or</w:t>
      </w:r>
    </w:p>
    <w:p w:rsidR="002A22A4" w:rsidRPr="006E709F" w:rsidRDefault="002A22A4" w:rsidP="002A22A4">
      <w:pPr>
        <w:pStyle w:val="paragraphsub-sub"/>
      </w:pPr>
      <w:r w:rsidRPr="006E709F">
        <w:tab/>
        <w:t>(B)</w:t>
      </w:r>
      <w:r w:rsidRPr="006E709F">
        <w:tab/>
        <w:t xml:space="preserve">a body corporate registered under the </w:t>
      </w:r>
      <w:r w:rsidRPr="006E709F">
        <w:rPr>
          <w:i/>
        </w:rPr>
        <w:t>Life Insurance Act 1995</w:t>
      </w:r>
      <w:r w:rsidRPr="006E709F">
        <w:t>; and</w:t>
      </w:r>
    </w:p>
    <w:p w:rsidR="002A22A4" w:rsidRPr="006E709F" w:rsidRDefault="002A22A4" w:rsidP="002A22A4">
      <w:pPr>
        <w:pStyle w:val="paragraphsub"/>
      </w:pPr>
      <w:r w:rsidRPr="006E709F">
        <w:tab/>
        <w:t>(ii)</w:t>
      </w:r>
      <w:r w:rsidRPr="006E709F">
        <w:tab/>
        <w:t>the debt arose because of a loan that the body corporate or entity made to the person in the ordinary course of its ordinary business; and</w:t>
      </w:r>
    </w:p>
    <w:p w:rsidR="002A22A4" w:rsidRPr="006E709F" w:rsidRDefault="002A22A4" w:rsidP="002A22A4">
      <w:pPr>
        <w:pStyle w:val="paragraphsub"/>
      </w:pPr>
      <w:r w:rsidRPr="006E709F">
        <w:tab/>
        <w:t>(iii)</w:t>
      </w:r>
      <w:r w:rsidRPr="006E709F">
        <w:tab/>
        <w:t>the person used the amount of the loan to pay the whole or part of the purchase price of premises that the person uses as their principal place of residence; and</w:t>
      </w:r>
    </w:p>
    <w:p w:rsidR="002A22A4" w:rsidRPr="006E709F" w:rsidRDefault="002A22A4" w:rsidP="002A22A4">
      <w:pPr>
        <w:pStyle w:val="paragraph"/>
      </w:pPr>
      <w:r w:rsidRPr="006E709F">
        <w:tab/>
        <w:t>(b)</w:t>
      </w:r>
      <w:r w:rsidRPr="006E709F">
        <w:tab/>
        <w:t>disregard a debt owed by the person or firm to a body corporate or entity if:</w:t>
      </w:r>
    </w:p>
    <w:p w:rsidR="002A22A4" w:rsidRPr="006E709F" w:rsidRDefault="002A22A4" w:rsidP="002A22A4">
      <w:pPr>
        <w:pStyle w:val="paragraphsub"/>
      </w:pPr>
      <w:r w:rsidRPr="006E709F">
        <w:tab/>
        <w:t>(i)</w:t>
      </w:r>
      <w:r w:rsidRPr="006E709F">
        <w:tab/>
        <w:t>the debt is on normal terms and conditions, and arises from the acquisition of goods or services on normal trading terms from:</w:t>
      </w:r>
    </w:p>
    <w:p w:rsidR="002A22A4" w:rsidRPr="006E709F" w:rsidRDefault="002A22A4" w:rsidP="002A22A4">
      <w:pPr>
        <w:pStyle w:val="paragraphsub-sub"/>
      </w:pPr>
      <w:r w:rsidRPr="006E709F">
        <w:tab/>
        <w:t>(A)</w:t>
      </w:r>
      <w:r w:rsidRPr="006E709F">
        <w:tab/>
        <w:t>the audited body; or</w:t>
      </w:r>
    </w:p>
    <w:p w:rsidR="002A22A4" w:rsidRPr="006E709F" w:rsidRDefault="002A22A4" w:rsidP="002A22A4">
      <w:pPr>
        <w:pStyle w:val="paragraphsub-sub"/>
      </w:pPr>
      <w:r w:rsidRPr="006E709F">
        <w:tab/>
        <w:t>(B)</w:t>
      </w:r>
      <w:r w:rsidRPr="006E709F">
        <w:tab/>
        <w:t>an entity that the audited body controls; or</w:t>
      </w:r>
    </w:p>
    <w:p w:rsidR="002A22A4" w:rsidRPr="006E709F" w:rsidRDefault="002A22A4" w:rsidP="002A22A4">
      <w:pPr>
        <w:pStyle w:val="paragraphsub-sub"/>
      </w:pPr>
      <w:r w:rsidRPr="006E709F">
        <w:tab/>
        <w:t>(C)</w:t>
      </w:r>
      <w:r w:rsidRPr="006E709F">
        <w:tab/>
        <w:t>a related body corporate; and</w:t>
      </w:r>
    </w:p>
    <w:p w:rsidR="002A22A4" w:rsidRPr="006E709F" w:rsidRDefault="002A22A4" w:rsidP="002A22A4">
      <w:pPr>
        <w:pStyle w:val="paragraphsub"/>
      </w:pPr>
      <w:r w:rsidRPr="006E709F">
        <w:tab/>
        <w:t>(ii)</w:t>
      </w:r>
      <w:r w:rsidRPr="006E709F">
        <w:tab/>
        <w:t>the goods or services will be used by the person or firm:</w:t>
      </w:r>
    </w:p>
    <w:p w:rsidR="002A22A4" w:rsidRPr="006E709F" w:rsidRDefault="002A22A4" w:rsidP="002A22A4">
      <w:pPr>
        <w:pStyle w:val="paragraphsub-sub"/>
      </w:pPr>
      <w:r w:rsidRPr="006E709F">
        <w:tab/>
        <w:t>(A)</w:t>
      </w:r>
      <w:r w:rsidRPr="006E709F">
        <w:tab/>
        <w:t>for the personal use of the person or firm; or</w:t>
      </w:r>
    </w:p>
    <w:p w:rsidR="002A22A4" w:rsidRPr="006E709F" w:rsidRDefault="002A22A4" w:rsidP="002A22A4">
      <w:pPr>
        <w:pStyle w:val="paragraphsub-sub"/>
      </w:pPr>
      <w:r w:rsidRPr="006E709F">
        <w:tab/>
        <w:t>(B)</w:t>
      </w:r>
      <w:r w:rsidRPr="006E709F">
        <w:tab/>
        <w:t>in the ordinary course of business of the person or firm.</w:t>
      </w:r>
    </w:p>
    <w:p w:rsidR="002A22A4" w:rsidRPr="006E709F" w:rsidRDefault="00C44525" w:rsidP="00A801D0">
      <w:pPr>
        <w:pStyle w:val="ActHead5"/>
      </w:pPr>
      <w:bookmarkStart w:id="5" w:name="_Toc160609698"/>
      <w:r w:rsidRPr="000C4237">
        <w:rPr>
          <w:rStyle w:val="CharSectno"/>
        </w:rPr>
        <w:t>2</w:t>
      </w:r>
      <w:r w:rsidRPr="006E709F">
        <w:t xml:space="preserve">  </w:t>
      </w:r>
      <w:r w:rsidR="002A22A4" w:rsidRPr="006E709F">
        <w:t>Money owed</w:t>
      </w:r>
      <w:r w:rsidR="00A801D0" w:rsidRPr="006E709F">
        <w:t>—</w:t>
      </w:r>
      <w:r w:rsidR="002A22A4" w:rsidRPr="006E709F">
        <w:t>deposit account</w:t>
      </w:r>
      <w:bookmarkEnd w:id="5"/>
    </w:p>
    <w:p w:rsidR="002A22A4" w:rsidRPr="006E709F" w:rsidRDefault="002A22A4" w:rsidP="00A801D0">
      <w:pPr>
        <w:pStyle w:val="subsection"/>
      </w:pPr>
      <w:r w:rsidRPr="006E709F">
        <w:tab/>
        <w:t>(1)</w:t>
      </w:r>
      <w:r w:rsidRPr="006E709F">
        <w:tab/>
      </w:r>
      <w:r w:rsidR="00DA13DE" w:rsidRPr="006E709F">
        <w:t>Subclause (</w:t>
      </w:r>
      <w:r w:rsidRPr="006E709F">
        <w:t>2) applies in relation to audit activity in relation to a financial year that ends on or after the commencement of this Schedule.</w:t>
      </w:r>
    </w:p>
    <w:p w:rsidR="002A22A4" w:rsidRPr="006E709F" w:rsidRDefault="002A22A4" w:rsidP="00A801D0">
      <w:pPr>
        <w:pStyle w:val="subsection"/>
      </w:pPr>
      <w:r w:rsidRPr="006E709F">
        <w:tab/>
        <w:t>(2)</w:t>
      </w:r>
      <w:r w:rsidRPr="006E709F">
        <w:tab/>
        <w:t xml:space="preserve">The operation of </w:t>
      </w:r>
      <w:r w:rsidR="00A801D0" w:rsidRPr="006E709F">
        <w:t>Chapter</w:t>
      </w:r>
      <w:r w:rsidR="00DA13DE" w:rsidRPr="006E709F">
        <w:t> </w:t>
      </w:r>
      <w:r w:rsidRPr="006E709F">
        <w:t>2M of the Act is modified by omitting subsection</w:t>
      </w:r>
      <w:r w:rsidR="00DA13DE" w:rsidRPr="006E709F">
        <w:t> </w:t>
      </w:r>
      <w:r w:rsidRPr="006E709F">
        <w:t>324CH(6) of the Act (including the subheading) and substituting the following subheading and subsection:</w:t>
      </w:r>
    </w:p>
    <w:p w:rsidR="002A22A4" w:rsidRPr="006E709F" w:rsidRDefault="002A22A4" w:rsidP="002A22A4">
      <w:pPr>
        <w:pStyle w:val="SubsectionHead"/>
      </w:pPr>
      <w:r w:rsidRPr="006E709F">
        <w:t>Loans by immediate family members and amounts on call</w:t>
      </w:r>
    </w:p>
    <w:p w:rsidR="002A22A4" w:rsidRPr="006E709F" w:rsidRDefault="002A22A4" w:rsidP="002A22A4">
      <w:pPr>
        <w:pStyle w:val="subsection"/>
      </w:pPr>
      <w:r w:rsidRPr="006E709F">
        <w:tab/>
        <w:t>(6)</w:t>
      </w:r>
      <w:r w:rsidRPr="006E709F">
        <w:tab/>
        <w:t>For the purposes of item</w:t>
      </w:r>
      <w:r w:rsidR="00DA13DE" w:rsidRPr="006E709F">
        <w:t> </w:t>
      </w:r>
      <w:r w:rsidRPr="006E709F">
        <w:t xml:space="preserve">16 of the table in </w:t>
      </w:r>
      <w:r w:rsidR="00DA13DE" w:rsidRPr="006E709F">
        <w:t>subsection (</w:t>
      </w:r>
      <w:r w:rsidRPr="006E709F">
        <w:t>1):</w:t>
      </w:r>
    </w:p>
    <w:p w:rsidR="002A22A4" w:rsidRPr="006E709F" w:rsidRDefault="002A22A4" w:rsidP="002A22A4">
      <w:pPr>
        <w:pStyle w:val="paragraph"/>
      </w:pPr>
      <w:r w:rsidRPr="006E709F">
        <w:tab/>
        <w:t>(a)</w:t>
      </w:r>
      <w:r w:rsidRPr="006E709F">
        <w:tab/>
        <w:t>disregard a debt owed to a person by a body corporate or entity if:</w:t>
      </w:r>
    </w:p>
    <w:p w:rsidR="002A22A4" w:rsidRPr="006E709F" w:rsidRDefault="002A22A4" w:rsidP="002A22A4">
      <w:pPr>
        <w:pStyle w:val="paragraphsub"/>
      </w:pPr>
      <w:r w:rsidRPr="006E709F">
        <w:tab/>
        <w:t>(i)</w:t>
      </w:r>
      <w:r w:rsidRPr="006E709F">
        <w:tab/>
        <w:t>the item applies to the person because the person is an immediate family member of:</w:t>
      </w:r>
    </w:p>
    <w:p w:rsidR="002A22A4" w:rsidRPr="006E709F" w:rsidRDefault="002A22A4" w:rsidP="002A22A4">
      <w:pPr>
        <w:pStyle w:val="paragraphsub-sub"/>
      </w:pPr>
      <w:r w:rsidRPr="006E709F">
        <w:tab/>
        <w:t>(A)</w:t>
      </w:r>
      <w:r w:rsidRPr="006E709F">
        <w:tab/>
        <w:t>a professional member of the audit team conducting the audit of the audited body; or</w:t>
      </w:r>
    </w:p>
    <w:p w:rsidR="002A22A4" w:rsidRPr="006E709F" w:rsidRDefault="002A22A4" w:rsidP="002A22A4">
      <w:pPr>
        <w:pStyle w:val="paragraphsub-sub"/>
      </w:pPr>
      <w:r w:rsidRPr="006E709F">
        <w:tab/>
        <w:t>(B)</w:t>
      </w:r>
      <w:r w:rsidRPr="006E709F">
        <w:tab/>
        <w:t>a non</w:t>
      </w:r>
      <w:r w:rsidR="000C4237">
        <w:noBreakHyphen/>
      </w:r>
      <w:r w:rsidRPr="006E709F">
        <w:t>audit services provider; and</w:t>
      </w:r>
    </w:p>
    <w:p w:rsidR="002A22A4" w:rsidRPr="006E709F" w:rsidRDefault="002A22A4" w:rsidP="002A22A4">
      <w:pPr>
        <w:pStyle w:val="paragraphsub"/>
      </w:pPr>
      <w:r w:rsidRPr="006E709F">
        <w:tab/>
        <w:t>(ii)</w:t>
      </w:r>
      <w:r w:rsidRPr="006E709F">
        <w:tab/>
        <w:t>the debt is incurred in the ordinary course of business of the body corporate or entity; and</w:t>
      </w:r>
    </w:p>
    <w:p w:rsidR="002A22A4" w:rsidRPr="006E709F" w:rsidRDefault="002A22A4" w:rsidP="002A22A4">
      <w:pPr>
        <w:pStyle w:val="paragraph"/>
      </w:pPr>
      <w:r w:rsidRPr="006E709F">
        <w:tab/>
        <w:t>(b)</w:t>
      </w:r>
      <w:r w:rsidRPr="006E709F">
        <w:tab/>
        <w:t>disregard an amount owed to the person or firm by the audited body, a related body corporate or an entity that the audited body controls if:</w:t>
      </w:r>
    </w:p>
    <w:p w:rsidR="002A22A4" w:rsidRPr="006E709F" w:rsidRDefault="002A22A4" w:rsidP="002A22A4">
      <w:pPr>
        <w:pStyle w:val="paragraphsub"/>
      </w:pPr>
      <w:r w:rsidRPr="006E709F">
        <w:tab/>
        <w:t>(i)</w:t>
      </w:r>
      <w:r w:rsidRPr="006E709F">
        <w:tab/>
        <w:t>the body, body corporate or entity is an Australian ADI; and</w:t>
      </w:r>
    </w:p>
    <w:p w:rsidR="002A22A4" w:rsidRPr="006E709F" w:rsidRDefault="002A22A4" w:rsidP="002A22A4">
      <w:pPr>
        <w:pStyle w:val="paragraphsub"/>
      </w:pPr>
      <w:r w:rsidRPr="006E709F">
        <w:tab/>
        <w:t>(ii)</w:t>
      </w:r>
      <w:r w:rsidRPr="006E709F">
        <w:tab/>
        <w:t>the amount is in a basic deposit product provided by the body, body corporate or entity; and</w:t>
      </w:r>
    </w:p>
    <w:p w:rsidR="002A22A4" w:rsidRPr="006E709F" w:rsidRDefault="002A22A4" w:rsidP="001A78D8">
      <w:pPr>
        <w:pStyle w:val="paragraphsub"/>
        <w:keepNext/>
        <w:keepLines/>
      </w:pPr>
      <w:r w:rsidRPr="006E709F">
        <w:tab/>
        <w:t>(iii)</w:t>
      </w:r>
      <w:r w:rsidRPr="006E709F">
        <w:tab/>
        <w:t>the amount was deposited in the ordinary course of the business of the audited body, body corporate or entity, and on the terms and conditions that normally apply to basic deposit products provided by the body, body corporate or entity.</w:t>
      </w:r>
    </w:p>
    <w:p w:rsidR="002A22A4" w:rsidRPr="006E709F" w:rsidRDefault="00C44525" w:rsidP="00A801D0">
      <w:pPr>
        <w:pStyle w:val="ActHead5"/>
      </w:pPr>
      <w:bookmarkStart w:id="6" w:name="_Toc160609699"/>
      <w:r w:rsidRPr="000C4237">
        <w:rPr>
          <w:rStyle w:val="CharSectno"/>
        </w:rPr>
        <w:t>3</w:t>
      </w:r>
      <w:r w:rsidRPr="006E709F">
        <w:t xml:space="preserve">  </w:t>
      </w:r>
      <w:r w:rsidR="002A22A4" w:rsidRPr="006E709F">
        <w:t>Public company auditor (annual appointments at AGMs to fill vacancies)</w:t>
      </w:r>
      <w:bookmarkEnd w:id="6"/>
    </w:p>
    <w:p w:rsidR="002A22A4" w:rsidRPr="006E709F" w:rsidRDefault="002A22A4" w:rsidP="00A801D0">
      <w:pPr>
        <w:pStyle w:val="subsection"/>
      </w:pPr>
      <w:r w:rsidRPr="006E709F">
        <w:tab/>
        <w:t>(1)</w:t>
      </w:r>
      <w:r w:rsidRPr="006E709F">
        <w:tab/>
      </w:r>
      <w:r w:rsidR="00DA13DE" w:rsidRPr="006E709F">
        <w:t>Subclause (</w:t>
      </w:r>
      <w:r w:rsidRPr="006E709F">
        <w:t>2) applies to:</w:t>
      </w:r>
    </w:p>
    <w:p w:rsidR="002A22A4" w:rsidRPr="006E709F" w:rsidRDefault="002A22A4" w:rsidP="00A801D0">
      <w:pPr>
        <w:pStyle w:val="paragraph"/>
      </w:pPr>
      <w:r w:rsidRPr="006E709F">
        <w:tab/>
        <w:t>(a)</w:t>
      </w:r>
      <w:r w:rsidRPr="006E709F">
        <w:tab/>
        <w:t>all companies; and</w:t>
      </w:r>
    </w:p>
    <w:p w:rsidR="002A22A4" w:rsidRPr="006E709F" w:rsidRDefault="002A22A4" w:rsidP="00A801D0">
      <w:pPr>
        <w:pStyle w:val="paragraph"/>
      </w:pPr>
      <w:r w:rsidRPr="006E709F">
        <w:tab/>
        <w:t>(b)</w:t>
      </w:r>
      <w:r w:rsidRPr="006E709F">
        <w:tab/>
        <w:t>all registered schemes; and</w:t>
      </w:r>
    </w:p>
    <w:p w:rsidR="002A22A4" w:rsidRPr="006E709F" w:rsidRDefault="002A22A4" w:rsidP="00A801D0">
      <w:pPr>
        <w:pStyle w:val="paragraph"/>
      </w:pPr>
      <w:r w:rsidRPr="006E709F">
        <w:tab/>
        <w:t>(c)</w:t>
      </w:r>
      <w:r w:rsidRPr="006E709F">
        <w:tab/>
        <w:t>all disclosing entities;</w:t>
      </w:r>
    </w:p>
    <w:p w:rsidR="002A22A4" w:rsidRPr="006E709F" w:rsidRDefault="002A22A4" w:rsidP="00A801D0">
      <w:pPr>
        <w:pStyle w:val="subsection2"/>
      </w:pPr>
      <w:r w:rsidRPr="006E709F">
        <w:t>only in relation to audit activity that is conducted on or after the commencement of this Schedule.</w:t>
      </w:r>
    </w:p>
    <w:p w:rsidR="002A22A4" w:rsidRPr="006E709F" w:rsidRDefault="002A22A4" w:rsidP="00A801D0">
      <w:pPr>
        <w:pStyle w:val="subsection"/>
      </w:pPr>
      <w:r w:rsidRPr="006E709F">
        <w:tab/>
        <w:t>(2)</w:t>
      </w:r>
      <w:r w:rsidRPr="006E709F">
        <w:tab/>
        <w:t xml:space="preserve">The operation of </w:t>
      </w:r>
      <w:r w:rsidR="00A801D0" w:rsidRPr="006E709F">
        <w:t>Chapter</w:t>
      </w:r>
      <w:r w:rsidR="00DA13DE" w:rsidRPr="006E709F">
        <w:t> </w:t>
      </w:r>
      <w:r w:rsidRPr="006E709F">
        <w:t>2M of the Act is modified by omitting from subsections</w:t>
      </w:r>
      <w:r w:rsidR="00DA13DE" w:rsidRPr="006E709F">
        <w:t> </w:t>
      </w:r>
      <w:r w:rsidRPr="006E709F">
        <w:t>327B(2A), (2B) and (2C) of the Act “21 days” and inserting “21 days, or such longer period as ASIC allows,”.</w:t>
      </w:r>
    </w:p>
    <w:p w:rsidR="00E118FA" w:rsidRPr="006E709F" w:rsidRDefault="00E118FA" w:rsidP="006F5FE9">
      <w:pPr>
        <w:sectPr w:rsidR="00E118FA" w:rsidRPr="006E709F" w:rsidSect="0052661F">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bookmarkStart w:id="7" w:name="OPCSB_NonAmendClausesB5"/>
    </w:p>
    <w:p w:rsidR="002A22A4" w:rsidRPr="006E709F" w:rsidRDefault="00A801D0" w:rsidP="002F332A">
      <w:pPr>
        <w:pStyle w:val="ActHead1"/>
        <w:pageBreakBefore/>
        <w:spacing w:before="120"/>
      </w:pPr>
      <w:bookmarkStart w:id="8" w:name="_Toc160609700"/>
      <w:bookmarkEnd w:id="7"/>
      <w:r w:rsidRPr="000C4237">
        <w:rPr>
          <w:rStyle w:val="CharChapNo"/>
        </w:rPr>
        <w:t>Schedule</w:t>
      </w:r>
      <w:r w:rsidR="00DA13DE" w:rsidRPr="000C4237">
        <w:rPr>
          <w:rStyle w:val="CharChapNo"/>
        </w:rPr>
        <w:t> </w:t>
      </w:r>
      <w:r w:rsidR="002A22A4" w:rsidRPr="000C4237">
        <w:rPr>
          <w:rStyle w:val="CharChapNo"/>
        </w:rPr>
        <w:t>6</w:t>
      </w:r>
      <w:r w:rsidRPr="006E709F">
        <w:t>—</w:t>
      </w:r>
      <w:r w:rsidR="002A22A4" w:rsidRPr="000C4237">
        <w:rPr>
          <w:rStyle w:val="CharChapText"/>
        </w:rPr>
        <w:t>Availability of names</w:t>
      </w:r>
      <w:bookmarkEnd w:id="8"/>
    </w:p>
    <w:p w:rsidR="002A22A4" w:rsidRPr="006E709F" w:rsidRDefault="002A22A4" w:rsidP="00A801D0">
      <w:pPr>
        <w:pStyle w:val="notemargin"/>
      </w:pPr>
      <w:r w:rsidRPr="006E709F">
        <w:t>(regulations</w:t>
      </w:r>
      <w:r w:rsidR="00DA13DE" w:rsidRPr="006E709F">
        <w:t> </w:t>
      </w:r>
      <w:r w:rsidRPr="006E709F">
        <w:t>2B.6.01</w:t>
      </w:r>
      <w:r w:rsidR="0048795D" w:rsidRPr="006E709F">
        <w:t>, 2B.6.02, 5B.3.01</w:t>
      </w:r>
      <w:r w:rsidR="00875880" w:rsidRPr="006E709F">
        <w:t>, 5B.3.02 and 8A.4.10</w:t>
      </w:r>
      <w:r w:rsidR="0048795D" w:rsidRPr="006E709F">
        <w:t>)</w:t>
      </w:r>
    </w:p>
    <w:p w:rsidR="002A22A4" w:rsidRPr="006E709F" w:rsidRDefault="00A801D0" w:rsidP="00A801D0">
      <w:pPr>
        <w:pStyle w:val="ActHead2"/>
      </w:pPr>
      <w:bookmarkStart w:id="9" w:name="_Toc160609701"/>
      <w:r w:rsidRPr="000C4237">
        <w:rPr>
          <w:rStyle w:val="CharPartNo"/>
        </w:rPr>
        <w:t>Part</w:t>
      </w:r>
      <w:r w:rsidR="00DA13DE" w:rsidRPr="000C4237">
        <w:rPr>
          <w:rStyle w:val="CharPartNo"/>
        </w:rPr>
        <w:t> </w:t>
      </w:r>
      <w:r w:rsidR="002A22A4" w:rsidRPr="000C4237">
        <w:rPr>
          <w:rStyle w:val="CharPartNo"/>
        </w:rPr>
        <w:t>1</w:t>
      </w:r>
      <w:r w:rsidRPr="006E709F">
        <w:t>—</w:t>
      </w:r>
      <w:r w:rsidR="002A22A4" w:rsidRPr="000C4237">
        <w:rPr>
          <w:rStyle w:val="CharPartText"/>
        </w:rPr>
        <w:t>Rules for ascertaining whether names are identical</w:t>
      </w:r>
      <w:bookmarkEnd w:id="9"/>
    </w:p>
    <w:p w:rsidR="002A22A4" w:rsidRPr="006E709F" w:rsidRDefault="002A22A4" w:rsidP="00042A1F">
      <w:pPr>
        <w:pStyle w:val="ItemHead"/>
      </w:pPr>
      <w:r w:rsidRPr="006E709F">
        <w:t>6101</w:t>
      </w:r>
      <w:r w:rsidR="009D0870" w:rsidRPr="006E709F">
        <w:t xml:space="preserve">  </w:t>
      </w:r>
    </w:p>
    <w:p w:rsidR="002A22A4" w:rsidRPr="006E709F" w:rsidRDefault="002A22A4" w:rsidP="00A801D0">
      <w:pPr>
        <w:pStyle w:val="subsection"/>
      </w:pPr>
      <w:r w:rsidRPr="006E709F">
        <w:tab/>
      </w:r>
      <w:r w:rsidRPr="006E709F">
        <w:tab/>
        <w:t>In comparing one name with another for paragraph</w:t>
      </w:r>
      <w:r w:rsidR="00DA13DE" w:rsidRPr="006E709F">
        <w:t> </w:t>
      </w:r>
      <w:r w:rsidRPr="006E709F">
        <w:t>147(1</w:t>
      </w:r>
      <w:r w:rsidR="00A801D0" w:rsidRPr="006E709F">
        <w:t>)(</w:t>
      </w:r>
      <w:r w:rsidRPr="006E709F">
        <w:t>a) or (b) or 601DC(1</w:t>
      </w:r>
      <w:r w:rsidR="00A801D0" w:rsidRPr="006E709F">
        <w:t>)(</w:t>
      </w:r>
      <w:r w:rsidRPr="006E709F">
        <w:t>a) or (b)</w:t>
      </w:r>
      <w:r w:rsidR="00875880" w:rsidRPr="006E709F">
        <w:t xml:space="preserve"> or for subparagraph</w:t>
      </w:r>
      <w:r w:rsidR="00DA13DE" w:rsidRPr="006E709F">
        <w:t> </w:t>
      </w:r>
      <w:r w:rsidR="00875880" w:rsidRPr="006E709F">
        <w:t>1213B(5)(a)(i), (ii), (iii) or (iv)</w:t>
      </w:r>
      <w:r w:rsidRPr="006E709F">
        <w:t xml:space="preserve"> of the Act, the following matters are to be disregarded:</w:t>
      </w:r>
    </w:p>
    <w:p w:rsidR="002A22A4" w:rsidRPr="006E709F" w:rsidRDefault="002A22A4" w:rsidP="00A801D0">
      <w:pPr>
        <w:pStyle w:val="paragraph"/>
      </w:pPr>
      <w:r w:rsidRPr="006E709F">
        <w:tab/>
        <w:t>(a)</w:t>
      </w:r>
      <w:r w:rsidRPr="006E709F">
        <w:tab/>
        <w:t>the use of the definite or indefinite article as the first word in one or both of those names;</w:t>
      </w:r>
    </w:p>
    <w:p w:rsidR="002A22A4" w:rsidRPr="006E709F" w:rsidRDefault="002A22A4" w:rsidP="00A801D0">
      <w:pPr>
        <w:pStyle w:val="paragraph"/>
      </w:pPr>
      <w:r w:rsidRPr="006E709F">
        <w:tab/>
        <w:t>(b)</w:t>
      </w:r>
      <w:r w:rsidRPr="006E709F">
        <w:tab/>
        <w:t>the use of ‘Proprietary’, ‘Pty’, ‘Limited’, ‘Ltd’, ‘No Liability’ or ‘NL’ in one or both of the names;</w:t>
      </w:r>
    </w:p>
    <w:p w:rsidR="002A22A4" w:rsidRPr="006E709F" w:rsidRDefault="002A22A4" w:rsidP="00A801D0">
      <w:pPr>
        <w:pStyle w:val="paragraph"/>
      </w:pPr>
      <w:r w:rsidRPr="006E709F">
        <w:tab/>
        <w:t>(c)</w:t>
      </w:r>
      <w:r w:rsidRPr="006E709F">
        <w:tab/>
        <w:t>whether a word is in the plural or singular number in one or both names;</w:t>
      </w:r>
    </w:p>
    <w:p w:rsidR="002A22A4" w:rsidRPr="006E709F" w:rsidRDefault="002A22A4" w:rsidP="00A801D0">
      <w:pPr>
        <w:pStyle w:val="paragraph"/>
      </w:pPr>
      <w:r w:rsidRPr="006E709F">
        <w:tab/>
        <w:t>(d)</w:t>
      </w:r>
      <w:r w:rsidRPr="006E709F">
        <w:tab/>
        <w:t>the type, size and case of letters, the size of any numbers or other characters, and any accents, spaces between letters, numbers or characters, and punctuation marks, used in one or both names;</w:t>
      </w:r>
    </w:p>
    <w:p w:rsidR="002A22A4" w:rsidRPr="006E709F" w:rsidRDefault="002A22A4" w:rsidP="00A801D0">
      <w:pPr>
        <w:pStyle w:val="paragraph"/>
      </w:pPr>
      <w:r w:rsidRPr="006E709F">
        <w:tab/>
        <w:t>(e)</w:t>
      </w:r>
      <w:r w:rsidRPr="006E709F">
        <w:tab/>
        <w:t>the fact that one name contains a word or expression in column 2 of the following table and the other name contains an alternative for that word or expression in column 3:</w:t>
      </w:r>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29"/>
        <w:gridCol w:w="3744"/>
        <w:gridCol w:w="2956"/>
      </w:tblGrid>
      <w:tr w:rsidR="002A22A4" w:rsidRPr="006E709F" w:rsidTr="00E118FA">
        <w:trPr>
          <w:tblHeader/>
        </w:trPr>
        <w:tc>
          <w:tcPr>
            <w:tcW w:w="1072" w:type="pct"/>
            <w:tcBorders>
              <w:top w:val="single" w:sz="12" w:space="0" w:color="auto"/>
              <w:bottom w:val="single" w:sz="12" w:space="0" w:color="auto"/>
            </w:tcBorders>
            <w:shd w:val="clear" w:color="auto" w:fill="auto"/>
          </w:tcPr>
          <w:p w:rsidR="002A22A4" w:rsidRPr="006E709F" w:rsidRDefault="002A22A4" w:rsidP="007678F7">
            <w:pPr>
              <w:pStyle w:val="TableHeading"/>
            </w:pPr>
            <w:r w:rsidRPr="006E709F">
              <w:t>Column 1</w:t>
            </w:r>
          </w:p>
          <w:p w:rsidR="002A22A4" w:rsidRPr="006E709F" w:rsidRDefault="002A22A4" w:rsidP="007678F7">
            <w:pPr>
              <w:pStyle w:val="TableHeading"/>
            </w:pPr>
            <w:r w:rsidRPr="006E709F">
              <w:t>Item</w:t>
            </w:r>
          </w:p>
        </w:tc>
        <w:tc>
          <w:tcPr>
            <w:tcW w:w="2195" w:type="pct"/>
            <w:tcBorders>
              <w:top w:val="single" w:sz="12" w:space="0" w:color="auto"/>
              <w:bottom w:val="single" w:sz="12" w:space="0" w:color="auto"/>
            </w:tcBorders>
            <w:shd w:val="clear" w:color="auto" w:fill="auto"/>
          </w:tcPr>
          <w:p w:rsidR="002A22A4" w:rsidRPr="006E709F" w:rsidRDefault="002A22A4" w:rsidP="007678F7">
            <w:pPr>
              <w:pStyle w:val="TableHeading"/>
            </w:pPr>
            <w:r w:rsidRPr="006E709F">
              <w:t>Column 2</w:t>
            </w:r>
          </w:p>
          <w:p w:rsidR="002A22A4" w:rsidRPr="006E709F" w:rsidRDefault="002A22A4" w:rsidP="007678F7">
            <w:pPr>
              <w:pStyle w:val="TableHeading"/>
            </w:pPr>
            <w:r w:rsidRPr="006E709F">
              <w:t>Word or expression</w:t>
            </w:r>
          </w:p>
        </w:tc>
        <w:tc>
          <w:tcPr>
            <w:tcW w:w="1733" w:type="pct"/>
            <w:tcBorders>
              <w:top w:val="single" w:sz="12" w:space="0" w:color="auto"/>
              <w:bottom w:val="single" w:sz="12" w:space="0" w:color="auto"/>
            </w:tcBorders>
            <w:shd w:val="clear" w:color="auto" w:fill="auto"/>
          </w:tcPr>
          <w:p w:rsidR="002A22A4" w:rsidRPr="006E709F" w:rsidRDefault="002A22A4" w:rsidP="007678F7">
            <w:pPr>
              <w:pStyle w:val="TableHeading"/>
            </w:pPr>
            <w:r w:rsidRPr="006E709F">
              <w:t>Column 3</w:t>
            </w:r>
          </w:p>
          <w:p w:rsidR="002A22A4" w:rsidRPr="006E709F" w:rsidRDefault="002A22A4" w:rsidP="007678F7">
            <w:pPr>
              <w:pStyle w:val="TableHeading"/>
            </w:pPr>
            <w:r w:rsidRPr="006E709F">
              <w:t>Alternative</w:t>
            </w:r>
          </w:p>
        </w:tc>
      </w:tr>
      <w:tr w:rsidR="002A22A4" w:rsidRPr="006E709F" w:rsidTr="00E118FA">
        <w:tc>
          <w:tcPr>
            <w:tcW w:w="1072" w:type="pct"/>
            <w:tcBorders>
              <w:top w:val="single" w:sz="12" w:space="0" w:color="auto"/>
            </w:tcBorders>
            <w:shd w:val="clear" w:color="auto" w:fill="auto"/>
          </w:tcPr>
          <w:p w:rsidR="002A22A4" w:rsidRPr="006E709F" w:rsidRDefault="002A22A4" w:rsidP="00A801D0">
            <w:pPr>
              <w:pStyle w:val="Tabletext"/>
            </w:pPr>
            <w:r w:rsidRPr="006E709F">
              <w:t>1</w:t>
            </w:r>
          </w:p>
        </w:tc>
        <w:tc>
          <w:tcPr>
            <w:tcW w:w="2195" w:type="pct"/>
            <w:tcBorders>
              <w:top w:val="single" w:sz="12" w:space="0" w:color="auto"/>
            </w:tcBorders>
            <w:shd w:val="clear" w:color="auto" w:fill="auto"/>
          </w:tcPr>
          <w:p w:rsidR="002A22A4" w:rsidRPr="006E709F" w:rsidRDefault="002A22A4" w:rsidP="00A801D0">
            <w:pPr>
              <w:pStyle w:val="Tabletext"/>
            </w:pPr>
            <w:r w:rsidRPr="006E709F">
              <w:t>Australian</w:t>
            </w:r>
          </w:p>
        </w:tc>
        <w:tc>
          <w:tcPr>
            <w:tcW w:w="1733" w:type="pct"/>
            <w:tcBorders>
              <w:top w:val="single" w:sz="12" w:space="0" w:color="auto"/>
            </w:tcBorders>
            <w:shd w:val="clear" w:color="auto" w:fill="auto"/>
          </w:tcPr>
          <w:p w:rsidR="002A22A4" w:rsidRPr="006E709F" w:rsidRDefault="002A22A4" w:rsidP="00A801D0">
            <w:pPr>
              <w:pStyle w:val="Tabletext"/>
            </w:pPr>
            <w:r w:rsidRPr="006E709F">
              <w:t>Aust</w:t>
            </w:r>
          </w:p>
        </w:tc>
      </w:tr>
      <w:tr w:rsidR="002A22A4" w:rsidRPr="006E709F" w:rsidTr="00E118FA">
        <w:tc>
          <w:tcPr>
            <w:tcW w:w="1072" w:type="pct"/>
            <w:shd w:val="clear" w:color="auto" w:fill="auto"/>
          </w:tcPr>
          <w:p w:rsidR="002A22A4" w:rsidRPr="006E709F" w:rsidRDefault="002A22A4" w:rsidP="00A801D0">
            <w:pPr>
              <w:pStyle w:val="Tabletext"/>
            </w:pPr>
            <w:r w:rsidRPr="006E709F">
              <w:t>2</w:t>
            </w:r>
          </w:p>
        </w:tc>
        <w:tc>
          <w:tcPr>
            <w:tcW w:w="2195" w:type="pct"/>
            <w:shd w:val="clear" w:color="auto" w:fill="auto"/>
          </w:tcPr>
          <w:p w:rsidR="002A22A4" w:rsidRPr="006E709F" w:rsidRDefault="002A22A4" w:rsidP="00A801D0">
            <w:pPr>
              <w:pStyle w:val="Tabletext"/>
            </w:pPr>
            <w:r w:rsidRPr="006E709F">
              <w:t>Company</w:t>
            </w:r>
          </w:p>
        </w:tc>
        <w:tc>
          <w:tcPr>
            <w:tcW w:w="1733" w:type="pct"/>
            <w:shd w:val="clear" w:color="auto" w:fill="auto"/>
          </w:tcPr>
          <w:p w:rsidR="002A22A4" w:rsidRPr="006E709F" w:rsidRDefault="002A22A4" w:rsidP="00A801D0">
            <w:pPr>
              <w:pStyle w:val="Tabletext"/>
            </w:pPr>
            <w:r w:rsidRPr="006E709F">
              <w:t xml:space="preserve">Co </w:t>
            </w:r>
            <w:r w:rsidRPr="006E709F">
              <w:rPr>
                <w:i/>
              </w:rPr>
              <w:t xml:space="preserve">or </w:t>
            </w:r>
            <w:r w:rsidRPr="006E709F">
              <w:t>Coy</w:t>
            </w:r>
          </w:p>
        </w:tc>
      </w:tr>
      <w:tr w:rsidR="002A22A4" w:rsidRPr="006E709F" w:rsidTr="00E118FA">
        <w:tc>
          <w:tcPr>
            <w:tcW w:w="1072" w:type="pct"/>
            <w:shd w:val="clear" w:color="auto" w:fill="auto"/>
          </w:tcPr>
          <w:p w:rsidR="002A22A4" w:rsidRPr="006E709F" w:rsidRDefault="002A22A4" w:rsidP="00A801D0">
            <w:pPr>
              <w:pStyle w:val="Tabletext"/>
            </w:pPr>
            <w:r w:rsidRPr="006E709F">
              <w:t>3</w:t>
            </w:r>
          </w:p>
        </w:tc>
        <w:tc>
          <w:tcPr>
            <w:tcW w:w="2195" w:type="pct"/>
            <w:shd w:val="clear" w:color="auto" w:fill="auto"/>
          </w:tcPr>
          <w:p w:rsidR="002A22A4" w:rsidRPr="006E709F" w:rsidRDefault="002A22A4" w:rsidP="00A801D0">
            <w:pPr>
              <w:pStyle w:val="Tabletext"/>
            </w:pPr>
            <w:r w:rsidRPr="006E709F">
              <w:t>Co</w:t>
            </w:r>
          </w:p>
        </w:tc>
        <w:tc>
          <w:tcPr>
            <w:tcW w:w="1733" w:type="pct"/>
            <w:shd w:val="clear" w:color="auto" w:fill="auto"/>
          </w:tcPr>
          <w:p w:rsidR="002A22A4" w:rsidRPr="006E709F" w:rsidRDefault="002A22A4" w:rsidP="00A801D0">
            <w:pPr>
              <w:pStyle w:val="Tabletext"/>
            </w:pPr>
            <w:r w:rsidRPr="006E709F">
              <w:t xml:space="preserve">Company </w:t>
            </w:r>
            <w:r w:rsidRPr="006E709F">
              <w:rPr>
                <w:i/>
              </w:rPr>
              <w:t>or</w:t>
            </w:r>
            <w:r w:rsidRPr="006E709F">
              <w:t xml:space="preserve"> Coy</w:t>
            </w:r>
          </w:p>
        </w:tc>
      </w:tr>
      <w:tr w:rsidR="002A22A4" w:rsidRPr="006E709F" w:rsidTr="00E118FA">
        <w:tc>
          <w:tcPr>
            <w:tcW w:w="1072" w:type="pct"/>
            <w:shd w:val="clear" w:color="auto" w:fill="auto"/>
          </w:tcPr>
          <w:p w:rsidR="002A22A4" w:rsidRPr="006E709F" w:rsidRDefault="002A22A4" w:rsidP="00A801D0">
            <w:pPr>
              <w:pStyle w:val="Tabletext"/>
            </w:pPr>
            <w:r w:rsidRPr="006E709F">
              <w:t>4</w:t>
            </w:r>
          </w:p>
        </w:tc>
        <w:tc>
          <w:tcPr>
            <w:tcW w:w="2195" w:type="pct"/>
            <w:shd w:val="clear" w:color="auto" w:fill="auto"/>
          </w:tcPr>
          <w:p w:rsidR="002A22A4" w:rsidRPr="006E709F" w:rsidRDefault="002A22A4" w:rsidP="00A801D0">
            <w:pPr>
              <w:pStyle w:val="Tabletext"/>
            </w:pPr>
            <w:r w:rsidRPr="006E709F">
              <w:t>Coy</w:t>
            </w:r>
          </w:p>
        </w:tc>
        <w:tc>
          <w:tcPr>
            <w:tcW w:w="1733" w:type="pct"/>
            <w:shd w:val="clear" w:color="auto" w:fill="auto"/>
          </w:tcPr>
          <w:p w:rsidR="002A22A4" w:rsidRPr="006E709F" w:rsidRDefault="002A22A4" w:rsidP="00A801D0">
            <w:pPr>
              <w:pStyle w:val="Tabletext"/>
            </w:pPr>
            <w:r w:rsidRPr="006E709F">
              <w:t xml:space="preserve">Company </w:t>
            </w:r>
            <w:r w:rsidRPr="006E709F">
              <w:rPr>
                <w:i/>
              </w:rPr>
              <w:t>or</w:t>
            </w:r>
            <w:r w:rsidRPr="006E709F">
              <w:t xml:space="preserve"> Co</w:t>
            </w:r>
          </w:p>
        </w:tc>
      </w:tr>
      <w:tr w:rsidR="002A22A4" w:rsidRPr="006E709F" w:rsidTr="00E118FA">
        <w:tc>
          <w:tcPr>
            <w:tcW w:w="1072" w:type="pct"/>
            <w:shd w:val="clear" w:color="auto" w:fill="auto"/>
          </w:tcPr>
          <w:p w:rsidR="002A22A4" w:rsidRPr="006E709F" w:rsidRDefault="002A22A4" w:rsidP="00A801D0">
            <w:pPr>
              <w:pStyle w:val="Tabletext"/>
            </w:pPr>
            <w:r w:rsidRPr="006E709F">
              <w:t>5</w:t>
            </w:r>
          </w:p>
        </w:tc>
        <w:tc>
          <w:tcPr>
            <w:tcW w:w="2195" w:type="pct"/>
            <w:shd w:val="clear" w:color="auto" w:fill="auto"/>
          </w:tcPr>
          <w:p w:rsidR="002A22A4" w:rsidRPr="006E709F" w:rsidRDefault="002A22A4" w:rsidP="00A801D0">
            <w:pPr>
              <w:pStyle w:val="Tabletext"/>
            </w:pPr>
            <w:r w:rsidRPr="006E709F">
              <w:t>Number</w:t>
            </w:r>
          </w:p>
        </w:tc>
        <w:tc>
          <w:tcPr>
            <w:tcW w:w="1733" w:type="pct"/>
            <w:shd w:val="clear" w:color="auto" w:fill="auto"/>
          </w:tcPr>
          <w:p w:rsidR="002A22A4" w:rsidRPr="006E709F" w:rsidRDefault="002A22A4" w:rsidP="00A801D0">
            <w:pPr>
              <w:pStyle w:val="Tabletext"/>
            </w:pPr>
            <w:r w:rsidRPr="006E709F">
              <w:t>No</w:t>
            </w:r>
          </w:p>
        </w:tc>
      </w:tr>
      <w:tr w:rsidR="002A22A4" w:rsidRPr="006E709F" w:rsidTr="00E118FA">
        <w:tc>
          <w:tcPr>
            <w:tcW w:w="1072" w:type="pct"/>
            <w:shd w:val="clear" w:color="auto" w:fill="auto"/>
          </w:tcPr>
          <w:p w:rsidR="002A22A4" w:rsidRPr="006E709F" w:rsidRDefault="002A22A4" w:rsidP="00A801D0">
            <w:pPr>
              <w:pStyle w:val="Tabletext"/>
            </w:pPr>
            <w:r w:rsidRPr="006E709F">
              <w:t>6</w:t>
            </w:r>
          </w:p>
        </w:tc>
        <w:tc>
          <w:tcPr>
            <w:tcW w:w="2195" w:type="pct"/>
            <w:shd w:val="clear" w:color="auto" w:fill="auto"/>
          </w:tcPr>
          <w:p w:rsidR="002A22A4" w:rsidRPr="006E709F" w:rsidRDefault="002A22A4" w:rsidP="00A801D0">
            <w:pPr>
              <w:pStyle w:val="Tabletext"/>
            </w:pPr>
            <w:r w:rsidRPr="006E709F">
              <w:t>and</w:t>
            </w:r>
          </w:p>
        </w:tc>
        <w:tc>
          <w:tcPr>
            <w:tcW w:w="1733" w:type="pct"/>
            <w:shd w:val="clear" w:color="auto" w:fill="auto"/>
          </w:tcPr>
          <w:p w:rsidR="002A22A4" w:rsidRPr="006E709F" w:rsidRDefault="002A22A4" w:rsidP="00A801D0">
            <w:pPr>
              <w:pStyle w:val="Tabletext"/>
            </w:pPr>
            <w:r w:rsidRPr="006E709F">
              <w:t>&amp;</w:t>
            </w:r>
          </w:p>
        </w:tc>
      </w:tr>
      <w:tr w:rsidR="002A22A4" w:rsidRPr="006E709F" w:rsidTr="00E118FA">
        <w:tc>
          <w:tcPr>
            <w:tcW w:w="1072" w:type="pct"/>
            <w:tcBorders>
              <w:bottom w:val="single" w:sz="4" w:space="0" w:color="auto"/>
            </w:tcBorders>
            <w:shd w:val="clear" w:color="auto" w:fill="auto"/>
          </w:tcPr>
          <w:p w:rsidR="002A22A4" w:rsidRPr="006E709F" w:rsidRDefault="002A22A4" w:rsidP="00A801D0">
            <w:pPr>
              <w:pStyle w:val="Tabletext"/>
            </w:pPr>
            <w:r w:rsidRPr="006E709F">
              <w:t>7</w:t>
            </w:r>
          </w:p>
        </w:tc>
        <w:tc>
          <w:tcPr>
            <w:tcW w:w="2195" w:type="pct"/>
            <w:tcBorders>
              <w:bottom w:val="single" w:sz="4" w:space="0" w:color="auto"/>
            </w:tcBorders>
            <w:shd w:val="clear" w:color="auto" w:fill="auto"/>
          </w:tcPr>
          <w:p w:rsidR="002A22A4" w:rsidRPr="006E709F" w:rsidRDefault="002A22A4" w:rsidP="00A801D0">
            <w:pPr>
              <w:pStyle w:val="Tabletext"/>
            </w:pPr>
            <w:r w:rsidRPr="006E709F">
              <w:t>Incorporated</w:t>
            </w:r>
          </w:p>
        </w:tc>
        <w:tc>
          <w:tcPr>
            <w:tcW w:w="1733" w:type="pct"/>
            <w:tcBorders>
              <w:bottom w:val="single" w:sz="4" w:space="0" w:color="auto"/>
            </w:tcBorders>
            <w:shd w:val="clear" w:color="auto" w:fill="auto"/>
          </w:tcPr>
          <w:p w:rsidR="002A22A4" w:rsidRPr="006E709F" w:rsidRDefault="002A22A4" w:rsidP="00A801D0">
            <w:pPr>
              <w:pStyle w:val="Tabletext"/>
            </w:pPr>
            <w:r w:rsidRPr="006E709F">
              <w:t>Inc</w:t>
            </w:r>
          </w:p>
        </w:tc>
      </w:tr>
      <w:tr w:rsidR="002A22A4" w:rsidRPr="006E709F" w:rsidTr="00E118FA">
        <w:tc>
          <w:tcPr>
            <w:tcW w:w="1072" w:type="pct"/>
            <w:tcBorders>
              <w:bottom w:val="single" w:sz="4" w:space="0" w:color="auto"/>
            </w:tcBorders>
            <w:shd w:val="clear" w:color="auto" w:fill="auto"/>
          </w:tcPr>
          <w:p w:rsidR="002A22A4" w:rsidRPr="006E709F" w:rsidRDefault="002A22A4" w:rsidP="00A801D0">
            <w:pPr>
              <w:pStyle w:val="Tabletext"/>
            </w:pPr>
            <w:r w:rsidRPr="006E709F">
              <w:t>8</w:t>
            </w:r>
          </w:p>
        </w:tc>
        <w:tc>
          <w:tcPr>
            <w:tcW w:w="2195" w:type="pct"/>
            <w:tcBorders>
              <w:bottom w:val="single" w:sz="4" w:space="0" w:color="auto"/>
            </w:tcBorders>
            <w:shd w:val="clear" w:color="auto" w:fill="auto"/>
          </w:tcPr>
          <w:p w:rsidR="002A22A4" w:rsidRPr="006E709F" w:rsidRDefault="002A22A4" w:rsidP="00A801D0">
            <w:pPr>
              <w:pStyle w:val="Tabletext"/>
            </w:pPr>
            <w:r w:rsidRPr="006E709F">
              <w:t>Corporation</w:t>
            </w:r>
          </w:p>
        </w:tc>
        <w:tc>
          <w:tcPr>
            <w:tcW w:w="1733" w:type="pct"/>
            <w:tcBorders>
              <w:bottom w:val="single" w:sz="4" w:space="0" w:color="auto"/>
            </w:tcBorders>
            <w:shd w:val="clear" w:color="auto" w:fill="auto"/>
          </w:tcPr>
          <w:p w:rsidR="002A22A4" w:rsidRPr="006E709F" w:rsidRDefault="002A22A4" w:rsidP="00A801D0">
            <w:pPr>
              <w:pStyle w:val="Tabletext"/>
            </w:pPr>
            <w:r w:rsidRPr="006E709F">
              <w:t>Corp</w:t>
            </w:r>
          </w:p>
        </w:tc>
      </w:tr>
      <w:tr w:rsidR="002A22A4" w:rsidRPr="006E709F" w:rsidTr="00D1214F">
        <w:tc>
          <w:tcPr>
            <w:tcW w:w="1072" w:type="pct"/>
            <w:shd w:val="clear" w:color="auto" w:fill="auto"/>
          </w:tcPr>
          <w:p w:rsidR="002A22A4" w:rsidRPr="006E709F" w:rsidRDefault="002A22A4" w:rsidP="00A801D0">
            <w:pPr>
              <w:pStyle w:val="Tabletext"/>
            </w:pPr>
            <w:r w:rsidRPr="006E709F">
              <w:t>9</w:t>
            </w:r>
          </w:p>
        </w:tc>
        <w:tc>
          <w:tcPr>
            <w:tcW w:w="2195" w:type="pct"/>
            <w:shd w:val="clear" w:color="auto" w:fill="auto"/>
          </w:tcPr>
          <w:p w:rsidR="002A22A4" w:rsidRPr="006E709F" w:rsidRDefault="002A22A4" w:rsidP="00A801D0">
            <w:pPr>
              <w:pStyle w:val="Tabletext"/>
            </w:pPr>
            <w:r w:rsidRPr="006E709F">
              <w:t>Australian</w:t>
            </w:r>
            <w:r w:rsidR="00E376FA" w:rsidRPr="006E709F">
              <w:t xml:space="preserve"> </w:t>
            </w:r>
            <w:r w:rsidRPr="006E709F">
              <w:t>Company Number</w:t>
            </w:r>
          </w:p>
        </w:tc>
        <w:tc>
          <w:tcPr>
            <w:tcW w:w="1733" w:type="pct"/>
            <w:shd w:val="clear" w:color="auto" w:fill="auto"/>
          </w:tcPr>
          <w:p w:rsidR="002A22A4" w:rsidRPr="006E709F" w:rsidRDefault="002A22A4" w:rsidP="00A801D0">
            <w:pPr>
              <w:pStyle w:val="Tabletext"/>
            </w:pPr>
            <w:r w:rsidRPr="006E709F">
              <w:t>ACN</w:t>
            </w:r>
          </w:p>
        </w:tc>
      </w:tr>
      <w:tr w:rsidR="006C30E7" w:rsidRPr="006E709F" w:rsidTr="00E118FA">
        <w:tc>
          <w:tcPr>
            <w:tcW w:w="1072" w:type="pct"/>
            <w:tcBorders>
              <w:bottom w:val="single" w:sz="12" w:space="0" w:color="auto"/>
            </w:tcBorders>
            <w:shd w:val="clear" w:color="auto" w:fill="auto"/>
          </w:tcPr>
          <w:p w:rsidR="006C30E7" w:rsidRPr="006E709F" w:rsidRDefault="006C30E7" w:rsidP="006C30E7">
            <w:pPr>
              <w:pStyle w:val="Tabletext"/>
            </w:pPr>
            <w:r w:rsidRPr="006E709F">
              <w:t>10</w:t>
            </w:r>
          </w:p>
        </w:tc>
        <w:tc>
          <w:tcPr>
            <w:tcW w:w="2195" w:type="pct"/>
            <w:tcBorders>
              <w:bottom w:val="single" w:sz="12" w:space="0" w:color="auto"/>
            </w:tcBorders>
            <w:shd w:val="clear" w:color="auto" w:fill="auto"/>
          </w:tcPr>
          <w:p w:rsidR="006C30E7" w:rsidRPr="006E709F" w:rsidRDefault="006C30E7" w:rsidP="006C30E7">
            <w:pPr>
              <w:pStyle w:val="Tabletext"/>
            </w:pPr>
            <w:r w:rsidRPr="006E709F">
              <w:t>Corporate Collective Investment Vehicle</w:t>
            </w:r>
          </w:p>
        </w:tc>
        <w:tc>
          <w:tcPr>
            <w:tcW w:w="1733" w:type="pct"/>
            <w:tcBorders>
              <w:bottom w:val="single" w:sz="12" w:space="0" w:color="auto"/>
            </w:tcBorders>
            <w:shd w:val="clear" w:color="auto" w:fill="auto"/>
          </w:tcPr>
          <w:p w:rsidR="006C30E7" w:rsidRPr="006E709F" w:rsidRDefault="006C30E7" w:rsidP="006C30E7">
            <w:pPr>
              <w:pStyle w:val="Tabletext"/>
            </w:pPr>
            <w:r w:rsidRPr="006E709F">
              <w:t>CCIV</w:t>
            </w:r>
          </w:p>
        </w:tc>
      </w:tr>
    </w:tbl>
    <w:p w:rsidR="002A22A4" w:rsidRPr="006E709F" w:rsidRDefault="00A801D0" w:rsidP="00A801D0">
      <w:pPr>
        <w:pStyle w:val="ActHead2"/>
        <w:pageBreakBefore/>
      </w:pPr>
      <w:bookmarkStart w:id="10" w:name="_Toc160609702"/>
      <w:r w:rsidRPr="000C4237">
        <w:rPr>
          <w:rStyle w:val="CharPartNo"/>
        </w:rPr>
        <w:t>Part</w:t>
      </w:r>
      <w:r w:rsidR="00DA13DE" w:rsidRPr="000C4237">
        <w:rPr>
          <w:rStyle w:val="CharPartNo"/>
        </w:rPr>
        <w:t> </w:t>
      </w:r>
      <w:r w:rsidR="002A22A4" w:rsidRPr="000C4237">
        <w:rPr>
          <w:rStyle w:val="CharPartNo"/>
        </w:rPr>
        <w:t>2</w:t>
      </w:r>
      <w:r w:rsidRPr="006E709F">
        <w:t>—</w:t>
      </w:r>
      <w:r w:rsidR="002A22A4" w:rsidRPr="000C4237">
        <w:rPr>
          <w:rStyle w:val="CharPartText"/>
        </w:rPr>
        <w:t>Names unacceptable for registration</w:t>
      </w:r>
      <w:bookmarkEnd w:id="10"/>
    </w:p>
    <w:p w:rsidR="002A22A4" w:rsidRPr="006E709F" w:rsidRDefault="002A22A4" w:rsidP="00042A1F">
      <w:pPr>
        <w:pStyle w:val="ItemHead"/>
      </w:pPr>
      <w:r w:rsidRPr="006E709F">
        <w:t>6203</w:t>
      </w:r>
      <w:r w:rsidR="009D0870" w:rsidRPr="006E709F">
        <w:t xml:space="preserve">  </w:t>
      </w:r>
    </w:p>
    <w:p w:rsidR="002A22A4" w:rsidRPr="006E709F" w:rsidRDefault="002A22A4" w:rsidP="00A801D0">
      <w:pPr>
        <w:pStyle w:val="subsection"/>
      </w:pPr>
      <w:r w:rsidRPr="006E709F">
        <w:tab/>
      </w:r>
      <w:r w:rsidRPr="006E709F">
        <w:tab/>
      </w:r>
      <w:r w:rsidR="00875880" w:rsidRPr="006E709F">
        <w:t>For paragraphs 147(1)(c) and 601DC(1)(c) and for subparagraph</w:t>
      </w:r>
      <w:r w:rsidR="00DA13DE" w:rsidRPr="006E709F">
        <w:t> </w:t>
      </w:r>
      <w:r w:rsidR="00875880" w:rsidRPr="006E709F">
        <w:t>1213B(5)(a)(v)</w:t>
      </w:r>
      <w:r w:rsidRPr="006E709F">
        <w:t xml:space="preserve"> of the Act, a name is unacceptable for registration if the name:</w:t>
      </w:r>
    </w:p>
    <w:p w:rsidR="002A22A4" w:rsidRPr="006E709F" w:rsidRDefault="002A22A4" w:rsidP="00A801D0">
      <w:pPr>
        <w:pStyle w:val="paragraph"/>
      </w:pPr>
      <w:r w:rsidRPr="006E709F">
        <w:tab/>
        <w:t>(a)</w:t>
      </w:r>
      <w:r w:rsidRPr="006E709F">
        <w:tab/>
        <w:t>in the opinion of ASIC, is undesirable, or likely to be offensive to:</w:t>
      </w:r>
    </w:p>
    <w:p w:rsidR="002A22A4" w:rsidRPr="006E709F" w:rsidRDefault="002A22A4" w:rsidP="00A801D0">
      <w:pPr>
        <w:pStyle w:val="paragraphsub"/>
      </w:pPr>
      <w:r w:rsidRPr="006E709F">
        <w:tab/>
        <w:t>(i)</w:t>
      </w:r>
      <w:r w:rsidRPr="006E709F">
        <w:tab/>
        <w:t>members of the public; or</w:t>
      </w:r>
    </w:p>
    <w:p w:rsidR="002A22A4" w:rsidRPr="006E709F" w:rsidRDefault="002A22A4" w:rsidP="00A801D0">
      <w:pPr>
        <w:pStyle w:val="paragraphsub"/>
      </w:pPr>
      <w:r w:rsidRPr="006E709F">
        <w:tab/>
        <w:t>(ii)</w:t>
      </w:r>
      <w:r w:rsidRPr="006E709F">
        <w:tab/>
        <w:t>members of any section of the public; or</w:t>
      </w:r>
    </w:p>
    <w:p w:rsidR="002A22A4" w:rsidRPr="006E709F" w:rsidRDefault="002A22A4" w:rsidP="00A801D0">
      <w:pPr>
        <w:pStyle w:val="paragraph"/>
      </w:pPr>
      <w:r w:rsidRPr="006E709F">
        <w:tab/>
        <w:t>(b)</w:t>
      </w:r>
      <w:r w:rsidRPr="006E709F">
        <w:tab/>
        <w:t>subject to rule</w:t>
      </w:r>
      <w:r w:rsidR="00DA13DE" w:rsidRPr="006E709F">
        <w:t> </w:t>
      </w:r>
      <w:r w:rsidRPr="006E709F">
        <w:t>6204:</w:t>
      </w:r>
    </w:p>
    <w:p w:rsidR="002A22A4" w:rsidRPr="006E709F" w:rsidRDefault="002A22A4" w:rsidP="00A801D0">
      <w:pPr>
        <w:pStyle w:val="paragraphsub"/>
      </w:pPr>
      <w:r w:rsidRPr="006E709F">
        <w:tab/>
        <w:t>(i)</w:t>
      </w:r>
      <w:r w:rsidRPr="006E709F">
        <w:tab/>
        <w:t>contains a word or phrase specified in an item in Part</w:t>
      </w:r>
      <w:r w:rsidR="00DA13DE" w:rsidRPr="006E709F">
        <w:t> </w:t>
      </w:r>
      <w:r w:rsidRPr="006E709F">
        <w:t>3, or an abbreviation of that word or phrase; or</w:t>
      </w:r>
    </w:p>
    <w:p w:rsidR="002A22A4" w:rsidRPr="006E709F" w:rsidRDefault="002A22A4" w:rsidP="00A801D0">
      <w:pPr>
        <w:pStyle w:val="paragraphsub"/>
      </w:pPr>
      <w:r w:rsidRPr="006E709F">
        <w:tab/>
        <w:t>(ii)</w:t>
      </w:r>
      <w:r w:rsidRPr="006E709F">
        <w:tab/>
        <w:t>a word or phrase or an abbreviation having the same or a similar meaning; or</w:t>
      </w:r>
    </w:p>
    <w:p w:rsidR="002A22A4" w:rsidRPr="006E709F" w:rsidRDefault="002A22A4" w:rsidP="00A801D0">
      <w:pPr>
        <w:pStyle w:val="paragraph"/>
      </w:pPr>
      <w:r w:rsidRPr="006E709F">
        <w:tab/>
        <w:t>(c)</w:t>
      </w:r>
      <w:r w:rsidRPr="006E709F">
        <w:tab/>
        <w:t>subject to rule</w:t>
      </w:r>
      <w:r w:rsidR="00DA13DE" w:rsidRPr="006E709F">
        <w:t> </w:t>
      </w:r>
      <w:r w:rsidRPr="006E709F">
        <w:t>6205, includes the word ‘Commonwealth’ or ‘Federal’; or</w:t>
      </w:r>
    </w:p>
    <w:p w:rsidR="002A22A4" w:rsidRPr="006E709F" w:rsidRDefault="002A22A4" w:rsidP="00A801D0">
      <w:pPr>
        <w:pStyle w:val="paragraph"/>
      </w:pPr>
      <w:r w:rsidRPr="006E709F">
        <w:tab/>
        <w:t>(d)</w:t>
      </w:r>
      <w:r w:rsidRPr="006E709F">
        <w:tab/>
        <w:t>in the context in which it is proposed to be used, suggests a connection with:</w:t>
      </w:r>
    </w:p>
    <w:p w:rsidR="002A22A4" w:rsidRPr="006E709F" w:rsidRDefault="002A22A4" w:rsidP="00A801D0">
      <w:pPr>
        <w:pStyle w:val="paragraphsub"/>
      </w:pPr>
      <w:r w:rsidRPr="006E709F">
        <w:tab/>
        <w:t>(i)</w:t>
      </w:r>
      <w:r w:rsidRPr="006E709F">
        <w:tab/>
        <w:t>the Crown; or</w:t>
      </w:r>
    </w:p>
    <w:p w:rsidR="002A22A4" w:rsidRPr="006E709F" w:rsidRDefault="002A22A4" w:rsidP="00A801D0">
      <w:pPr>
        <w:pStyle w:val="paragraphsub"/>
      </w:pPr>
      <w:r w:rsidRPr="006E709F">
        <w:tab/>
        <w:t>(ii)</w:t>
      </w:r>
      <w:r w:rsidRPr="006E709F">
        <w:tab/>
        <w:t>the Commonwealth Government; or</w:t>
      </w:r>
    </w:p>
    <w:p w:rsidR="002A22A4" w:rsidRPr="006E709F" w:rsidRDefault="002A22A4" w:rsidP="00A801D0">
      <w:pPr>
        <w:pStyle w:val="paragraphsub"/>
      </w:pPr>
      <w:r w:rsidRPr="006E709F">
        <w:tab/>
        <w:t>(iii)</w:t>
      </w:r>
      <w:r w:rsidRPr="006E709F">
        <w:tab/>
        <w:t>the Government of a State or Territory; or</w:t>
      </w:r>
    </w:p>
    <w:p w:rsidR="002A22A4" w:rsidRPr="006E709F" w:rsidRDefault="002A22A4" w:rsidP="00A801D0">
      <w:pPr>
        <w:pStyle w:val="paragraphsub"/>
      </w:pPr>
      <w:r w:rsidRPr="006E709F">
        <w:tab/>
        <w:t>(iv)</w:t>
      </w:r>
      <w:r w:rsidRPr="006E709F">
        <w:tab/>
        <w:t>a municipal or other local authority; or</w:t>
      </w:r>
    </w:p>
    <w:p w:rsidR="002A22A4" w:rsidRPr="006E709F" w:rsidRDefault="002A22A4" w:rsidP="00A801D0">
      <w:pPr>
        <w:pStyle w:val="paragraphsub"/>
      </w:pPr>
      <w:r w:rsidRPr="006E709F">
        <w:tab/>
        <w:t>(v)</w:t>
      </w:r>
      <w:r w:rsidRPr="006E709F">
        <w:tab/>
        <w:t>the Government of any other part of the Queen’s dominions, possessions or territories; or</w:t>
      </w:r>
    </w:p>
    <w:p w:rsidR="002A22A4" w:rsidRPr="006E709F" w:rsidRDefault="002A22A4" w:rsidP="00A801D0">
      <w:pPr>
        <w:pStyle w:val="paragraphsub"/>
      </w:pPr>
      <w:r w:rsidRPr="006E709F">
        <w:tab/>
        <w:t>(vi)</w:t>
      </w:r>
      <w:r w:rsidRPr="006E709F">
        <w:tab/>
        <w:t>a department, authority or instrumentality of the Commonwealth Government; or</w:t>
      </w:r>
    </w:p>
    <w:p w:rsidR="002A22A4" w:rsidRPr="006E709F" w:rsidRDefault="002A22A4" w:rsidP="00A801D0">
      <w:pPr>
        <w:pStyle w:val="paragraphsub"/>
      </w:pPr>
      <w:r w:rsidRPr="006E709F">
        <w:tab/>
        <w:t>(vii)</w:t>
      </w:r>
      <w:r w:rsidRPr="006E709F">
        <w:tab/>
        <w:t>a department, authority or instrumentality of the Government of a State or Territory; or</w:t>
      </w:r>
    </w:p>
    <w:p w:rsidR="002A22A4" w:rsidRPr="006E709F" w:rsidRDefault="002A22A4" w:rsidP="00A801D0">
      <w:pPr>
        <w:pStyle w:val="paragraphsub"/>
      </w:pPr>
      <w:r w:rsidRPr="006E709F">
        <w:tab/>
        <w:t>(viii)</w:t>
      </w:r>
      <w:r w:rsidRPr="006E709F">
        <w:tab/>
        <w:t>the government of a foreign country;</w:t>
      </w:r>
    </w:p>
    <w:p w:rsidR="002A22A4" w:rsidRPr="006E709F" w:rsidRDefault="002A22A4" w:rsidP="00A801D0">
      <w:pPr>
        <w:pStyle w:val="paragraph"/>
      </w:pPr>
      <w:r w:rsidRPr="006E709F">
        <w:tab/>
      </w:r>
      <w:r w:rsidRPr="006E709F">
        <w:tab/>
        <w:t>if that connection does not exist; or</w:t>
      </w:r>
    </w:p>
    <w:p w:rsidR="002A22A4" w:rsidRPr="006E709F" w:rsidRDefault="002A22A4" w:rsidP="00A801D0">
      <w:pPr>
        <w:pStyle w:val="paragraph"/>
      </w:pPr>
      <w:r w:rsidRPr="006E709F">
        <w:tab/>
        <w:t>(e)</w:t>
      </w:r>
      <w:r w:rsidRPr="006E709F">
        <w:tab/>
        <w:t>in the context in which it is proposed to be used, suggests a connection with:</w:t>
      </w:r>
    </w:p>
    <w:p w:rsidR="002A22A4" w:rsidRPr="006E709F" w:rsidRDefault="002A22A4" w:rsidP="00A801D0">
      <w:pPr>
        <w:pStyle w:val="paragraphsub"/>
      </w:pPr>
      <w:r w:rsidRPr="006E709F">
        <w:tab/>
        <w:t>(i)</w:t>
      </w:r>
      <w:r w:rsidRPr="006E709F">
        <w:tab/>
        <w:t>a member of the Royal Family; or</w:t>
      </w:r>
    </w:p>
    <w:p w:rsidR="002A22A4" w:rsidRPr="006E709F" w:rsidRDefault="002A22A4" w:rsidP="00A801D0">
      <w:pPr>
        <w:pStyle w:val="paragraphsub"/>
      </w:pPr>
      <w:r w:rsidRPr="006E709F">
        <w:tab/>
        <w:t>(ii)</w:t>
      </w:r>
      <w:r w:rsidRPr="006E709F">
        <w:tab/>
        <w:t>the receipt of Royal patronage; or</w:t>
      </w:r>
    </w:p>
    <w:p w:rsidR="002A22A4" w:rsidRPr="006E709F" w:rsidRDefault="002A22A4" w:rsidP="00A801D0">
      <w:pPr>
        <w:pStyle w:val="paragraphsub"/>
      </w:pPr>
      <w:r w:rsidRPr="006E709F">
        <w:tab/>
        <w:t>(iii)</w:t>
      </w:r>
      <w:r w:rsidRPr="006E709F">
        <w:tab/>
        <w:t>an ex</w:t>
      </w:r>
      <w:r w:rsidR="000C4237">
        <w:noBreakHyphen/>
      </w:r>
      <w:r w:rsidRPr="006E709F">
        <w:t>servicemen’s organisation; or</w:t>
      </w:r>
    </w:p>
    <w:p w:rsidR="002A22A4" w:rsidRPr="006E709F" w:rsidRDefault="002A22A4" w:rsidP="00A801D0">
      <w:pPr>
        <w:pStyle w:val="paragraphsub"/>
      </w:pPr>
      <w:r w:rsidRPr="006E709F">
        <w:tab/>
        <w:t>(iv)</w:t>
      </w:r>
      <w:r w:rsidRPr="006E709F">
        <w:tab/>
        <w:t xml:space="preserve">Sir Donald </w:t>
      </w:r>
      <w:r w:rsidR="00A83D26" w:rsidRPr="006E709F">
        <w:t>Bradman; or</w:t>
      </w:r>
    </w:p>
    <w:p w:rsidR="00A83D26" w:rsidRPr="006E709F" w:rsidRDefault="00A83D26" w:rsidP="00A801D0">
      <w:pPr>
        <w:pStyle w:val="paragraphsub"/>
      </w:pPr>
      <w:r w:rsidRPr="006E709F">
        <w:tab/>
        <w:t>(v)</w:t>
      </w:r>
      <w:r w:rsidRPr="006E709F">
        <w:tab/>
        <w:t>Mary MacKillop;</w:t>
      </w:r>
    </w:p>
    <w:p w:rsidR="002A22A4" w:rsidRPr="006E709F" w:rsidRDefault="002A22A4" w:rsidP="00A801D0">
      <w:pPr>
        <w:pStyle w:val="paragraph"/>
      </w:pPr>
      <w:r w:rsidRPr="006E709F">
        <w:tab/>
      </w:r>
      <w:r w:rsidRPr="006E709F">
        <w:tab/>
        <w:t>if that connection does not exist; or</w:t>
      </w:r>
    </w:p>
    <w:p w:rsidR="002A22A4" w:rsidRPr="006E709F" w:rsidRDefault="002A22A4" w:rsidP="00A801D0">
      <w:pPr>
        <w:pStyle w:val="paragraph"/>
      </w:pPr>
      <w:r w:rsidRPr="006E709F">
        <w:tab/>
        <w:t>(f)</w:t>
      </w:r>
      <w:r w:rsidRPr="006E709F">
        <w:tab/>
        <w:t>in the context in which it is proposed to be used, suggests that the members of an organisation are totally or partially incapacitated if those members are not so affected.</w:t>
      </w:r>
    </w:p>
    <w:p w:rsidR="002A22A4" w:rsidRPr="006E709F" w:rsidRDefault="002A22A4" w:rsidP="00042A1F">
      <w:pPr>
        <w:pStyle w:val="ItemHead"/>
      </w:pPr>
      <w:r w:rsidRPr="006E709F">
        <w:t>6204</w:t>
      </w:r>
      <w:r w:rsidR="009D0870" w:rsidRPr="006E709F">
        <w:t xml:space="preserve">  </w:t>
      </w:r>
    </w:p>
    <w:p w:rsidR="002A22A4" w:rsidRPr="006E709F" w:rsidRDefault="002A22A4" w:rsidP="00A801D0">
      <w:pPr>
        <w:pStyle w:val="subsection"/>
      </w:pPr>
      <w:r w:rsidRPr="006E709F">
        <w:tab/>
      </w:r>
      <w:r w:rsidRPr="006E709F">
        <w:tab/>
      </w:r>
      <w:r w:rsidR="00FF4176" w:rsidRPr="006E709F">
        <w:t>Paragraph 6</w:t>
      </w:r>
      <w:r w:rsidRPr="006E709F">
        <w:t>203(b) does not apply to</w:t>
      </w:r>
      <w:r w:rsidR="00875880" w:rsidRPr="006E709F">
        <w:t xml:space="preserve"> the following</w:t>
      </w:r>
      <w:r w:rsidRPr="006E709F">
        <w:t>:</w:t>
      </w:r>
    </w:p>
    <w:p w:rsidR="002A22A4" w:rsidRPr="006E709F" w:rsidRDefault="002A22A4" w:rsidP="00A801D0">
      <w:pPr>
        <w:pStyle w:val="paragraph"/>
      </w:pPr>
      <w:r w:rsidRPr="006E709F">
        <w:tab/>
        <w:t>(a)</w:t>
      </w:r>
      <w:r w:rsidRPr="006E709F">
        <w:tab/>
        <w:t>item</w:t>
      </w:r>
      <w:r w:rsidR="00DA13DE" w:rsidRPr="006E709F">
        <w:t> </w:t>
      </w:r>
      <w:r w:rsidRPr="006E709F">
        <w:t xml:space="preserve">6309, 6312 or 6318 of </w:t>
      </w:r>
      <w:r w:rsidR="00A801D0" w:rsidRPr="006E709F">
        <w:t>Part</w:t>
      </w:r>
      <w:r w:rsidR="00DA13DE" w:rsidRPr="006E709F">
        <w:t> </w:t>
      </w:r>
      <w:r w:rsidRPr="006E709F">
        <w:t xml:space="preserve">3 if a word </w:t>
      </w:r>
      <w:r w:rsidR="00875880" w:rsidRPr="006E709F">
        <w:t xml:space="preserve">or phrase </w:t>
      </w:r>
      <w:r w:rsidRPr="006E709F">
        <w:t>in any of those items must be included in the name of:</w:t>
      </w:r>
    </w:p>
    <w:p w:rsidR="002A22A4" w:rsidRPr="006E709F" w:rsidRDefault="002A22A4" w:rsidP="00A801D0">
      <w:pPr>
        <w:pStyle w:val="paragraphsub"/>
      </w:pPr>
      <w:r w:rsidRPr="006E709F">
        <w:tab/>
        <w:t>(i)</w:t>
      </w:r>
      <w:r w:rsidRPr="006E709F">
        <w:tab/>
        <w:t>a registrable Australian body; or</w:t>
      </w:r>
    </w:p>
    <w:p w:rsidR="002A22A4" w:rsidRPr="006E709F" w:rsidRDefault="002A22A4" w:rsidP="00A801D0">
      <w:pPr>
        <w:pStyle w:val="paragraphsub"/>
      </w:pPr>
      <w:r w:rsidRPr="006E709F">
        <w:tab/>
        <w:t>(ii)</w:t>
      </w:r>
      <w:r w:rsidRPr="006E709F">
        <w:tab/>
        <w:t>a registered Australian body;</w:t>
      </w:r>
    </w:p>
    <w:p w:rsidR="002A22A4" w:rsidRPr="006E709F" w:rsidRDefault="002A22A4" w:rsidP="00A801D0">
      <w:pPr>
        <w:pStyle w:val="paragraph"/>
      </w:pPr>
      <w:r w:rsidRPr="006E709F">
        <w:tab/>
      </w:r>
      <w:r w:rsidRPr="006E709F">
        <w:tab/>
        <w:t xml:space="preserve">because of the Act under which it is </w:t>
      </w:r>
      <w:r w:rsidR="00875880" w:rsidRPr="006E709F">
        <w:t>incorporated or registered;</w:t>
      </w:r>
    </w:p>
    <w:p w:rsidR="002A22A4" w:rsidRPr="006E709F" w:rsidRDefault="002A22A4" w:rsidP="00A801D0">
      <w:pPr>
        <w:pStyle w:val="paragraph"/>
      </w:pPr>
      <w:r w:rsidRPr="006E709F">
        <w:tab/>
        <w:t>(b)</w:t>
      </w:r>
      <w:r w:rsidRPr="006E709F">
        <w:tab/>
        <w:t>item</w:t>
      </w:r>
      <w:r w:rsidR="00DA13DE" w:rsidRPr="006E709F">
        <w:t> </w:t>
      </w:r>
      <w:r w:rsidRPr="006E709F">
        <w:t xml:space="preserve">6314 of </w:t>
      </w:r>
      <w:r w:rsidR="00A801D0" w:rsidRPr="006E709F">
        <w:t>Part</w:t>
      </w:r>
      <w:r w:rsidR="00DA13DE" w:rsidRPr="006E709F">
        <w:t> </w:t>
      </w:r>
      <w:r w:rsidRPr="006E709F">
        <w:t>3 if the word</w:t>
      </w:r>
      <w:r w:rsidR="00875880" w:rsidRPr="006E709F">
        <w:t xml:space="preserve"> in that item</w:t>
      </w:r>
      <w:r w:rsidRPr="006E709F">
        <w:t xml:space="preserve"> must be included in the name of:</w:t>
      </w:r>
    </w:p>
    <w:p w:rsidR="002A22A4" w:rsidRPr="006E709F" w:rsidRDefault="002A22A4" w:rsidP="00A801D0">
      <w:pPr>
        <w:pStyle w:val="paragraphsub"/>
      </w:pPr>
      <w:r w:rsidRPr="006E709F">
        <w:tab/>
        <w:t>(i)</w:t>
      </w:r>
      <w:r w:rsidRPr="006E709F">
        <w:tab/>
        <w:t>a registrable Australian body; or</w:t>
      </w:r>
    </w:p>
    <w:p w:rsidR="002A22A4" w:rsidRPr="006E709F" w:rsidRDefault="002A22A4" w:rsidP="00A801D0">
      <w:pPr>
        <w:pStyle w:val="paragraphsub"/>
      </w:pPr>
      <w:r w:rsidRPr="006E709F">
        <w:tab/>
        <w:t>(ii)</w:t>
      </w:r>
      <w:r w:rsidRPr="006E709F">
        <w:tab/>
        <w:t>a registered Australian body; or</w:t>
      </w:r>
    </w:p>
    <w:p w:rsidR="002A22A4" w:rsidRPr="006E709F" w:rsidRDefault="002A22A4" w:rsidP="00A801D0">
      <w:pPr>
        <w:pStyle w:val="paragraphsub"/>
      </w:pPr>
      <w:r w:rsidRPr="006E709F">
        <w:tab/>
        <w:t>(iii)</w:t>
      </w:r>
      <w:r w:rsidRPr="006E709F">
        <w:tab/>
        <w:t>a registered foreign company; or</w:t>
      </w:r>
    </w:p>
    <w:p w:rsidR="002A22A4" w:rsidRPr="006E709F" w:rsidRDefault="002A22A4" w:rsidP="00A801D0">
      <w:pPr>
        <w:pStyle w:val="paragraphsub"/>
      </w:pPr>
      <w:r w:rsidRPr="006E709F">
        <w:tab/>
        <w:t>(iv)</w:t>
      </w:r>
      <w:r w:rsidRPr="006E709F">
        <w:tab/>
        <w:t>a foreign company;</w:t>
      </w:r>
    </w:p>
    <w:p w:rsidR="002A22A4" w:rsidRPr="006E709F" w:rsidRDefault="002A22A4" w:rsidP="00A801D0">
      <w:pPr>
        <w:pStyle w:val="paragraph"/>
      </w:pPr>
      <w:r w:rsidRPr="006E709F">
        <w:tab/>
      </w:r>
      <w:r w:rsidRPr="006E709F">
        <w:tab/>
        <w:t>because of the Act under which it is incorporated or registered</w:t>
      </w:r>
      <w:r w:rsidR="00875880" w:rsidRPr="006E709F">
        <w:t>;</w:t>
      </w:r>
    </w:p>
    <w:p w:rsidR="00875880" w:rsidRPr="006E709F" w:rsidRDefault="00875880" w:rsidP="00875880">
      <w:pPr>
        <w:pStyle w:val="paragraph"/>
      </w:pPr>
      <w:r w:rsidRPr="006E709F">
        <w:tab/>
        <w:t>(c)</w:t>
      </w:r>
      <w:r w:rsidRPr="006E709F">
        <w:tab/>
        <w:t>item</w:t>
      </w:r>
      <w:r w:rsidR="00DA13DE" w:rsidRPr="006E709F">
        <w:t> </w:t>
      </w:r>
      <w:r w:rsidRPr="006E709F">
        <w:t>6316AA of Part</w:t>
      </w:r>
      <w:r w:rsidR="00DA13DE" w:rsidRPr="006E709F">
        <w:t> </w:t>
      </w:r>
      <w:r w:rsidRPr="006E709F">
        <w:t>3 if the phrase in that item is included in the name of a foreign passport fund in relation to which a notice of intention has been lodged under section</w:t>
      </w:r>
      <w:r w:rsidR="00DA13DE" w:rsidRPr="006E709F">
        <w:t> </w:t>
      </w:r>
      <w:r w:rsidRPr="006E709F">
        <w:t>1213 of the Act (which deals with notices of intention to offer interests in a foreign passport fund).</w:t>
      </w:r>
    </w:p>
    <w:p w:rsidR="002A22A4" w:rsidRPr="006E709F" w:rsidRDefault="002A22A4" w:rsidP="00042A1F">
      <w:pPr>
        <w:pStyle w:val="ItemHead"/>
      </w:pPr>
      <w:r w:rsidRPr="006E709F">
        <w:t>6205</w:t>
      </w:r>
      <w:r w:rsidR="009D0870" w:rsidRPr="006E709F">
        <w:t xml:space="preserve">  </w:t>
      </w:r>
    </w:p>
    <w:p w:rsidR="002A22A4" w:rsidRPr="006E709F" w:rsidRDefault="002A22A4" w:rsidP="00A801D0">
      <w:pPr>
        <w:pStyle w:val="subsection"/>
      </w:pPr>
      <w:r w:rsidRPr="006E709F">
        <w:tab/>
      </w:r>
      <w:r w:rsidRPr="006E709F">
        <w:tab/>
      </w:r>
      <w:r w:rsidR="00FF4176" w:rsidRPr="006E709F">
        <w:t>Paragraph 6</w:t>
      </w:r>
      <w:r w:rsidRPr="006E709F">
        <w:t>203(c) does not apply if ASIC is satisfied that the word is used in a geographical context.</w:t>
      </w:r>
    </w:p>
    <w:p w:rsidR="002A22A4" w:rsidRPr="006E709F" w:rsidRDefault="00A801D0" w:rsidP="00A801D0">
      <w:pPr>
        <w:pStyle w:val="ActHead2"/>
        <w:pageBreakBefore/>
      </w:pPr>
      <w:bookmarkStart w:id="11" w:name="_Toc160609703"/>
      <w:r w:rsidRPr="000C4237">
        <w:rPr>
          <w:rStyle w:val="CharPartNo"/>
        </w:rPr>
        <w:t>Part</w:t>
      </w:r>
      <w:r w:rsidR="00DA13DE" w:rsidRPr="000C4237">
        <w:rPr>
          <w:rStyle w:val="CharPartNo"/>
        </w:rPr>
        <w:t> </w:t>
      </w:r>
      <w:r w:rsidR="002A22A4" w:rsidRPr="000C4237">
        <w:rPr>
          <w:rStyle w:val="CharPartNo"/>
        </w:rPr>
        <w:t>3</w:t>
      </w:r>
      <w:r w:rsidRPr="006E709F">
        <w:t>—</w:t>
      </w:r>
      <w:r w:rsidR="002A22A4" w:rsidRPr="000C4237">
        <w:rPr>
          <w:rStyle w:val="CharPartText"/>
        </w:rPr>
        <w:t>Restricted words and phrases</w:t>
      </w:r>
      <w:bookmarkEnd w:id="11"/>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98"/>
        <w:gridCol w:w="7231"/>
      </w:tblGrid>
      <w:tr w:rsidR="002A22A4" w:rsidRPr="006E709F" w:rsidTr="00E118FA">
        <w:trPr>
          <w:tblHeader/>
        </w:trPr>
        <w:tc>
          <w:tcPr>
            <w:tcW w:w="761"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1</w:t>
            </w:r>
          </w:p>
        </w:tc>
        <w:tc>
          <w:tcPr>
            <w:tcW w:w="4239"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2</w:t>
            </w:r>
          </w:p>
        </w:tc>
      </w:tr>
      <w:tr w:rsidR="002A22A4" w:rsidRPr="006E709F" w:rsidTr="00E118FA">
        <w:trPr>
          <w:tblHeader/>
        </w:trPr>
        <w:tc>
          <w:tcPr>
            <w:tcW w:w="761" w:type="pct"/>
            <w:tcBorders>
              <w:top w:val="single" w:sz="6" w:space="0" w:color="auto"/>
              <w:bottom w:val="single" w:sz="12" w:space="0" w:color="auto"/>
            </w:tcBorders>
            <w:shd w:val="clear" w:color="auto" w:fill="auto"/>
          </w:tcPr>
          <w:p w:rsidR="002A22A4" w:rsidRPr="006E709F" w:rsidRDefault="002A22A4" w:rsidP="005133DE">
            <w:pPr>
              <w:pStyle w:val="TableHeading"/>
            </w:pPr>
            <w:r w:rsidRPr="006E709F">
              <w:t>Item</w:t>
            </w:r>
          </w:p>
        </w:tc>
        <w:tc>
          <w:tcPr>
            <w:tcW w:w="4239" w:type="pct"/>
            <w:tcBorders>
              <w:top w:val="single" w:sz="6" w:space="0" w:color="auto"/>
              <w:bottom w:val="single" w:sz="12" w:space="0" w:color="auto"/>
            </w:tcBorders>
            <w:shd w:val="clear" w:color="auto" w:fill="auto"/>
          </w:tcPr>
          <w:p w:rsidR="002A22A4" w:rsidRPr="006E709F" w:rsidRDefault="002A22A4" w:rsidP="005133DE">
            <w:pPr>
              <w:pStyle w:val="TableHeading"/>
            </w:pPr>
            <w:r w:rsidRPr="006E709F">
              <w:t>Word or phrase</w:t>
            </w:r>
          </w:p>
        </w:tc>
      </w:tr>
      <w:tr w:rsidR="00F67947" w:rsidRPr="006E709F" w:rsidTr="00E118FA">
        <w:tc>
          <w:tcPr>
            <w:tcW w:w="761" w:type="pct"/>
            <w:tcBorders>
              <w:top w:val="single" w:sz="12" w:space="0" w:color="auto"/>
              <w:bottom w:val="single" w:sz="4" w:space="0" w:color="auto"/>
            </w:tcBorders>
            <w:shd w:val="clear" w:color="auto" w:fill="auto"/>
          </w:tcPr>
          <w:p w:rsidR="00F67947" w:rsidRPr="006E709F" w:rsidRDefault="00F67947" w:rsidP="004E434B">
            <w:pPr>
              <w:pStyle w:val="Tabletext"/>
            </w:pPr>
            <w:r w:rsidRPr="006E709F">
              <w:t>6301A</w:t>
            </w:r>
          </w:p>
        </w:tc>
        <w:tc>
          <w:tcPr>
            <w:tcW w:w="4239" w:type="pct"/>
            <w:tcBorders>
              <w:top w:val="single" w:sz="12" w:space="0" w:color="auto"/>
              <w:bottom w:val="single" w:sz="4" w:space="0" w:color="auto"/>
            </w:tcBorders>
            <w:shd w:val="clear" w:color="auto" w:fill="auto"/>
          </w:tcPr>
          <w:p w:rsidR="00F67947" w:rsidRPr="006E709F" w:rsidRDefault="00F67947" w:rsidP="004E434B">
            <w:pPr>
              <w:pStyle w:val="Tabletext"/>
            </w:pPr>
            <w:r w:rsidRPr="006E709F">
              <w:t>Aboriginal and Torres Strait Islander Corporation</w:t>
            </w:r>
          </w:p>
        </w:tc>
      </w:tr>
      <w:tr w:rsidR="00F67947" w:rsidRPr="006E709F" w:rsidTr="00E118FA">
        <w:tc>
          <w:tcPr>
            <w:tcW w:w="761" w:type="pct"/>
            <w:tcBorders>
              <w:top w:val="single" w:sz="4" w:space="0" w:color="auto"/>
            </w:tcBorders>
            <w:shd w:val="clear" w:color="auto" w:fill="auto"/>
          </w:tcPr>
          <w:p w:rsidR="00F67947" w:rsidRPr="006E709F" w:rsidRDefault="00F67947" w:rsidP="00A801D0">
            <w:pPr>
              <w:pStyle w:val="Tabletext"/>
            </w:pPr>
            <w:r w:rsidRPr="006E709F">
              <w:t>6301</w:t>
            </w:r>
          </w:p>
        </w:tc>
        <w:tc>
          <w:tcPr>
            <w:tcW w:w="4239" w:type="pct"/>
            <w:tcBorders>
              <w:top w:val="single" w:sz="4" w:space="0" w:color="auto"/>
            </w:tcBorders>
            <w:shd w:val="clear" w:color="auto" w:fill="auto"/>
          </w:tcPr>
          <w:p w:rsidR="00F67947" w:rsidRPr="006E709F" w:rsidRDefault="00F67947" w:rsidP="00A801D0">
            <w:pPr>
              <w:pStyle w:val="Tabletext"/>
            </w:pPr>
            <w:r w:rsidRPr="006E709F">
              <w:t>Aboriginal Corporation</w:t>
            </w:r>
          </w:p>
        </w:tc>
      </w:tr>
      <w:tr w:rsidR="00F67947" w:rsidRPr="006E709F" w:rsidTr="00E118FA">
        <w:tc>
          <w:tcPr>
            <w:tcW w:w="761" w:type="pct"/>
            <w:shd w:val="clear" w:color="auto" w:fill="auto"/>
          </w:tcPr>
          <w:p w:rsidR="00F67947" w:rsidRPr="006E709F" w:rsidRDefault="00F67947" w:rsidP="00A801D0">
            <w:pPr>
              <w:pStyle w:val="Tabletext"/>
            </w:pPr>
            <w:r w:rsidRPr="006E709F">
              <w:t>6302</w:t>
            </w:r>
          </w:p>
        </w:tc>
        <w:tc>
          <w:tcPr>
            <w:tcW w:w="4239" w:type="pct"/>
            <w:shd w:val="clear" w:color="auto" w:fill="auto"/>
          </w:tcPr>
          <w:p w:rsidR="00F67947" w:rsidRPr="006E709F" w:rsidRDefault="00F67947" w:rsidP="00A801D0">
            <w:pPr>
              <w:pStyle w:val="Tabletext"/>
            </w:pPr>
            <w:r w:rsidRPr="006E709F">
              <w:t>Aboriginal Council</w:t>
            </w:r>
          </w:p>
        </w:tc>
      </w:tr>
      <w:tr w:rsidR="00F67947" w:rsidRPr="006E709F" w:rsidTr="00E118FA">
        <w:tc>
          <w:tcPr>
            <w:tcW w:w="761" w:type="pct"/>
            <w:shd w:val="clear" w:color="auto" w:fill="auto"/>
          </w:tcPr>
          <w:p w:rsidR="00F67947" w:rsidRPr="006E709F" w:rsidRDefault="00F67947" w:rsidP="00A801D0">
            <w:pPr>
              <w:pStyle w:val="Tabletext"/>
            </w:pPr>
            <w:r w:rsidRPr="006E709F">
              <w:t>6304</w:t>
            </w:r>
          </w:p>
        </w:tc>
        <w:tc>
          <w:tcPr>
            <w:tcW w:w="4239" w:type="pct"/>
            <w:shd w:val="clear" w:color="auto" w:fill="auto"/>
          </w:tcPr>
          <w:p w:rsidR="00F67947" w:rsidRPr="006E709F" w:rsidRDefault="00F67947" w:rsidP="00A801D0">
            <w:pPr>
              <w:pStyle w:val="Tabletext"/>
            </w:pPr>
            <w:r w:rsidRPr="006E709F">
              <w:t>Chamber of Commerce</w:t>
            </w:r>
          </w:p>
        </w:tc>
      </w:tr>
      <w:tr w:rsidR="00F67947" w:rsidRPr="006E709F" w:rsidTr="00E118FA">
        <w:tc>
          <w:tcPr>
            <w:tcW w:w="761" w:type="pct"/>
            <w:shd w:val="clear" w:color="auto" w:fill="auto"/>
          </w:tcPr>
          <w:p w:rsidR="00F67947" w:rsidRPr="006E709F" w:rsidRDefault="00F67947" w:rsidP="00A801D0">
            <w:pPr>
              <w:pStyle w:val="Tabletext"/>
            </w:pPr>
            <w:r w:rsidRPr="006E709F">
              <w:t>6305</w:t>
            </w:r>
          </w:p>
        </w:tc>
        <w:tc>
          <w:tcPr>
            <w:tcW w:w="4239" w:type="pct"/>
            <w:shd w:val="clear" w:color="auto" w:fill="auto"/>
          </w:tcPr>
          <w:p w:rsidR="00F67947" w:rsidRPr="006E709F" w:rsidRDefault="00F67947" w:rsidP="00A801D0">
            <w:pPr>
              <w:pStyle w:val="Tabletext"/>
            </w:pPr>
            <w:r w:rsidRPr="006E709F">
              <w:t>Chamber of Manufactures</w:t>
            </w:r>
          </w:p>
        </w:tc>
      </w:tr>
      <w:tr w:rsidR="00F67947" w:rsidRPr="006E709F" w:rsidTr="00E118FA">
        <w:tc>
          <w:tcPr>
            <w:tcW w:w="761" w:type="pct"/>
            <w:shd w:val="clear" w:color="auto" w:fill="auto"/>
          </w:tcPr>
          <w:p w:rsidR="00F67947" w:rsidRPr="006E709F" w:rsidRDefault="00F67947" w:rsidP="00A801D0">
            <w:pPr>
              <w:pStyle w:val="Tabletext"/>
            </w:pPr>
            <w:r w:rsidRPr="006E709F">
              <w:t>6306</w:t>
            </w:r>
          </w:p>
        </w:tc>
        <w:tc>
          <w:tcPr>
            <w:tcW w:w="4239" w:type="pct"/>
            <w:shd w:val="clear" w:color="auto" w:fill="auto"/>
          </w:tcPr>
          <w:p w:rsidR="00F67947" w:rsidRPr="006E709F" w:rsidRDefault="00F67947" w:rsidP="00A801D0">
            <w:pPr>
              <w:pStyle w:val="Tabletext"/>
            </w:pPr>
            <w:r w:rsidRPr="006E709F">
              <w:t>Chartered</w:t>
            </w:r>
          </w:p>
        </w:tc>
      </w:tr>
      <w:tr w:rsidR="00F67947" w:rsidRPr="006E709F" w:rsidTr="00E118FA">
        <w:tc>
          <w:tcPr>
            <w:tcW w:w="761" w:type="pct"/>
            <w:shd w:val="clear" w:color="auto" w:fill="auto"/>
          </w:tcPr>
          <w:p w:rsidR="00F67947" w:rsidRPr="006E709F" w:rsidRDefault="00F67947" w:rsidP="00A801D0">
            <w:pPr>
              <w:pStyle w:val="Tabletext"/>
            </w:pPr>
            <w:r w:rsidRPr="006E709F">
              <w:t>6308</w:t>
            </w:r>
          </w:p>
        </w:tc>
        <w:tc>
          <w:tcPr>
            <w:tcW w:w="4239" w:type="pct"/>
            <w:shd w:val="clear" w:color="auto" w:fill="auto"/>
          </w:tcPr>
          <w:p w:rsidR="00F67947" w:rsidRPr="006E709F" w:rsidRDefault="00F67947" w:rsidP="00A801D0">
            <w:pPr>
              <w:pStyle w:val="Tabletext"/>
            </w:pPr>
            <w:r w:rsidRPr="006E709F">
              <w:t>Consumer</w:t>
            </w:r>
          </w:p>
        </w:tc>
      </w:tr>
      <w:tr w:rsidR="00F67947" w:rsidRPr="006E709F" w:rsidTr="00E118FA">
        <w:tc>
          <w:tcPr>
            <w:tcW w:w="761" w:type="pct"/>
            <w:shd w:val="clear" w:color="auto" w:fill="auto"/>
          </w:tcPr>
          <w:p w:rsidR="00F67947" w:rsidRPr="006E709F" w:rsidRDefault="00F67947" w:rsidP="00A801D0">
            <w:pPr>
              <w:pStyle w:val="Tabletext"/>
            </w:pPr>
            <w:r w:rsidRPr="006E709F">
              <w:t>6309</w:t>
            </w:r>
          </w:p>
        </w:tc>
        <w:tc>
          <w:tcPr>
            <w:tcW w:w="4239" w:type="pct"/>
            <w:shd w:val="clear" w:color="auto" w:fill="auto"/>
          </w:tcPr>
          <w:p w:rsidR="00F67947" w:rsidRPr="006E709F" w:rsidRDefault="00F67947" w:rsidP="00A801D0">
            <w:pPr>
              <w:pStyle w:val="Tabletext"/>
            </w:pPr>
            <w:r w:rsidRPr="006E709F">
              <w:t>Co</w:t>
            </w:r>
            <w:r w:rsidR="000C4237">
              <w:noBreakHyphen/>
            </w:r>
            <w:r w:rsidRPr="006E709F">
              <w:t>operative</w:t>
            </w:r>
          </w:p>
        </w:tc>
      </w:tr>
      <w:tr w:rsidR="00F67947" w:rsidRPr="006E709F" w:rsidTr="00E118FA">
        <w:tc>
          <w:tcPr>
            <w:tcW w:w="761" w:type="pct"/>
            <w:shd w:val="clear" w:color="auto" w:fill="auto"/>
          </w:tcPr>
          <w:p w:rsidR="00F67947" w:rsidRPr="006E709F" w:rsidRDefault="00F67947" w:rsidP="00A801D0">
            <w:pPr>
              <w:pStyle w:val="Tabletext"/>
            </w:pPr>
            <w:r w:rsidRPr="006E709F">
              <w:t>6311</w:t>
            </w:r>
          </w:p>
        </w:tc>
        <w:tc>
          <w:tcPr>
            <w:tcW w:w="4239" w:type="pct"/>
            <w:shd w:val="clear" w:color="auto" w:fill="auto"/>
          </w:tcPr>
          <w:p w:rsidR="00F67947" w:rsidRPr="006E709F" w:rsidRDefault="00F67947" w:rsidP="00A801D0">
            <w:pPr>
              <w:pStyle w:val="Tabletext"/>
            </w:pPr>
            <w:r w:rsidRPr="006E709F">
              <w:t>Executor</w:t>
            </w:r>
          </w:p>
        </w:tc>
      </w:tr>
      <w:tr w:rsidR="00F67947" w:rsidRPr="006E709F" w:rsidTr="00E118FA">
        <w:tc>
          <w:tcPr>
            <w:tcW w:w="761" w:type="pct"/>
            <w:shd w:val="clear" w:color="auto" w:fill="auto"/>
          </w:tcPr>
          <w:p w:rsidR="00F67947" w:rsidRPr="006E709F" w:rsidRDefault="00F67947" w:rsidP="00A801D0">
            <w:pPr>
              <w:pStyle w:val="Tabletext"/>
            </w:pPr>
            <w:r w:rsidRPr="006E709F">
              <w:t>6312</w:t>
            </w:r>
          </w:p>
        </w:tc>
        <w:tc>
          <w:tcPr>
            <w:tcW w:w="4239" w:type="pct"/>
            <w:shd w:val="clear" w:color="auto" w:fill="auto"/>
          </w:tcPr>
          <w:p w:rsidR="00F67947" w:rsidRPr="006E709F" w:rsidRDefault="00F67947" w:rsidP="00A801D0">
            <w:pPr>
              <w:pStyle w:val="Tabletext"/>
            </w:pPr>
            <w:r w:rsidRPr="006E709F">
              <w:t>Friendly Society (other than in relation to the conduct of a financial business)</w:t>
            </w:r>
          </w:p>
        </w:tc>
      </w:tr>
      <w:tr w:rsidR="00F67947" w:rsidRPr="006E709F" w:rsidTr="00E118FA">
        <w:tc>
          <w:tcPr>
            <w:tcW w:w="761" w:type="pct"/>
            <w:shd w:val="clear" w:color="auto" w:fill="auto"/>
          </w:tcPr>
          <w:p w:rsidR="00F67947" w:rsidRPr="006E709F" w:rsidRDefault="00F67947" w:rsidP="00A801D0">
            <w:pPr>
              <w:pStyle w:val="Tabletext"/>
            </w:pPr>
            <w:r w:rsidRPr="006E709F">
              <w:t>6312A</w:t>
            </w:r>
          </w:p>
        </w:tc>
        <w:tc>
          <w:tcPr>
            <w:tcW w:w="4239" w:type="pct"/>
            <w:shd w:val="clear" w:color="auto" w:fill="auto"/>
          </w:tcPr>
          <w:p w:rsidR="00F67947" w:rsidRPr="006E709F" w:rsidRDefault="00F67947" w:rsidP="00A801D0">
            <w:pPr>
              <w:pStyle w:val="Tabletext"/>
            </w:pPr>
            <w:r w:rsidRPr="006E709F">
              <w:t>GST</w:t>
            </w:r>
          </w:p>
        </w:tc>
      </w:tr>
      <w:tr w:rsidR="00F67947" w:rsidRPr="006E709F" w:rsidTr="00E118FA">
        <w:tc>
          <w:tcPr>
            <w:tcW w:w="761" w:type="pct"/>
            <w:shd w:val="clear" w:color="auto" w:fill="auto"/>
          </w:tcPr>
          <w:p w:rsidR="00F67947" w:rsidRPr="006E709F" w:rsidRDefault="00F67947" w:rsidP="00A801D0">
            <w:pPr>
              <w:pStyle w:val="Tabletext"/>
            </w:pPr>
            <w:r w:rsidRPr="006E709F">
              <w:t>6312B</w:t>
            </w:r>
          </w:p>
        </w:tc>
        <w:tc>
          <w:tcPr>
            <w:tcW w:w="4239" w:type="pct"/>
            <w:shd w:val="clear" w:color="auto" w:fill="auto"/>
          </w:tcPr>
          <w:p w:rsidR="00F67947" w:rsidRPr="006E709F" w:rsidRDefault="00F67947" w:rsidP="00A801D0">
            <w:pPr>
              <w:pStyle w:val="Tabletext"/>
            </w:pPr>
            <w:r w:rsidRPr="006E709F">
              <w:t>G.S.T.</w:t>
            </w:r>
          </w:p>
        </w:tc>
      </w:tr>
      <w:tr w:rsidR="00F67947" w:rsidRPr="006E709F" w:rsidTr="00E118FA">
        <w:tc>
          <w:tcPr>
            <w:tcW w:w="761" w:type="pct"/>
            <w:shd w:val="clear" w:color="auto" w:fill="auto"/>
          </w:tcPr>
          <w:p w:rsidR="00F67947" w:rsidRPr="006E709F" w:rsidRDefault="00F67947" w:rsidP="00A801D0">
            <w:pPr>
              <w:pStyle w:val="Tabletext"/>
            </w:pPr>
            <w:r w:rsidRPr="006E709F">
              <w:t>6313</w:t>
            </w:r>
          </w:p>
        </w:tc>
        <w:tc>
          <w:tcPr>
            <w:tcW w:w="4239" w:type="pct"/>
            <w:shd w:val="clear" w:color="auto" w:fill="auto"/>
          </w:tcPr>
          <w:p w:rsidR="00F67947" w:rsidRPr="006E709F" w:rsidRDefault="00F67947" w:rsidP="00A801D0">
            <w:pPr>
              <w:pStyle w:val="Tabletext"/>
            </w:pPr>
            <w:r w:rsidRPr="006E709F">
              <w:t>Guarantee</w:t>
            </w:r>
          </w:p>
        </w:tc>
      </w:tr>
      <w:tr w:rsidR="00F67947" w:rsidRPr="006E709F" w:rsidTr="00E118FA">
        <w:tc>
          <w:tcPr>
            <w:tcW w:w="761" w:type="pct"/>
            <w:shd w:val="clear" w:color="auto" w:fill="auto"/>
          </w:tcPr>
          <w:p w:rsidR="00F67947" w:rsidRPr="006E709F" w:rsidRDefault="00F67947" w:rsidP="00A801D0">
            <w:pPr>
              <w:pStyle w:val="Tabletext"/>
            </w:pPr>
            <w:r w:rsidRPr="006E709F">
              <w:t>6314</w:t>
            </w:r>
          </w:p>
        </w:tc>
        <w:tc>
          <w:tcPr>
            <w:tcW w:w="4239" w:type="pct"/>
            <w:shd w:val="clear" w:color="auto" w:fill="auto"/>
          </w:tcPr>
          <w:p w:rsidR="00F67947" w:rsidRPr="006E709F" w:rsidRDefault="00F67947" w:rsidP="00A801D0">
            <w:pPr>
              <w:pStyle w:val="Tabletext"/>
            </w:pPr>
            <w:r w:rsidRPr="006E709F">
              <w:t>Incorporated</w:t>
            </w:r>
          </w:p>
        </w:tc>
      </w:tr>
      <w:tr w:rsidR="003D77A1" w:rsidRPr="006E709F" w:rsidTr="00E118FA">
        <w:tc>
          <w:tcPr>
            <w:tcW w:w="761" w:type="pct"/>
            <w:shd w:val="clear" w:color="auto" w:fill="auto"/>
          </w:tcPr>
          <w:p w:rsidR="003D77A1" w:rsidRPr="006E709F" w:rsidRDefault="003D77A1" w:rsidP="00A801D0">
            <w:pPr>
              <w:pStyle w:val="Tabletext"/>
            </w:pPr>
            <w:r w:rsidRPr="006E709F">
              <w:t>6315</w:t>
            </w:r>
          </w:p>
        </w:tc>
        <w:tc>
          <w:tcPr>
            <w:tcW w:w="4239" w:type="pct"/>
            <w:shd w:val="clear" w:color="auto" w:fill="auto"/>
          </w:tcPr>
          <w:p w:rsidR="003D77A1" w:rsidRPr="006E709F" w:rsidRDefault="003D77A1" w:rsidP="00A801D0">
            <w:pPr>
              <w:pStyle w:val="Tabletext"/>
            </w:pPr>
            <w:r w:rsidRPr="006E709F">
              <w:t>Indigenous Corporation</w:t>
            </w:r>
          </w:p>
        </w:tc>
      </w:tr>
      <w:tr w:rsidR="003D77A1" w:rsidRPr="006E709F" w:rsidTr="00E118FA">
        <w:tc>
          <w:tcPr>
            <w:tcW w:w="761" w:type="pct"/>
            <w:shd w:val="clear" w:color="auto" w:fill="auto"/>
          </w:tcPr>
          <w:p w:rsidR="003D77A1" w:rsidRPr="006E709F" w:rsidRDefault="003D77A1" w:rsidP="00A801D0">
            <w:pPr>
              <w:pStyle w:val="Tabletext"/>
            </w:pPr>
            <w:r w:rsidRPr="006E709F">
              <w:t>6316</w:t>
            </w:r>
          </w:p>
        </w:tc>
        <w:tc>
          <w:tcPr>
            <w:tcW w:w="4239" w:type="pct"/>
            <w:shd w:val="clear" w:color="auto" w:fill="auto"/>
          </w:tcPr>
          <w:p w:rsidR="003D77A1" w:rsidRPr="006E709F" w:rsidRDefault="003D77A1" w:rsidP="00A801D0">
            <w:pPr>
              <w:pStyle w:val="Tabletext"/>
            </w:pPr>
            <w:r w:rsidRPr="006E709F">
              <w:t>Made in Australia</w:t>
            </w:r>
          </w:p>
        </w:tc>
      </w:tr>
      <w:tr w:rsidR="003D77A1" w:rsidRPr="006E709F" w:rsidTr="00E118FA">
        <w:tc>
          <w:tcPr>
            <w:tcW w:w="761" w:type="pct"/>
            <w:shd w:val="clear" w:color="auto" w:fill="auto"/>
          </w:tcPr>
          <w:p w:rsidR="003D77A1" w:rsidRPr="006E709F" w:rsidRDefault="003D77A1" w:rsidP="00A801D0">
            <w:pPr>
              <w:pStyle w:val="Tabletext"/>
            </w:pPr>
            <w:r w:rsidRPr="006E709F">
              <w:t>6316AA</w:t>
            </w:r>
          </w:p>
        </w:tc>
        <w:tc>
          <w:tcPr>
            <w:tcW w:w="4239" w:type="pct"/>
            <w:shd w:val="clear" w:color="auto" w:fill="auto"/>
          </w:tcPr>
          <w:p w:rsidR="003D77A1" w:rsidRPr="006E709F" w:rsidRDefault="003D77A1" w:rsidP="00A801D0">
            <w:pPr>
              <w:pStyle w:val="Tabletext"/>
            </w:pPr>
            <w:r w:rsidRPr="006E709F">
              <w:t>passport fund</w:t>
            </w:r>
          </w:p>
        </w:tc>
      </w:tr>
      <w:tr w:rsidR="003D77A1" w:rsidRPr="006E709F" w:rsidTr="00E118FA">
        <w:tc>
          <w:tcPr>
            <w:tcW w:w="761" w:type="pct"/>
            <w:shd w:val="clear" w:color="auto" w:fill="auto"/>
          </w:tcPr>
          <w:p w:rsidR="003D77A1" w:rsidRPr="006E709F" w:rsidRDefault="003D77A1" w:rsidP="00A801D0">
            <w:pPr>
              <w:pStyle w:val="Tabletext"/>
            </w:pPr>
            <w:r w:rsidRPr="006E709F">
              <w:t>6316A</w:t>
            </w:r>
          </w:p>
        </w:tc>
        <w:tc>
          <w:tcPr>
            <w:tcW w:w="4239" w:type="pct"/>
            <w:shd w:val="clear" w:color="auto" w:fill="auto"/>
          </w:tcPr>
          <w:p w:rsidR="003D77A1" w:rsidRPr="006E709F" w:rsidRDefault="003D77A1" w:rsidP="00A801D0">
            <w:pPr>
              <w:pStyle w:val="Tabletext"/>
            </w:pPr>
            <w:r w:rsidRPr="006E709F">
              <w:t>police</w:t>
            </w:r>
          </w:p>
        </w:tc>
      </w:tr>
      <w:tr w:rsidR="003D77A1" w:rsidRPr="006E709F" w:rsidTr="00E118FA">
        <w:tc>
          <w:tcPr>
            <w:tcW w:w="761" w:type="pct"/>
            <w:shd w:val="clear" w:color="auto" w:fill="auto"/>
          </w:tcPr>
          <w:p w:rsidR="003D77A1" w:rsidRPr="006E709F" w:rsidRDefault="003D77A1" w:rsidP="00A801D0">
            <w:pPr>
              <w:pStyle w:val="Tabletext"/>
            </w:pPr>
            <w:r w:rsidRPr="006E709F">
              <w:t>6316B</w:t>
            </w:r>
          </w:p>
        </w:tc>
        <w:tc>
          <w:tcPr>
            <w:tcW w:w="4239" w:type="pct"/>
            <w:shd w:val="clear" w:color="auto" w:fill="auto"/>
          </w:tcPr>
          <w:p w:rsidR="003D77A1" w:rsidRPr="006E709F" w:rsidRDefault="003D77A1" w:rsidP="00A801D0">
            <w:pPr>
              <w:pStyle w:val="Tabletext"/>
            </w:pPr>
            <w:r w:rsidRPr="006E709F">
              <w:t>policing</w:t>
            </w:r>
          </w:p>
        </w:tc>
      </w:tr>
      <w:tr w:rsidR="003D77A1" w:rsidRPr="006E709F" w:rsidTr="00E118FA">
        <w:tc>
          <w:tcPr>
            <w:tcW w:w="761" w:type="pct"/>
            <w:shd w:val="clear" w:color="auto" w:fill="auto"/>
          </w:tcPr>
          <w:p w:rsidR="003D77A1" w:rsidRPr="006E709F" w:rsidRDefault="003D77A1" w:rsidP="00A801D0">
            <w:pPr>
              <w:pStyle w:val="Tabletext"/>
            </w:pPr>
            <w:r w:rsidRPr="006E709F">
              <w:t>6317</w:t>
            </w:r>
          </w:p>
        </w:tc>
        <w:tc>
          <w:tcPr>
            <w:tcW w:w="4239" w:type="pct"/>
            <w:shd w:val="clear" w:color="auto" w:fill="auto"/>
          </w:tcPr>
          <w:p w:rsidR="003D77A1" w:rsidRPr="006E709F" w:rsidRDefault="003D77A1" w:rsidP="00A801D0">
            <w:pPr>
              <w:pStyle w:val="Tabletext"/>
            </w:pPr>
            <w:r w:rsidRPr="006E709F">
              <w:t>R.S.L.</w:t>
            </w:r>
          </w:p>
        </w:tc>
      </w:tr>
      <w:tr w:rsidR="003D77A1" w:rsidRPr="006E709F" w:rsidTr="00E118FA">
        <w:tc>
          <w:tcPr>
            <w:tcW w:w="761" w:type="pct"/>
            <w:shd w:val="clear" w:color="auto" w:fill="auto"/>
          </w:tcPr>
          <w:p w:rsidR="003D77A1" w:rsidRPr="006E709F" w:rsidRDefault="003D77A1" w:rsidP="00A801D0">
            <w:pPr>
              <w:pStyle w:val="Tabletext"/>
            </w:pPr>
            <w:r w:rsidRPr="006E709F">
              <w:t>6317A</w:t>
            </w:r>
          </w:p>
        </w:tc>
        <w:tc>
          <w:tcPr>
            <w:tcW w:w="4239" w:type="pct"/>
            <w:shd w:val="clear" w:color="auto" w:fill="auto"/>
          </w:tcPr>
          <w:p w:rsidR="003D77A1" w:rsidRPr="006E709F" w:rsidRDefault="003D77A1" w:rsidP="00A801D0">
            <w:pPr>
              <w:pStyle w:val="Tabletext"/>
            </w:pPr>
            <w:r w:rsidRPr="006E709F">
              <w:t>RSL</w:t>
            </w:r>
          </w:p>
        </w:tc>
      </w:tr>
      <w:tr w:rsidR="003D77A1" w:rsidRPr="006E709F" w:rsidTr="00E118FA">
        <w:tc>
          <w:tcPr>
            <w:tcW w:w="761" w:type="pct"/>
            <w:shd w:val="clear" w:color="auto" w:fill="auto"/>
          </w:tcPr>
          <w:p w:rsidR="003D77A1" w:rsidRPr="006E709F" w:rsidRDefault="003D77A1" w:rsidP="00A801D0">
            <w:pPr>
              <w:pStyle w:val="Tabletext"/>
            </w:pPr>
            <w:r w:rsidRPr="006E709F">
              <w:t>6318</w:t>
            </w:r>
          </w:p>
        </w:tc>
        <w:tc>
          <w:tcPr>
            <w:tcW w:w="4239" w:type="pct"/>
            <w:shd w:val="clear" w:color="auto" w:fill="auto"/>
          </w:tcPr>
          <w:p w:rsidR="003D77A1" w:rsidRPr="006E709F" w:rsidRDefault="003D77A1" w:rsidP="00A801D0">
            <w:pPr>
              <w:pStyle w:val="Tabletext"/>
            </w:pPr>
            <w:r w:rsidRPr="006E709F">
              <w:t>Starr Bowkett</w:t>
            </w:r>
          </w:p>
        </w:tc>
      </w:tr>
      <w:tr w:rsidR="003D77A1" w:rsidRPr="006E709F" w:rsidTr="00E118FA">
        <w:tc>
          <w:tcPr>
            <w:tcW w:w="761" w:type="pct"/>
            <w:shd w:val="clear" w:color="auto" w:fill="auto"/>
          </w:tcPr>
          <w:p w:rsidR="003D77A1" w:rsidRPr="006E709F" w:rsidRDefault="003D77A1" w:rsidP="00A801D0">
            <w:pPr>
              <w:pStyle w:val="Tabletext"/>
            </w:pPr>
            <w:r w:rsidRPr="006E709F">
              <w:t>6319</w:t>
            </w:r>
          </w:p>
        </w:tc>
        <w:tc>
          <w:tcPr>
            <w:tcW w:w="4239" w:type="pct"/>
            <w:shd w:val="clear" w:color="auto" w:fill="auto"/>
          </w:tcPr>
          <w:p w:rsidR="003D77A1" w:rsidRPr="006E709F" w:rsidRDefault="003D77A1" w:rsidP="00A801D0">
            <w:pPr>
              <w:pStyle w:val="Tabletext"/>
            </w:pPr>
            <w:r w:rsidRPr="006E709F">
              <w:t>Stock Exchange</w:t>
            </w:r>
          </w:p>
        </w:tc>
      </w:tr>
      <w:tr w:rsidR="005D6BF2" w:rsidRPr="006E709F" w:rsidTr="00E118FA">
        <w:tc>
          <w:tcPr>
            <w:tcW w:w="761" w:type="pct"/>
            <w:shd w:val="clear" w:color="auto" w:fill="auto"/>
          </w:tcPr>
          <w:p w:rsidR="005D6BF2" w:rsidRPr="006E709F" w:rsidRDefault="005D6BF2" w:rsidP="00A801D0">
            <w:pPr>
              <w:pStyle w:val="Tabletext"/>
            </w:pPr>
            <w:r w:rsidRPr="006E709F">
              <w:t>6319A</w:t>
            </w:r>
          </w:p>
        </w:tc>
        <w:tc>
          <w:tcPr>
            <w:tcW w:w="4239" w:type="pct"/>
            <w:shd w:val="clear" w:color="auto" w:fill="auto"/>
          </w:tcPr>
          <w:p w:rsidR="005D6BF2" w:rsidRPr="006E709F" w:rsidRDefault="005D6BF2" w:rsidP="00A801D0">
            <w:pPr>
              <w:pStyle w:val="Tabletext"/>
            </w:pPr>
            <w:r w:rsidRPr="006E709F">
              <w:t>Torres Strait Islander and Aboriginal Corporation</w:t>
            </w:r>
          </w:p>
        </w:tc>
      </w:tr>
      <w:tr w:rsidR="005D6BF2" w:rsidRPr="006E709F" w:rsidTr="00E118FA">
        <w:tc>
          <w:tcPr>
            <w:tcW w:w="761" w:type="pct"/>
            <w:shd w:val="clear" w:color="auto" w:fill="auto"/>
          </w:tcPr>
          <w:p w:rsidR="005D6BF2" w:rsidRPr="006E709F" w:rsidRDefault="005D6BF2" w:rsidP="00A801D0">
            <w:pPr>
              <w:pStyle w:val="Tabletext"/>
            </w:pPr>
            <w:r w:rsidRPr="006E709F">
              <w:t>6320</w:t>
            </w:r>
          </w:p>
        </w:tc>
        <w:tc>
          <w:tcPr>
            <w:tcW w:w="4239" w:type="pct"/>
            <w:shd w:val="clear" w:color="auto" w:fill="auto"/>
          </w:tcPr>
          <w:p w:rsidR="005D6BF2" w:rsidRPr="006E709F" w:rsidRDefault="005D6BF2" w:rsidP="00A801D0">
            <w:pPr>
              <w:pStyle w:val="Tabletext"/>
            </w:pPr>
            <w:r w:rsidRPr="006E709F">
              <w:t>Torres Strait Islander Corporation</w:t>
            </w:r>
          </w:p>
        </w:tc>
      </w:tr>
      <w:tr w:rsidR="005D6BF2" w:rsidRPr="006E709F" w:rsidTr="00E118FA">
        <w:tc>
          <w:tcPr>
            <w:tcW w:w="761" w:type="pct"/>
            <w:tcBorders>
              <w:bottom w:val="single" w:sz="4" w:space="0" w:color="auto"/>
            </w:tcBorders>
            <w:shd w:val="clear" w:color="auto" w:fill="auto"/>
          </w:tcPr>
          <w:p w:rsidR="005D6BF2" w:rsidRPr="006E709F" w:rsidRDefault="005D6BF2" w:rsidP="00A801D0">
            <w:pPr>
              <w:pStyle w:val="Tabletext"/>
            </w:pPr>
            <w:r w:rsidRPr="006E709F">
              <w:t>6321</w:t>
            </w:r>
          </w:p>
        </w:tc>
        <w:tc>
          <w:tcPr>
            <w:tcW w:w="4239" w:type="pct"/>
            <w:tcBorders>
              <w:bottom w:val="single" w:sz="4" w:space="0" w:color="auto"/>
            </w:tcBorders>
            <w:shd w:val="clear" w:color="auto" w:fill="auto"/>
          </w:tcPr>
          <w:p w:rsidR="005D6BF2" w:rsidRPr="006E709F" w:rsidRDefault="005D6BF2" w:rsidP="00A801D0">
            <w:pPr>
              <w:pStyle w:val="Tabletext"/>
            </w:pPr>
            <w:r w:rsidRPr="006E709F">
              <w:t>Trust</w:t>
            </w:r>
          </w:p>
        </w:tc>
      </w:tr>
      <w:tr w:rsidR="005D6BF2" w:rsidRPr="006E709F" w:rsidTr="00E118FA">
        <w:tc>
          <w:tcPr>
            <w:tcW w:w="761" w:type="pct"/>
            <w:tcBorders>
              <w:bottom w:val="single" w:sz="12" w:space="0" w:color="auto"/>
            </w:tcBorders>
            <w:shd w:val="clear" w:color="auto" w:fill="auto"/>
          </w:tcPr>
          <w:p w:rsidR="005D6BF2" w:rsidRPr="006E709F" w:rsidRDefault="005D6BF2" w:rsidP="00A801D0">
            <w:pPr>
              <w:pStyle w:val="Tabletext"/>
            </w:pPr>
            <w:r w:rsidRPr="006E709F">
              <w:t>6322</w:t>
            </w:r>
          </w:p>
        </w:tc>
        <w:tc>
          <w:tcPr>
            <w:tcW w:w="4239" w:type="pct"/>
            <w:tcBorders>
              <w:bottom w:val="single" w:sz="12" w:space="0" w:color="auto"/>
            </w:tcBorders>
            <w:shd w:val="clear" w:color="auto" w:fill="auto"/>
          </w:tcPr>
          <w:p w:rsidR="005D6BF2" w:rsidRPr="006E709F" w:rsidRDefault="005D6BF2" w:rsidP="00A801D0">
            <w:pPr>
              <w:pStyle w:val="Tabletext"/>
            </w:pPr>
            <w:r w:rsidRPr="006E709F">
              <w:t>Trustee</w:t>
            </w:r>
          </w:p>
        </w:tc>
      </w:tr>
    </w:tbl>
    <w:p w:rsidR="002A22A4" w:rsidRPr="006E709F" w:rsidRDefault="00A801D0" w:rsidP="002A717F">
      <w:pPr>
        <w:pStyle w:val="ActHead2"/>
        <w:pageBreakBefore/>
      </w:pPr>
      <w:bookmarkStart w:id="12" w:name="_Toc160609704"/>
      <w:r w:rsidRPr="000C4237">
        <w:rPr>
          <w:rStyle w:val="CharPartNo"/>
        </w:rPr>
        <w:t>Part</w:t>
      </w:r>
      <w:r w:rsidR="00DA13DE" w:rsidRPr="000C4237">
        <w:rPr>
          <w:rStyle w:val="CharPartNo"/>
        </w:rPr>
        <w:t> </w:t>
      </w:r>
      <w:r w:rsidR="002A22A4" w:rsidRPr="000C4237">
        <w:rPr>
          <w:rStyle w:val="CharPartNo"/>
        </w:rPr>
        <w:t>4</w:t>
      </w:r>
      <w:r w:rsidRPr="006E709F">
        <w:t>—</w:t>
      </w:r>
      <w:r w:rsidR="002A22A4" w:rsidRPr="000C4237">
        <w:rPr>
          <w:rStyle w:val="CharPartText"/>
        </w:rPr>
        <w:t>Consent required to use restricted words and phrases</w:t>
      </w:r>
      <w:bookmarkEnd w:id="12"/>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79"/>
        <w:gridCol w:w="3881"/>
        <w:gridCol w:w="3369"/>
      </w:tblGrid>
      <w:tr w:rsidR="002A22A4" w:rsidRPr="006E709F" w:rsidTr="00E118FA">
        <w:trPr>
          <w:tblHeader/>
        </w:trPr>
        <w:tc>
          <w:tcPr>
            <w:tcW w:w="750"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1</w:t>
            </w:r>
          </w:p>
        </w:tc>
        <w:tc>
          <w:tcPr>
            <w:tcW w:w="2275"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2</w:t>
            </w:r>
          </w:p>
        </w:tc>
        <w:tc>
          <w:tcPr>
            <w:tcW w:w="1975" w:type="pct"/>
            <w:tcBorders>
              <w:top w:val="single" w:sz="12" w:space="0" w:color="auto"/>
              <w:bottom w:val="single" w:sz="6" w:space="0" w:color="auto"/>
            </w:tcBorders>
            <w:shd w:val="clear" w:color="auto" w:fill="auto"/>
          </w:tcPr>
          <w:p w:rsidR="002A22A4" w:rsidRPr="006E709F" w:rsidRDefault="002A22A4" w:rsidP="00A801D0">
            <w:pPr>
              <w:pStyle w:val="TableHeading"/>
            </w:pPr>
            <w:r w:rsidRPr="006E709F">
              <w:t>Column 3</w:t>
            </w:r>
          </w:p>
        </w:tc>
      </w:tr>
      <w:tr w:rsidR="002A22A4" w:rsidRPr="006E709F" w:rsidTr="00E118FA">
        <w:trPr>
          <w:tblHeader/>
        </w:trPr>
        <w:tc>
          <w:tcPr>
            <w:tcW w:w="750" w:type="pct"/>
            <w:tcBorders>
              <w:top w:val="single" w:sz="6" w:space="0" w:color="auto"/>
              <w:bottom w:val="single" w:sz="12" w:space="0" w:color="auto"/>
            </w:tcBorders>
            <w:shd w:val="clear" w:color="auto" w:fill="auto"/>
          </w:tcPr>
          <w:p w:rsidR="002A22A4" w:rsidRPr="006E709F" w:rsidRDefault="002A22A4" w:rsidP="005133DE">
            <w:pPr>
              <w:pStyle w:val="TableHeading"/>
            </w:pPr>
            <w:r w:rsidRPr="006E709F">
              <w:t>Item</w:t>
            </w:r>
          </w:p>
        </w:tc>
        <w:tc>
          <w:tcPr>
            <w:tcW w:w="2275" w:type="pct"/>
            <w:tcBorders>
              <w:top w:val="single" w:sz="6" w:space="0" w:color="auto"/>
              <w:bottom w:val="single" w:sz="12" w:space="0" w:color="auto"/>
            </w:tcBorders>
            <w:shd w:val="clear" w:color="auto" w:fill="auto"/>
          </w:tcPr>
          <w:p w:rsidR="002A22A4" w:rsidRPr="006E709F" w:rsidRDefault="002A22A4" w:rsidP="005133DE">
            <w:pPr>
              <w:pStyle w:val="TableHeading"/>
            </w:pPr>
            <w:r w:rsidRPr="006E709F">
              <w:t>Word or phrase</w:t>
            </w:r>
          </w:p>
        </w:tc>
        <w:tc>
          <w:tcPr>
            <w:tcW w:w="1975" w:type="pct"/>
            <w:tcBorders>
              <w:top w:val="single" w:sz="6" w:space="0" w:color="auto"/>
              <w:bottom w:val="single" w:sz="12" w:space="0" w:color="auto"/>
            </w:tcBorders>
            <w:shd w:val="clear" w:color="auto" w:fill="auto"/>
          </w:tcPr>
          <w:p w:rsidR="002A22A4" w:rsidRPr="006E709F" w:rsidRDefault="002A22A4" w:rsidP="005133DE">
            <w:pPr>
              <w:pStyle w:val="TableHeading"/>
            </w:pPr>
            <w:r w:rsidRPr="006E709F">
              <w:t>Minister</w:t>
            </w:r>
          </w:p>
        </w:tc>
      </w:tr>
      <w:tr w:rsidR="002A22A4" w:rsidRPr="006E709F" w:rsidTr="00E118FA">
        <w:tc>
          <w:tcPr>
            <w:tcW w:w="750" w:type="pct"/>
            <w:tcBorders>
              <w:top w:val="single" w:sz="12" w:space="0" w:color="auto"/>
            </w:tcBorders>
            <w:shd w:val="clear" w:color="auto" w:fill="auto"/>
          </w:tcPr>
          <w:p w:rsidR="002A22A4" w:rsidRPr="006E709F" w:rsidRDefault="002A22A4" w:rsidP="00A801D0">
            <w:pPr>
              <w:pStyle w:val="Tabletext"/>
            </w:pPr>
            <w:r w:rsidRPr="006E709F">
              <w:t>6401</w:t>
            </w:r>
          </w:p>
        </w:tc>
        <w:tc>
          <w:tcPr>
            <w:tcW w:w="2275" w:type="pct"/>
            <w:tcBorders>
              <w:top w:val="single" w:sz="12" w:space="0" w:color="auto"/>
            </w:tcBorders>
            <w:shd w:val="clear" w:color="auto" w:fill="auto"/>
          </w:tcPr>
          <w:p w:rsidR="002A22A4" w:rsidRPr="006E709F" w:rsidRDefault="002A22A4" w:rsidP="00A801D0">
            <w:pPr>
              <w:pStyle w:val="Tabletext"/>
            </w:pPr>
            <w:r w:rsidRPr="006E709F">
              <w:t>Anzac</w:t>
            </w:r>
          </w:p>
        </w:tc>
        <w:tc>
          <w:tcPr>
            <w:tcW w:w="1975" w:type="pct"/>
            <w:tcBorders>
              <w:top w:val="single" w:sz="12" w:space="0" w:color="auto"/>
            </w:tcBorders>
            <w:shd w:val="clear" w:color="auto" w:fill="auto"/>
          </w:tcPr>
          <w:p w:rsidR="002A22A4" w:rsidRPr="006E709F" w:rsidRDefault="002A22A4" w:rsidP="00A801D0">
            <w:pPr>
              <w:pStyle w:val="Tabletext"/>
            </w:pPr>
            <w:r w:rsidRPr="006E709F">
              <w:t>Minister for Veterans’ Affairs</w:t>
            </w:r>
          </w:p>
        </w:tc>
      </w:tr>
      <w:tr w:rsidR="002A22A4" w:rsidRPr="006E709F" w:rsidTr="00E118FA">
        <w:tc>
          <w:tcPr>
            <w:tcW w:w="750" w:type="pct"/>
            <w:shd w:val="clear" w:color="auto" w:fill="auto"/>
          </w:tcPr>
          <w:p w:rsidR="002A22A4" w:rsidRPr="006E709F" w:rsidRDefault="002A22A4" w:rsidP="00A801D0">
            <w:pPr>
              <w:pStyle w:val="Tabletext"/>
            </w:pPr>
            <w:r w:rsidRPr="006E709F">
              <w:t>6403</w:t>
            </w:r>
          </w:p>
        </w:tc>
        <w:tc>
          <w:tcPr>
            <w:tcW w:w="2275" w:type="pct"/>
            <w:shd w:val="clear" w:color="auto" w:fill="auto"/>
          </w:tcPr>
          <w:p w:rsidR="002A22A4" w:rsidRPr="006E709F" w:rsidRDefault="002A22A4" w:rsidP="00A801D0">
            <w:pPr>
              <w:pStyle w:val="Tabletext"/>
            </w:pPr>
            <w:r w:rsidRPr="006E709F">
              <w:t>Geneva Cross, Red Crescent, Red Cross, Red Lion and Sun</w:t>
            </w:r>
          </w:p>
        </w:tc>
        <w:tc>
          <w:tcPr>
            <w:tcW w:w="1975" w:type="pct"/>
            <w:shd w:val="clear" w:color="auto" w:fill="auto"/>
          </w:tcPr>
          <w:p w:rsidR="002A22A4" w:rsidRPr="006E709F" w:rsidRDefault="002A22A4" w:rsidP="00A801D0">
            <w:pPr>
              <w:pStyle w:val="Tabletext"/>
            </w:pPr>
            <w:r w:rsidRPr="006E709F">
              <w:t>Minister for Defence</w:t>
            </w:r>
          </w:p>
        </w:tc>
      </w:tr>
      <w:tr w:rsidR="002A22A4" w:rsidRPr="006E709F" w:rsidTr="00E118FA">
        <w:tc>
          <w:tcPr>
            <w:tcW w:w="750" w:type="pct"/>
            <w:tcBorders>
              <w:bottom w:val="single" w:sz="4" w:space="0" w:color="auto"/>
            </w:tcBorders>
            <w:shd w:val="clear" w:color="auto" w:fill="auto"/>
          </w:tcPr>
          <w:p w:rsidR="002A22A4" w:rsidRPr="006E709F" w:rsidRDefault="002A22A4" w:rsidP="00A801D0">
            <w:pPr>
              <w:pStyle w:val="Tabletext"/>
            </w:pPr>
            <w:r w:rsidRPr="006E709F">
              <w:t>6405</w:t>
            </w:r>
          </w:p>
        </w:tc>
        <w:tc>
          <w:tcPr>
            <w:tcW w:w="2275" w:type="pct"/>
            <w:tcBorders>
              <w:bottom w:val="single" w:sz="4" w:space="0" w:color="auto"/>
            </w:tcBorders>
            <w:shd w:val="clear" w:color="auto" w:fill="auto"/>
          </w:tcPr>
          <w:p w:rsidR="002A22A4" w:rsidRPr="006E709F" w:rsidRDefault="002A22A4" w:rsidP="00A801D0">
            <w:pPr>
              <w:pStyle w:val="Tabletext"/>
            </w:pPr>
            <w:r w:rsidRPr="006E709F">
              <w:t>United Nations</w:t>
            </w:r>
          </w:p>
        </w:tc>
        <w:tc>
          <w:tcPr>
            <w:tcW w:w="1975" w:type="pct"/>
            <w:tcBorders>
              <w:bottom w:val="single" w:sz="4" w:space="0" w:color="auto"/>
            </w:tcBorders>
            <w:shd w:val="clear" w:color="auto" w:fill="auto"/>
          </w:tcPr>
          <w:p w:rsidR="002A22A4" w:rsidRPr="006E709F" w:rsidRDefault="002A22A4" w:rsidP="00A801D0">
            <w:pPr>
              <w:pStyle w:val="Tabletext"/>
            </w:pPr>
            <w:r w:rsidRPr="006E709F">
              <w:t>Minister for Foreign Affairs</w:t>
            </w:r>
          </w:p>
        </w:tc>
      </w:tr>
      <w:tr w:rsidR="002A22A4" w:rsidRPr="006E709F" w:rsidTr="00E118FA">
        <w:tc>
          <w:tcPr>
            <w:tcW w:w="750" w:type="pct"/>
            <w:tcBorders>
              <w:bottom w:val="single" w:sz="12" w:space="0" w:color="auto"/>
            </w:tcBorders>
            <w:shd w:val="clear" w:color="auto" w:fill="auto"/>
          </w:tcPr>
          <w:p w:rsidR="002A22A4" w:rsidRPr="006E709F" w:rsidRDefault="002A22A4" w:rsidP="00A801D0">
            <w:pPr>
              <w:pStyle w:val="Tabletext"/>
            </w:pPr>
            <w:r w:rsidRPr="006E709F">
              <w:t>6406</w:t>
            </w:r>
          </w:p>
        </w:tc>
        <w:tc>
          <w:tcPr>
            <w:tcW w:w="2275" w:type="pct"/>
            <w:tcBorders>
              <w:bottom w:val="single" w:sz="12" w:space="0" w:color="auto"/>
            </w:tcBorders>
            <w:shd w:val="clear" w:color="auto" w:fill="auto"/>
          </w:tcPr>
          <w:p w:rsidR="002A22A4" w:rsidRPr="006E709F" w:rsidRDefault="002A22A4" w:rsidP="00A801D0">
            <w:pPr>
              <w:pStyle w:val="Tabletext"/>
            </w:pPr>
            <w:r w:rsidRPr="006E709F">
              <w:t>University</w:t>
            </w:r>
          </w:p>
        </w:tc>
        <w:tc>
          <w:tcPr>
            <w:tcW w:w="1975" w:type="pct"/>
            <w:tcBorders>
              <w:bottom w:val="single" w:sz="12" w:space="0" w:color="auto"/>
            </w:tcBorders>
            <w:shd w:val="clear" w:color="auto" w:fill="auto"/>
          </w:tcPr>
          <w:p w:rsidR="002A22A4" w:rsidRPr="006E709F" w:rsidRDefault="002A22A4" w:rsidP="00A801D0">
            <w:pPr>
              <w:pStyle w:val="Tabletext"/>
            </w:pPr>
            <w:r w:rsidRPr="006E709F">
              <w:t>Minister for Education, Training and Youth Affairs</w:t>
            </w:r>
          </w:p>
        </w:tc>
      </w:tr>
    </w:tbl>
    <w:p w:rsidR="002A22A4" w:rsidRPr="006E709F" w:rsidRDefault="00A801D0" w:rsidP="00A801D0">
      <w:pPr>
        <w:pStyle w:val="ActHead2"/>
        <w:pageBreakBefore/>
      </w:pPr>
      <w:bookmarkStart w:id="13" w:name="_Toc160609705"/>
      <w:r w:rsidRPr="000C4237">
        <w:rPr>
          <w:rStyle w:val="CharPartNo"/>
        </w:rPr>
        <w:t>Part</w:t>
      </w:r>
      <w:r w:rsidR="00DA13DE" w:rsidRPr="000C4237">
        <w:rPr>
          <w:rStyle w:val="CharPartNo"/>
        </w:rPr>
        <w:t> </w:t>
      </w:r>
      <w:r w:rsidR="002A22A4" w:rsidRPr="000C4237">
        <w:rPr>
          <w:rStyle w:val="CharPartNo"/>
        </w:rPr>
        <w:t>5</w:t>
      </w:r>
      <w:r w:rsidRPr="006E709F">
        <w:t>—</w:t>
      </w:r>
      <w:r w:rsidR="002A22A4" w:rsidRPr="000C4237">
        <w:rPr>
          <w:rStyle w:val="CharPartText"/>
        </w:rPr>
        <w:t>Names relating to financial institutions for use of which consent is required</w:t>
      </w:r>
      <w:bookmarkEnd w:id="13"/>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14"/>
        <w:gridCol w:w="3935"/>
        <w:gridCol w:w="3280"/>
      </w:tblGrid>
      <w:tr w:rsidR="002A22A4" w:rsidRPr="006E709F" w:rsidTr="00E118FA">
        <w:trPr>
          <w:tblHeader/>
        </w:trPr>
        <w:tc>
          <w:tcPr>
            <w:tcW w:w="770" w:type="pct"/>
            <w:tcBorders>
              <w:top w:val="single" w:sz="12" w:space="0" w:color="auto"/>
              <w:bottom w:val="single" w:sz="12" w:space="0" w:color="auto"/>
            </w:tcBorders>
            <w:shd w:val="clear" w:color="auto" w:fill="auto"/>
          </w:tcPr>
          <w:p w:rsidR="002A22A4" w:rsidRPr="006E709F" w:rsidRDefault="002A22A4" w:rsidP="00A801D0">
            <w:pPr>
              <w:pStyle w:val="TableHeading"/>
            </w:pPr>
            <w:r w:rsidRPr="006E709F">
              <w:br/>
              <w:t>Item</w:t>
            </w:r>
          </w:p>
        </w:tc>
        <w:tc>
          <w:tcPr>
            <w:tcW w:w="2307" w:type="pct"/>
            <w:tcBorders>
              <w:top w:val="single" w:sz="12" w:space="0" w:color="auto"/>
              <w:bottom w:val="single" w:sz="12" w:space="0" w:color="auto"/>
            </w:tcBorders>
            <w:shd w:val="clear" w:color="auto" w:fill="auto"/>
          </w:tcPr>
          <w:p w:rsidR="002A22A4" w:rsidRPr="006E709F" w:rsidRDefault="002A22A4" w:rsidP="00A801D0">
            <w:pPr>
              <w:pStyle w:val="TableHeading"/>
            </w:pPr>
            <w:r w:rsidRPr="006E709F">
              <w:br/>
              <w:t>Letters, word or expression</w:t>
            </w:r>
          </w:p>
        </w:tc>
        <w:tc>
          <w:tcPr>
            <w:tcW w:w="1923" w:type="pct"/>
            <w:tcBorders>
              <w:top w:val="single" w:sz="12" w:space="0" w:color="auto"/>
              <w:bottom w:val="single" w:sz="12" w:space="0" w:color="auto"/>
            </w:tcBorders>
            <w:shd w:val="clear" w:color="auto" w:fill="auto"/>
          </w:tcPr>
          <w:p w:rsidR="002A22A4" w:rsidRPr="006E709F" w:rsidRDefault="002A22A4" w:rsidP="00A801D0">
            <w:pPr>
              <w:pStyle w:val="TableHeading"/>
            </w:pPr>
            <w:r w:rsidRPr="006E709F">
              <w:t>Public authority, instrumentality or agency</w:t>
            </w:r>
          </w:p>
        </w:tc>
      </w:tr>
      <w:tr w:rsidR="002A22A4" w:rsidRPr="006E709F" w:rsidTr="00E118FA">
        <w:tc>
          <w:tcPr>
            <w:tcW w:w="770" w:type="pct"/>
            <w:tcBorders>
              <w:top w:val="single" w:sz="12" w:space="0" w:color="auto"/>
            </w:tcBorders>
            <w:shd w:val="clear" w:color="auto" w:fill="auto"/>
          </w:tcPr>
          <w:p w:rsidR="002A22A4" w:rsidRPr="006E709F" w:rsidRDefault="002A22A4" w:rsidP="00A801D0">
            <w:pPr>
              <w:pStyle w:val="Tabletext"/>
            </w:pPr>
            <w:r w:rsidRPr="006E709F">
              <w:t>6501</w:t>
            </w:r>
          </w:p>
        </w:tc>
        <w:tc>
          <w:tcPr>
            <w:tcW w:w="2307" w:type="pct"/>
            <w:tcBorders>
              <w:top w:val="single" w:sz="12" w:space="0" w:color="auto"/>
            </w:tcBorders>
            <w:shd w:val="clear" w:color="auto" w:fill="auto"/>
          </w:tcPr>
          <w:p w:rsidR="002A22A4" w:rsidRPr="006E709F" w:rsidRDefault="002A22A4" w:rsidP="00A801D0">
            <w:pPr>
              <w:pStyle w:val="Tabletext"/>
            </w:pPr>
            <w:r w:rsidRPr="006E709F">
              <w:t>ADI</w:t>
            </w:r>
          </w:p>
        </w:tc>
        <w:tc>
          <w:tcPr>
            <w:tcW w:w="1923" w:type="pct"/>
            <w:tcBorders>
              <w:top w:val="single" w:sz="12" w:space="0" w:color="auto"/>
            </w:tcBorders>
            <w:shd w:val="clear" w:color="auto" w:fill="auto"/>
          </w:tcPr>
          <w:p w:rsidR="002A22A4" w:rsidRPr="006E709F" w:rsidRDefault="002A22A4" w:rsidP="00A801D0">
            <w:pPr>
              <w:pStyle w:val="Tabletext"/>
            </w:pPr>
            <w:r w:rsidRPr="006E709F">
              <w:t>APRA</w:t>
            </w:r>
          </w:p>
        </w:tc>
      </w:tr>
      <w:tr w:rsidR="002A22A4" w:rsidRPr="006E709F" w:rsidTr="00E118FA">
        <w:tc>
          <w:tcPr>
            <w:tcW w:w="770" w:type="pct"/>
            <w:shd w:val="clear" w:color="auto" w:fill="auto"/>
          </w:tcPr>
          <w:p w:rsidR="002A22A4" w:rsidRPr="006E709F" w:rsidRDefault="002A22A4" w:rsidP="00A801D0">
            <w:pPr>
              <w:pStyle w:val="Tabletext"/>
            </w:pPr>
            <w:r w:rsidRPr="006E709F">
              <w:t>6502</w:t>
            </w:r>
          </w:p>
        </w:tc>
        <w:tc>
          <w:tcPr>
            <w:tcW w:w="2307" w:type="pct"/>
            <w:shd w:val="clear" w:color="auto" w:fill="auto"/>
          </w:tcPr>
          <w:p w:rsidR="002A22A4" w:rsidRPr="006E709F" w:rsidRDefault="002A22A4" w:rsidP="00A801D0">
            <w:pPr>
              <w:pStyle w:val="Tabletext"/>
            </w:pPr>
            <w:r w:rsidRPr="006E709F">
              <w:t>authorised deposit</w:t>
            </w:r>
            <w:r w:rsidR="000C4237">
              <w:noBreakHyphen/>
            </w:r>
            <w:r w:rsidRPr="006E709F">
              <w:t>taking institution</w:t>
            </w:r>
          </w:p>
        </w:tc>
        <w:tc>
          <w:tcPr>
            <w:tcW w:w="1923" w:type="pct"/>
            <w:shd w:val="clear" w:color="auto" w:fill="auto"/>
          </w:tcPr>
          <w:p w:rsidR="002A22A4" w:rsidRPr="006E709F" w:rsidRDefault="002A22A4" w:rsidP="00A801D0">
            <w:pPr>
              <w:pStyle w:val="Tabletext"/>
            </w:pPr>
            <w:r w:rsidRPr="006E709F">
              <w:t>APRA</w:t>
            </w:r>
          </w:p>
        </w:tc>
      </w:tr>
      <w:tr w:rsidR="002A22A4" w:rsidRPr="006E709F" w:rsidTr="00E118FA">
        <w:tc>
          <w:tcPr>
            <w:tcW w:w="770" w:type="pct"/>
            <w:shd w:val="clear" w:color="auto" w:fill="auto"/>
          </w:tcPr>
          <w:p w:rsidR="002A22A4" w:rsidRPr="006E709F" w:rsidRDefault="002A22A4" w:rsidP="00A801D0">
            <w:pPr>
              <w:pStyle w:val="Tabletext"/>
            </w:pPr>
            <w:r w:rsidRPr="006E709F">
              <w:t>6503</w:t>
            </w:r>
          </w:p>
        </w:tc>
        <w:tc>
          <w:tcPr>
            <w:tcW w:w="2307" w:type="pct"/>
            <w:shd w:val="clear" w:color="auto" w:fill="auto"/>
          </w:tcPr>
          <w:p w:rsidR="002A22A4" w:rsidRPr="006E709F" w:rsidRDefault="002A22A4" w:rsidP="00A801D0">
            <w:pPr>
              <w:pStyle w:val="Tabletext"/>
            </w:pPr>
            <w:r w:rsidRPr="006E709F">
              <w:t>bank</w:t>
            </w:r>
          </w:p>
        </w:tc>
        <w:tc>
          <w:tcPr>
            <w:tcW w:w="1923" w:type="pct"/>
            <w:shd w:val="clear" w:color="auto" w:fill="auto"/>
          </w:tcPr>
          <w:p w:rsidR="002A22A4" w:rsidRPr="006E709F" w:rsidRDefault="002A22A4" w:rsidP="00A801D0">
            <w:pPr>
              <w:pStyle w:val="Tabletext"/>
            </w:pPr>
            <w:r w:rsidRPr="006E709F">
              <w:t>APRA</w:t>
            </w:r>
          </w:p>
        </w:tc>
      </w:tr>
      <w:tr w:rsidR="002A22A4" w:rsidRPr="006E709F" w:rsidTr="00E118FA">
        <w:tc>
          <w:tcPr>
            <w:tcW w:w="770" w:type="pct"/>
            <w:shd w:val="clear" w:color="auto" w:fill="auto"/>
          </w:tcPr>
          <w:p w:rsidR="002A22A4" w:rsidRPr="006E709F" w:rsidRDefault="002A22A4" w:rsidP="00A801D0">
            <w:pPr>
              <w:pStyle w:val="Tabletext"/>
            </w:pPr>
            <w:r w:rsidRPr="006E709F">
              <w:t>6504</w:t>
            </w:r>
          </w:p>
        </w:tc>
        <w:tc>
          <w:tcPr>
            <w:tcW w:w="2307" w:type="pct"/>
            <w:shd w:val="clear" w:color="auto" w:fill="auto"/>
          </w:tcPr>
          <w:p w:rsidR="002A22A4" w:rsidRPr="006E709F" w:rsidRDefault="002A22A4" w:rsidP="00A801D0">
            <w:pPr>
              <w:pStyle w:val="Tabletext"/>
            </w:pPr>
            <w:r w:rsidRPr="006E709F">
              <w:t>banker</w:t>
            </w:r>
          </w:p>
        </w:tc>
        <w:tc>
          <w:tcPr>
            <w:tcW w:w="1923" w:type="pct"/>
            <w:shd w:val="clear" w:color="auto" w:fill="auto"/>
          </w:tcPr>
          <w:p w:rsidR="002A22A4" w:rsidRPr="006E709F" w:rsidRDefault="002A22A4" w:rsidP="00A801D0">
            <w:pPr>
              <w:pStyle w:val="Tabletext"/>
            </w:pPr>
            <w:r w:rsidRPr="006E709F">
              <w:t>APRA</w:t>
            </w:r>
          </w:p>
        </w:tc>
      </w:tr>
      <w:tr w:rsidR="002A22A4" w:rsidRPr="006E709F" w:rsidTr="00E118FA">
        <w:tc>
          <w:tcPr>
            <w:tcW w:w="770" w:type="pct"/>
            <w:shd w:val="clear" w:color="auto" w:fill="auto"/>
          </w:tcPr>
          <w:p w:rsidR="002A22A4" w:rsidRPr="006E709F" w:rsidRDefault="002A22A4" w:rsidP="00A801D0">
            <w:pPr>
              <w:pStyle w:val="Tabletext"/>
            </w:pPr>
            <w:r w:rsidRPr="006E709F">
              <w:t>6505</w:t>
            </w:r>
          </w:p>
        </w:tc>
        <w:tc>
          <w:tcPr>
            <w:tcW w:w="2307" w:type="pct"/>
            <w:shd w:val="clear" w:color="auto" w:fill="auto"/>
          </w:tcPr>
          <w:p w:rsidR="002A22A4" w:rsidRPr="006E709F" w:rsidRDefault="002A22A4" w:rsidP="00A801D0">
            <w:pPr>
              <w:pStyle w:val="Tabletext"/>
            </w:pPr>
            <w:r w:rsidRPr="006E709F">
              <w:t>banking</w:t>
            </w:r>
          </w:p>
        </w:tc>
        <w:tc>
          <w:tcPr>
            <w:tcW w:w="1923" w:type="pct"/>
            <w:shd w:val="clear" w:color="auto" w:fill="auto"/>
          </w:tcPr>
          <w:p w:rsidR="002A22A4" w:rsidRPr="006E709F" w:rsidRDefault="002A22A4" w:rsidP="00A801D0">
            <w:pPr>
              <w:pStyle w:val="Tabletext"/>
            </w:pPr>
            <w:r w:rsidRPr="006E709F">
              <w:t>APRA</w:t>
            </w:r>
          </w:p>
        </w:tc>
      </w:tr>
      <w:tr w:rsidR="002A22A4" w:rsidRPr="006E709F" w:rsidTr="00E118FA">
        <w:tc>
          <w:tcPr>
            <w:tcW w:w="770" w:type="pct"/>
            <w:shd w:val="clear" w:color="auto" w:fill="auto"/>
          </w:tcPr>
          <w:p w:rsidR="002A22A4" w:rsidRPr="006E709F" w:rsidRDefault="002A22A4" w:rsidP="00A801D0">
            <w:pPr>
              <w:pStyle w:val="Tabletext"/>
            </w:pPr>
            <w:r w:rsidRPr="006E709F">
              <w:t>6506</w:t>
            </w:r>
          </w:p>
        </w:tc>
        <w:tc>
          <w:tcPr>
            <w:tcW w:w="2307" w:type="pct"/>
            <w:shd w:val="clear" w:color="auto" w:fill="auto"/>
          </w:tcPr>
          <w:p w:rsidR="002A22A4" w:rsidRPr="006E709F" w:rsidRDefault="002A22A4" w:rsidP="00A801D0">
            <w:pPr>
              <w:pStyle w:val="Tabletext"/>
            </w:pPr>
            <w:r w:rsidRPr="006E709F">
              <w:t>building society</w:t>
            </w:r>
          </w:p>
        </w:tc>
        <w:tc>
          <w:tcPr>
            <w:tcW w:w="1923" w:type="pct"/>
            <w:shd w:val="clear" w:color="auto" w:fill="auto"/>
          </w:tcPr>
          <w:p w:rsidR="002A22A4" w:rsidRPr="006E709F" w:rsidRDefault="002A22A4" w:rsidP="00A801D0">
            <w:pPr>
              <w:pStyle w:val="Tabletext"/>
            </w:pPr>
            <w:r w:rsidRPr="006E709F">
              <w:t>APRA</w:t>
            </w:r>
          </w:p>
        </w:tc>
      </w:tr>
      <w:tr w:rsidR="002A22A4" w:rsidRPr="006E709F" w:rsidTr="00E118FA">
        <w:tc>
          <w:tcPr>
            <w:tcW w:w="770" w:type="pct"/>
            <w:shd w:val="clear" w:color="auto" w:fill="auto"/>
          </w:tcPr>
          <w:p w:rsidR="002A22A4" w:rsidRPr="006E709F" w:rsidRDefault="002A22A4" w:rsidP="00A801D0">
            <w:pPr>
              <w:pStyle w:val="Tabletext"/>
            </w:pPr>
            <w:r w:rsidRPr="006E709F">
              <w:t>6507</w:t>
            </w:r>
          </w:p>
        </w:tc>
        <w:tc>
          <w:tcPr>
            <w:tcW w:w="2307" w:type="pct"/>
            <w:shd w:val="clear" w:color="auto" w:fill="auto"/>
          </w:tcPr>
          <w:p w:rsidR="002A22A4" w:rsidRPr="006E709F" w:rsidRDefault="002A22A4" w:rsidP="00A801D0">
            <w:pPr>
              <w:pStyle w:val="Tabletext"/>
            </w:pPr>
            <w:r w:rsidRPr="006E709F">
              <w:t>credit society</w:t>
            </w:r>
          </w:p>
        </w:tc>
        <w:tc>
          <w:tcPr>
            <w:tcW w:w="1923" w:type="pct"/>
            <w:shd w:val="clear" w:color="auto" w:fill="auto"/>
          </w:tcPr>
          <w:p w:rsidR="002A22A4" w:rsidRPr="006E709F" w:rsidRDefault="002A22A4" w:rsidP="00A801D0">
            <w:pPr>
              <w:pStyle w:val="Tabletext"/>
            </w:pPr>
            <w:r w:rsidRPr="006E709F">
              <w:t>APRA</w:t>
            </w:r>
          </w:p>
        </w:tc>
      </w:tr>
      <w:tr w:rsidR="002A22A4" w:rsidRPr="006E709F" w:rsidTr="00E118FA">
        <w:tc>
          <w:tcPr>
            <w:tcW w:w="770" w:type="pct"/>
            <w:tcBorders>
              <w:bottom w:val="single" w:sz="4" w:space="0" w:color="auto"/>
            </w:tcBorders>
            <w:shd w:val="clear" w:color="auto" w:fill="auto"/>
          </w:tcPr>
          <w:p w:rsidR="002A22A4" w:rsidRPr="006E709F" w:rsidRDefault="002A22A4" w:rsidP="00A801D0">
            <w:pPr>
              <w:pStyle w:val="Tabletext"/>
            </w:pPr>
            <w:r w:rsidRPr="006E709F">
              <w:t>6508</w:t>
            </w:r>
          </w:p>
        </w:tc>
        <w:tc>
          <w:tcPr>
            <w:tcW w:w="2307" w:type="pct"/>
            <w:tcBorders>
              <w:bottom w:val="single" w:sz="4" w:space="0" w:color="auto"/>
            </w:tcBorders>
            <w:shd w:val="clear" w:color="auto" w:fill="auto"/>
          </w:tcPr>
          <w:p w:rsidR="002A22A4" w:rsidRPr="006E709F" w:rsidRDefault="002A22A4" w:rsidP="00A801D0">
            <w:pPr>
              <w:pStyle w:val="Tabletext"/>
            </w:pPr>
            <w:r w:rsidRPr="006E709F">
              <w:t>credit union</w:t>
            </w:r>
          </w:p>
        </w:tc>
        <w:tc>
          <w:tcPr>
            <w:tcW w:w="1923" w:type="pct"/>
            <w:tcBorders>
              <w:bottom w:val="single" w:sz="4" w:space="0" w:color="auto"/>
            </w:tcBorders>
            <w:shd w:val="clear" w:color="auto" w:fill="auto"/>
          </w:tcPr>
          <w:p w:rsidR="002A22A4" w:rsidRPr="006E709F" w:rsidRDefault="002A22A4" w:rsidP="00A801D0">
            <w:pPr>
              <w:pStyle w:val="Tabletext"/>
            </w:pPr>
            <w:r w:rsidRPr="006E709F">
              <w:t>APRA</w:t>
            </w:r>
          </w:p>
        </w:tc>
      </w:tr>
      <w:tr w:rsidR="002A22A4" w:rsidRPr="006E709F" w:rsidTr="00E118FA">
        <w:tc>
          <w:tcPr>
            <w:tcW w:w="770" w:type="pct"/>
            <w:tcBorders>
              <w:bottom w:val="single" w:sz="12" w:space="0" w:color="auto"/>
            </w:tcBorders>
            <w:shd w:val="clear" w:color="auto" w:fill="auto"/>
          </w:tcPr>
          <w:p w:rsidR="002A22A4" w:rsidRPr="006E709F" w:rsidRDefault="002A22A4" w:rsidP="00A801D0">
            <w:pPr>
              <w:pStyle w:val="Tabletext"/>
            </w:pPr>
            <w:r w:rsidRPr="006E709F">
              <w:t>6509</w:t>
            </w:r>
          </w:p>
        </w:tc>
        <w:tc>
          <w:tcPr>
            <w:tcW w:w="2307" w:type="pct"/>
            <w:tcBorders>
              <w:bottom w:val="single" w:sz="12" w:space="0" w:color="auto"/>
            </w:tcBorders>
            <w:shd w:val="clear" w:color="auto" w:fill="auto"/>
          </w:tcPr>
          <w:p w:rsidR="002A22A4" w:rsidRPr="006E709F" w:rsidRDefault="002A22A4" w:rsidP="00A801D0">
            <w:pPr>
              <w:pStyle w:val="Tabletext"/>
            </w:pPr>
            <w:r w:rsidRPr="006E709F">
              <w:t>friendly society (in relation to the conduct of a financial business)</w:t>
            </w:r>
          </w:p>
        </w:tc>
        <w:tc>
          <w:tcPr>
            <w:tcW w:w="1923" w:type="pct"/>
            <w:tcBorders>
              <w:bottom w:val="single" w:sz="12" w:space="0" w:color="auto"/>
            </w:tcBorders>
            <w:shd w:val="clear" w:color="auto" w:fill="auto"/>
          </w:tcPr>
          <w:p w:rsidR="002A22A4" w:rsidRPr="006E709F" w:rsidRDefault="002A22A4" w:rsidP="00A801D0">
            <w:pPr>
              <w:pStyle w:val="Tabletext"/>
            </w:pPr>
            <w:r w:rsidRPr="006E709F">
              <w:t>APRA</w:t>
            </w:r>
          </w:p>
        </w:tc>
      </w:tr>
    </w:tbl>
    <w:p w:rsidR="002A22A4" w:rsidRPr="006E709F" w:rsidRDefault="00A801D0" w:rsidP="002F332A">
      <w:pPr>
        <w:pStyle w:val="ActHead1"/>
        <w:pageBreakBefore/>
        <w:spacing w:before="120"/>
      </w:pPr>
      <w:bookmarkStart w:id="14" w:name="_Toc160609706"/>
      <w:r w:rsidRPr="000C4237">
        <w:rPr>
          <w:rStyle w:val="CharChapNo"/>
        </w:rPr>
        <w:t>Schedule</w:t>
      </w:r>
      <w:r w:rsidR="00DA13DE" w:rsidRPr="000C4237">
        <w:rPr>
          <w:rStyle w:val="CharChapNo"/>
        </w:rPr>
        <w:t> </w:t>
      </w:r>
      <w:r w:rsidR="002A22A4" w:rsidRPr="000C4237">
        <w:rPr>
          <w:rStyle w:val="CharChapNo"/>
        </w:rPr>
        <w:t>7</w:t>
      </w:r>
      <w:r w:rsidRPr="006E709F">
        <w:t>—</w:t>
      </w:r>
      <w:r w:rsidR="002A22A4" w:rsidRPr="000C4237">
        <w:rPr>
          <w:rStyle w:val="CharChapText"/>
        </w:rPr>
        <w:t>Exemptions from requirements to set out certain corporate particulars</w:t>
      </w:r>
      <w:bookmarkEnd w:id="14"/>
    </w:p>
    <w:p w:rsidR="002A22A4" w:rsidRPr="006E709F" w:rsidRDefault="002A22A4" w:rsidP="00A801D0">
      <w:pPr>
        <w:pStyle w:val="notemargin"/>
      </w:pPr>
      <w:r w:rsidRPr="006E709F">
        <w:t>(regulations</w:t>
      </w:r>
      <w:r w:rsidR="00DA13DE" w:rsidRPr="006E709F">
        <w:t> </w:t>
      </w:r>
      <w:r w:rsidRPr="006E709F">
        <w:t>2B.6.03 and 5B.3.03)</w:t>
      </w:r>
    </w:p>
    <w:p w:rsidR="002A22A4" w:rsidRPr="006E709F" w:rsidRDefault="00A801D0" w:rsidP="002A22A4">
      <w:pPr>
        <w:pStyle w:val="Header"/>
      </w:pPr>
      <w:r w:rsidRPr="000C4237">
        <w:rPr>
          <w:rStyle w:val="CharPartNo"/>
        </w:rPr>
        <w:t xml:space="preserve"> </w:t>
      </w:r>
      <w:r w:rsidRPr="000C4237">
        <w:rPr>
          <w:rStyle w:val="CharPartText"/>
        </w:rPr>
        <w:t xml:space="preserve"> </w:t>
      </w:r>
    </w:p>
    <w:p w:rsidR="002A22A4" w:rsidRPr="006E709F" w:rsidRDefault="002A717F" w:rsidP="007C7D49">
      <w:pPr>
        <w:pStyle w:val="ActHead5"/>
      </w:pPr>
      <w:bookmarkStart w:id="15" w:name="_Toc160609707"/>
      <w:r w:rsidRPr="000C4237">
        <w:rPr>
          <w:rStyle w:val="CharSectno"/>
        </w:rPr>
        <w:t>7001</w:t>
      </w:r>
      <w:r w:rsidRPr="006E709F">
        <w:t xml:space="preserve">  </w:t>
      </w:r>
      <w:r w:rsidR="002A22A4" w:rsidRPr="006E709F">
        <w:t xml:space="preserve">Definitions for </w:t>
      </w:r>
      <w:r w:rsidR="00A801D0" w:rsidRPr="006E709F">
        <w:t>Schedule</w:t>
      </w:r>
      <w:r w:rsidR="00DA13DE" w:rsidRPr="006E709F">
        <w:t> </w:t>
      </w:r>
      <w:r w:rsidR="002A22A4" w:rsidRPr="006E709F">
        <w:t>7</w:t>
      </w:r>
      <w:bookmarkEnd w:id="15"/>
    </w:p>
    <w:p w:rsidR="002A22A4" w:rsidRPr="006E709F" w:rsidRDefault="002A22A4" w:rsidP="00A801D0">
      <w:pPr>
        <w:pStyle w:val="subsection"/>
      </w:pPr>
      <w:r w:rsidRPr="006E709F">
        <w:tab/>
      </w:r>
      <w:r w:rsidRPr="006E709F">
        <w:tab/>
        <w:t>In this Schedule:</w:t>
      </w:r>
    </w:p>
    <w:p w:rsidR="002A22A4" w:rsidRPr="006E709F" w:rsidRDefault="002A22A4" w:rsidP="00A801D0">
      <w:pPr>
        <w:pStyle w:val="Definition"/>
      </w:pPr>
      <w:r w:rsidRPr="006E709F">
        <w:rPr>
          <w:b/>
          <w:i/>
        </w:rPr>
        <w:t>IATA</w:t>
      </w:r>
      <w:r w:rsidRPr="006E709F">
        <w:t xml:space="preserve"> means the International Air Transport Association.</w:t>
      </w:r>
    </w:p>
    <w:p w:rsidR="002A22A4" w:rsidRPr="006E709F" w:rsidRDefault="002A22A4" w:rsidP="00A801D0">
      <w:pPr>
        <w:pStyle w:val="Definition"/>
      </w:pPr>
      <w:r w:rsidRPr="006E709F">
        <w:rPr>
          <w:b/>
          <w:i/>
        </w:rPr>
        <w:t>IATA body</w:t>
      </w:r>
      <w:r w:rsidRPr="006E709F">
        <w:t xml:space="preserve"> means a company, registered Australian body or registered foreign company that is a member of IATA, or participates in the program conducted by IATA known as BSP Australia.</w:t>
      </w:r>
    </w:p>
    <w:p w:rsidR="002A22A4" w:rsidRPr="006E709F" w:rsidRDefault="002A22A4" w:rsidP="00A801D0">
      <w:pPr>
        <w:pStyle w:val="Definition"/>
      </w:pPr>
      <w:r w:rsidRPr="006E709F">
        <w:rPr>
          <w:b/>
          <w:i/>
        </w:rPr>
        <w:t>relevant information</w:t>
      </w:r>
      <w:r w:rsidRPr="006E709F">
        <w:t xml:space="preserve"> means the information that is required under subsection</w:t>
      </w:r>
      <w:r w:rsidR="00DA13DE" w:rsidRPr="006E709F">
        <w:t> </w:t>
      </w:r>
      <w:r w:rsidRPr="006E709F">
        <w:t>153(2), or paragraph</w:t>
      </w:r>
      <w:r w:rsidR="00DA13DE" w:rsidRPr="006E709F">
        <w:t> </w:t>
      </w:r>
      <w:r w:rsidRPr="006E709F">
        <w:t>601DE(1</w:t>
      </w:r>
      <w:r w:rsidR="00A801D0" w:rsidRPr="006E709F">
        <w:t>)(</w:t>
      </w:r>
      <w:r w:rsidRPr="006E709F">
        <w:t>b), (c) or (d), of the Act to be set out on a public document or negotiable instrument.</w:t>
      </w:r>
    </w:p>
    <w:p w:rsidR="002A22A4" w:rsidRPr="006E709F" w:rsidRDefault="002A717F" w:rsidP="007C7D49">
      <w:pPr>
        <w:pStyle w:val="ActHead5"/>
      </w:pPr>
      <w:bookmarkStart w:id="16" w:name="_Toc160609708"/>
      <w:r w:rsidRPr="000C4237">
        <w:rPr>
          <w:rStyle w:val="CharSectno"/>
        </w:rPr>
        <w:t>7002</w:t>
      </w:r>
      <w:r w:rsidRPr="006E709F">
        <w:t xml:space="preserve">  </w:t>
      </w:r>
      <w:r w:rsidR="002A22A4" w:rsidRPr="006E709F">
        <w:t>Exemption for certain IATA documents</w:t>
      </w:r>
      <w:bookmarkEnd w:id="16"/>
    </w:p>
    <w:p w:rsidR="002A22A4" w:rsidRPr="006E709F" w:rsidRDefault="002A22A4" w:rsidP="00A801D0">
      <w:pPr>
        <w:pStyle w:val="subsection"/>
      </w:pPr>
      <w:r w:rsidRPr="006E709F">
        <w:tab/>
      </w:r>
      <w:r w:rsidRPr="006E709F">
        <w:tab/>
        <w:t>An IATA Body is exempt from the requirement to set out the relevant information on a document if:</w:t>
      </w:r>
    </w:p>
    <w:p w:rsidR="002A22A4" w:rsidRPr="006E709F" w:rsidRDefault="002A22A4" w:rsidP="00A801D0">
      <w:pPr>
        <w:pStyle w:val="paragraph"/>
      </w:pPr>
      <w:r w:rsidRPr="006E709F">
        <w:tab/>
        <w:t>(a)</w:t>
      </w:r>
      <w:r w:rsidRPr="006E709F">
        <w:tab/>
        <w:t>it is a document of one of the following kinds:</w:t>
      </w:r>
    </w:p>
    <w:p w:rsidR="002A22A4" w:rsidRPr="006E709F" w:rsidRDefault="002A22A4" w:rsidP="00A801D0">
      <w:pPr>
        <w:pStyle w:val="paragraphsub"/>
      </w:pPr>
      <w:r w:rsidRPr="006E709F">
        <w:tab/>
        <w:t>(i)</w:t>
      </w:r>
      <w:r w:rsidRPr="006E709F">
        <w:tab/>
        <w:t>passenger ticket and baggage check;</w:t>
      </w:r>
    </w:p>
    <w:p w:rsidR="002A22A4" w:rsidRPr="006E709F" w:rsidRDefault="002A22A4" w:rsidP="00A801D0">
      <w:pPr>
        <w:pStyle w:val="paragraphsub"/>
      </w:pPr>
      <w:r w:rsidRPr="006E709F">
        <w:tab/>
        <w:t>(ii)</w:t>
      </w:r>
      <w:r w:rsidRPr="006E709F">
        <w:tab/>
        <w:t>excess baggage ticket;</w:t>
      </w:r>
    </w:p>
    <w:p w:rsidR="002A22A4" w:rsidRPr="006E709F" w:rsidRDefault="002A22A4" w:rsidP="00A801D0">
      <w:pPr>
        <w:pStyle w:val="paragraphsub"/>
      </w:pPr>
      <w:r w:rsidRPr="006E709F">
        <w:tab/>
        <w:t>(iii)</w:t>
      </w:r>
      <w:r w:rsidRPr="006E709F">
        <w:tab/>
        <w:t>agency credit or debit memo;</w:t>
      </w:r>
    </w:p>
    <w:p w:rsidR="002A22A4" w:rsidRPr="006E709F" w:rsidRDefault="002A22A4" w:rsidP="00A801D0">
      <w:pPr>
        <w:pStyle w:val="paragraphsub"/>
      </w:pPr>
      <w:r w:rsidRPr="006E709F">
        <w:tab/>
        <w:t>(iv)</w:t>
      </w:r>
      <w:r w:rsidRPr="006E709F">
        <w:tab/>
        <w:t>credit card charge form;</w:t>
      </w:r>
    </w:p>
    <w:p w:rsidR="002A22A4" w:rsidRPr="006E709F" w:rsidRDefault="002A22A4" w:rsidP="00A801D0">
      <w:pPr>
        <w:pStyle w:val="paragraphsub"/>
      </w:pPr>
      <w:r w:rsidRPr="006E709F">
        <w:tab/>
        <w:t>(v)</w:t>
      </w:r>
      <w:r w:rsidRPr="006E709F">
        <w:tab/>
        <w:t>miscellaneous charges order;</w:t>
      </w:r>
    </w:p>
    <w:p w:rsidR="002A22A4" w:rsidRPr="006E709F" w:rsidRDefault="002A22A4" w:rsidP="00A801D0">
      <w:pPr>
        <w:pStyle w:val="paragraphsub"/>
      </w:pPr>
      <w:r w:rsidRPr="006E709F">
        <w:tab/>
        <w:t>(vi)</w:t>
      </w:r>
      <w:r w:rsidRPr="006E709F">
        <w:tab/>
        <w:t>stopover voucher;</w:t>
      </w:r>
    </w:p>
    <w:p w:rsidR="002A22A4" w:rsidRPr="006E709F" w:rsidRDefault="002A22A4" w:rsidP="00A801D0">
      <w:pPr>
        <w:pStyle w:val="paragraphsub"/>
      </w:pPr>
      <w:r w:rsidRPr="006E709F">
        <w:tab/>
        <w:t>(vii)</w:t>
      </w:r>
      <w:r w:rsidRPr="006E709F">
        <w:tab/>
        <w:t>air waybill; and</w:t>
      </w:r>
    </w:p>
    <w:p w:rsidR="002A22A4" w:rsidRPr="006E709F" w:rsidRDefault="002A22A4" w:rsidP="00A801D0">
      <w:pPr>
        <w:pStyle w:val="paragraph"/>
      </w:pPr>
      <w:r w:rsidRPr="006E709F">
        <w:tab/>
        <w:t>(b)</w:t>
      </w:r>
      <w:r w:rsidRPr="006E709F">
        <w:tab/>
        <w:t>either:</w:t>
      </w:r>
    </w:p>
    <w:p w:rsidR="002A22A4" w:rsidRPr="006E709F" w:rsidRDefault="002A22A4" w:rsidP="00A801D0">
      <w:pPr>
        <w:pStyle w:val="paragraphsub"/>
      </w:pPr>
      <w:r w:rsidRPr="006E709F">
        <w:tab/>
        <w:t>(i)</w:t>
      </w:r>
      <w:r w:rsidRPr="006E709F">
        <w:tab/>
        <w:t>it is in a form sponsored by IATA; or</w:t>
      </w:r>
    </w:p>
    <w:p w:rsidR="002A22A4" w:rsidRPr="006E709F" w:rsidRDefault="002A22A4" w:rsidP="00A801D0">
      <w:pPr>
        <w:pStyle w:val="paragraphsub"/>
      </w:pPr>
      <w:r w:rsidRPr="006E709F">
        <w:tab/>
        <w:t>(ii)</w:t>
      </w:r>
      <w:r w:rsidRPr="006E709F">
        <w:tab/>
        <w:t>it is required by IATA to be used by IATA bodies; or</w:t>
      </w:r>
    </w:p>
    <w:p w:rsidR="002A22A4" w:rsidRPr="006E709F" w:rsidRDefault="002A22A4" w:rsidP="00A801D0">
      <w:pPr>
        <w:pStyle w:val="paragraphsub"/>
      </w:pPr>
      <w:r w:rsidRPr="006E709F">
        <w:tab/>
        <w:t>(iii)</w:t>
      </w:r>
      <w:r w:rsidRPr="006E709F">
        <w:tab/>
        <w:t>it is a document printed outside Australia exclusively for use, outside Australia, by or on behalf of that particular IATA body.</w:t>
      </w:r>
    </w:p>
    <w:p w:rsidR="002A22A4" w:rsidRPr="006E709F" w:rsidRDefault="002A22A4" w:rsidP="007C7D49">
      <w:pPr>
        <w:pStyle w:val="ActHead5"/>
      </w:pPr>
      <w:bookmarkStart w:id="17" w:name="_Toc160609709"/>
      <w:r w:rsidRPr="000C4237">
        <w:rPr>
          <w:rStyle w:val="CharSectno"/>
        </w:rPr>
        <w:t>70</w:t>
      </w:r>
      <w:r w:rsidR="007C7D49" w:rsidRPr="000C4237">
        <w:rPr>
          <w:rStyle w:val="CharSectno"/>
        </w:rPr>
        <w:t>03</w:t>
      </w:r>
      <w:r w:rsidR="007C7D49" w:rsidRPr="006E709F">
        <w:t xml:space="preserve">  </w:t>
      </w:r>
      <w:r w:rsidRPr="006E709F">
        <w:t>Exemption for bills of lading and sea waybills</w:t>
      </w:r>
      <w:bookmarkEnd w:id="17"/>
    </w:p>
    <w:p w:rsidR="002A22A4" w:rsidRPr="006E709F" w:rsidRDefault="002A22A4" w:rsidP="00A801D0">
      <w:pPr>
        <w:pStyle w:val="subsection"/>
      </w:pPr>
      <w:r w:rsidRPr="006E709F">
        <w:tab/>
      </w:r>
      <w:r w:rsidRPr="006E709F">
        <w:tab/>
        <w:t>The following companies, registered Australian bodies and registered foreign companies are exempt from the requirement to set out the relevant information on a bill of lading or sea waybill:</w:t>
      </w:r>
    </w:p>
    <w:p w:rsidR="002A22A4" w:rsidRPr="006E709F" w:rsidRDefault="002A22A4" w:rsidP="00A801D0">
      <w:pPr>
        <w:pStyle w:val="paragraph"/>
      </w:pPr>
      <w:r w:rsidRPr="006E709F">
        <w:tab/>
        <w:t>(a)</w:t>
      </w:r>
      <w:r w:rsidRPr="006E709F">
        <w:tab/>
        <w:t>Austrident Shipping Agency Pty Ltd;</w:t>
      </w:r>
    </w:p>
    <w:p w:rsidR="002A22A4" w:rsidRPr="006E709F" w:rsidRDefault="002A22A4" w:rsidP="00A801D0">
      <w:pPr>
        <w:pStyle w:val="paragraph"/>
      </w:pPr>
      <w:r w:rsidRPr="006E709F">
        <w:tab/>
        <w:t>(c)</w:t>
      </w:r>
      <w:r w:rsidRPr="006E709F">
        <w:tab/>
        <w:t>Bakke</w:t>
      </w:r>
      <w:r w:rsidR="000C4237">
        <w:noBreakHyphen/>
      </w:r>
      <w:r w:rsidRPr="006E709F">
        <w:t>WA Pty Limited;</w:t>
      </w:r>
    </w:p>
    <w:p w:rsidR="002A22A4" w:rsidRPr="006E709F" w:rsidRDefault="002A22A4" w:rsidP="00A801D0">
      <w:pPr>
        <w:pStyle w:val="paragraph"/>
      </w:pPr>
      <w:r w:rsidRPr="006E709F">
        <w:tab/>
        <w:t>(d)</w:t>
      </w:r>
      <w:r w:rsidRPr="006E709F">
        <w:tab/>
        <w:t>Blue Star Line Limited;</w:t>
      </w:r>
    </w:p>
    <w:p w:rsidR="002A22A4" w:rsidRPr="006E709F" w:rsidRDefault="002A22A4" w:rsidP="00A801D0">
      <w:pPr>
        <w:pStyle w:val="paragraph"/>
      </w:pPr>
      <w:r w:rsidRPr="006E709F">
        <w:tab/>
        <w:t>(e)</w:t>
      </w:r>
      <w:r w:rsidRPr="006E709F">
        <w:tab/>
        <w:t>Blue Star PACE Limited;</w:t>
      </w:r>
    </w:p>
    <w:p w:rsidR="002A22A4" w:rsidRPr="006E709F" w:rsidRDefault="002A22A4" w:rsidP="00A801D0">
      <w:pPr>
        <w:pStyle w:val="paragraph"/>
      </w:pPr>
      <w:r w:rsidRPr="006E709F">
        <w:tab/>
        <w:t>(f)</w:t>
      </w:r>
      <w:r w:rsidRPr="006E709F">
        <w:tab/>
        <w:t>CSR Limited;</w:t>
      </w:r>
    </w:p>
    <w:p w:rsidR="002A22A4" w:rsidRPr="006E709F" w:rsidRDefault="002A22A4" w:rsidP="00A801D0">
      <w:pPr>
        <w:pStyle w:val="paragraph"/>
      </w:pPr>
      <w:r w:rsidRPr="006E709F">
        <w:tab/>
        <w:t>(g)</w:t>
      </w:r>
      <w:r w:rsidRPr="006E709F">
        <w:tab/>
        <w:t>Dalgety Australia Operations Limited;</w:t>
      </w:r>
    </w:p>
    <w:p w:rsidR="002A22A4" w:rsidRPr="006E709F" w:rsidRDefault="002A22A4" w:rsidP="00A801D0">
      <w:pPr>
        <w:pStyle w:val="paragraph"/>
      </w:pPr>
      <w:r w:rsidRPr="006E709F">
        <w:tab/>
        <w:t>(h)</w:t>
      </w:r>
      <w:r w:rsidRPr="006E709F">
        <w:tab/>
        <w:t>Five Star Shipping &amp; Agency Company Pty Ltd;</w:t>
      </w:r>
    </w:p>
    <w:p w:rsidR="002A22A4" w:rsidRPr="006E709F" w:rsidRDefault="002A22A4" w:rsidP="00A801D0">
      <w:pPr>
        <w:pStyle w:val="paragraph"/>
      </w:pPr>
      <w:r w:rsidRPr="006E709F">
        <w:tab/>
        <w:t>(i)</w:t>
      </w:r>
      <w:r w:rsidRPr="006E709F">
        <w:tab/>
        <w:t>Jebsens International (Australia) Pty Ltd;</w:t>
      </w:r>
    </w:p>
    <w:p w:rsidR="002A22A4" w:rsidRPr="006E709F" w:rsidRDefault="002A22A4" w:rsidP="00A801D0">
      <w:pPr>
        <w:pStyle w:val="paragraph"/>
      </w:pPr>
      <w:r w:rsidRPr="006E709F">
        <w:tab/>
        <w:t>(j)</w:t>
      </w:r>
      <w:r w:rsidRPr="006E709F">
        <w:tab/>
        <w:t>‘K’ Line (Australia) Pty Limited;</w:t>
      </w:r>
    </w:p>
    <w:p w:rsidR="002A22A4" w:rsidRPr="006E709F" w:rsidRDefault="002A22A4" w:rsidP="00A801D0">
      <w:pPr>
        <w:pStyle w:val="paragraph"/>
      </w:pPr>
      <w:r w:rsidRPr="006E709F">
        <w:tab/>
        <w:t>(k)</w:t>
      </w:r>
      <w:r w:rsidRPr="006E709F">
        <w:tab/>
        <w:t>Nedlloyd Australia Pty Ltd;</w:t>
      </w:r>
    </w:p>
    <w:p w:rsidR="002A22A4" w:rsidRPr="006E709F" w:rsidRDefault="002A22A4" w:rsidP="00A801D0">
      <w:pPr>
        <w:pStyle w:val="paragraph"/>
      </w:pPr>
      <w:r w:rsidRPr="006E709F">
        <w:tab/>
        <w:t>(l)</w:t>
      </w:r>
      <w:r w:rsidRPr="006E709F">
        <w:tab/>
        <w:t>OOCL (Australia) Pty Limited;</w:t>
      </w:r>
    </w:p>
    <w:p w:rsidR="002A22A4" w:rsidRPr="006E709F" w:rsidRDefault="002A22A4" w:rsidP="00A801D0">
      <w:pPr>
        <w:pStyle w:val="paragraph"/>
      </w:pPr>
      <w:r w:rsidRPr="006E709F">
        <w:tab/>
        <w:t>(m)</w:t>
      </w:r>
      <w:r w:rsidRPr="006E709F">
        <w:tab/>
        <w:t>Opal Maritime Agencies Pty Limited;</w:t>
      </w:r>
    </w:p>
    <w:p w:rsidR="002A22A4" w:rsidRPr="006E709F" w:rsidRDefault="002A22A4" w:rsidP="00A801D0">
      <w:pPr>
        <w:pStyle w:val="paragraph"/>
      </w:pPr>
      <w:r w:rsidRPr="006E709F">
        <w:tab/>
        <w:t>(n)</w:t>
      </w:r>
      <w:r w:rsidRPr="006E709F">
        <w:tab/>
        <w:t>Patrick Sleigh Shipping Agencies Pty Limited;</w:t>
      </w:r>
    </w:p>
    <w:p w:rsidR="002A22A4" w:rsidRPr="006E709F" w:rsidRDefault="002A22A4" w:rsidP="00A801D0">
      <w:pPr>
        <w:pStyle w:val="paragraph"/>
      </w:pPr>
      <w:r w:rsidRPr="006E709F">
        <w:tab/>
        <w:t>(o)</w:t>
      </w:r>
      <w:r w:rsidRPr="006E709F">
        <w:tab/>
        <w:t>Tasman Express Line Limited;</w:t>
      </w:r>
    </w:p>
    <w:p w:rsidR="002A22A4" w:rsidRPr="006E709F" w:rsidRDefault="002A22A4" w:rsidP="00A801D0">
      <w:pPr>
        <w:pStyle w:val="paragraph"/>
      </w:pPr>
      <w:r w:rsidRPr="006E709F">
        <w:tab/>
        <w:t>(p)</w:t>
      </w:r>
      <w:r w:rsidRPr="006E709F">
        <w:tab/>
        <w:t>Wilhelmsen Lines Australia Pty Ltd;</w:t>
      </w:r>
    </w:p>
    <w:p w:rsidR="002A22A4" w:rsidRPr="006E709F" w:rsidRDefault="002A22A4" w:rsidP="00A801D0">
      <w:pPr>
        <w:pStyle w:val="paragraph"/>
      </w:pPr>
      <w:r w:rsidRPr="006E709F">
        <w:tab/>
        <w:t>(q)</w:t>
      </w:r>
      <w:r w:rsidRPr="006E709F">
        <w:tab/>
        <w:t>Wills Shipping Pty Limited.</w:t>
      </w:r>
    </w:p>
    <w:p w:rsidR="002A22A4" w:rsidRPr="006E709F" w:rsidRDefault="002A22A4" w:rsidP="007C7D49">
      <w:pPr>
        <w:pStyle w:val="ActHead5"/>
      </w:pPr>
      <w:bookmarkStart w:id="18" w:name="_Toc160609710"/>
      <w:r w:rsidRPr="000C4237">
        <w:rPr>
          <w:rStyle w:val="CharSectno"/>
        </w:rPr>
        <w:t>7004</w:t>
      </w:r>
      <w:r w:rsidR="00A801D0" w:rsidRPr="006E709F">
        <w:t xml:space="preserve">  </w:t>
      </w:r>
      <w:r w:rsidRPr="006E709F">
        <w:t>Exemptions</w:t>
      </w:r>
      <w:r w:rsidR="00A801D0" w:rsidRPr="006E709F">
        <w:t>—</w:t>
      </w:r>
      <w:r w:rsidRPr="006E709F">
        <w:t>quotation of ACNs and ARBNs</w:t>
      </w:r>
      <w:bookmarkEnd w:id="18"/>
    </w:p>
    <w:p w:rsidR="002A22A4" w:rsidRPr="006E709F" w:rsidRDefault="002A22A4" w:rsidP="00A801D0">
      <w:pPr>
        <w:pStyle w:val="subsection"/>
      </w:pPr>
      <w:r w:rsidRPr="006E709F">
        <w:tab/>
        <w:t>(1)</w:t>
      </w:r>
      <w:r w:rsidRPr="006E709F">
        <w:tab/>
        <w:t>A company is exempt from the requirement to set out the relevant information on a public document, or a negotiable instrument, of the company if:</w:t>
      </w:r>
    </w:p>
    <w:p w:rsidR="002A22A4" w:rsidRPr="006E709F" w:rsidRDefault="002A22A4" w:rsidP="00A801D0">
      <w:pPr>
        <w:pStyle w:val="paragraph"/>
      </w:pPr>
      <w:r w:rsidRPr="006E709F">
        <w:tab/>
        <w:t>(a)</w:t>
      </w:r>
      <w:r w:rsidRPr="006E709F">
        <w:tab/>
        <w:t>the company is registered on the Australian Business Register; and</w:t>
      </w:r>
    </w:p>
    <w:p w:rsidR="002A22A4" w:rsidRPr="006E709F" w:rsidRDefault="002A22A4" w:rsidP="00A801D0">
      <w:pPr>
        <w:pStyle w:val="paragraph"/>
      </w:pPr>
      <w:r w:rsidRPr="006E709F">
        <w:tab/>
        <w:t>(b)</w:t>
      </w:r>
      <w:r w:rsidRPr="006E709F">
        <w:tab/>
        <w:t>the last 9 digits of its ABN are the same, and in the same order, as the last 9 digits of its ACN; and</w:t>
      </w:r>
    </w:p>
    <w:p w:rsidR="002A22A4" w:rsidRPr="006E709F" w:rsidRDefault="002A22A4" w:rsidP="00A801D0">
      <w:pPr>
        <w:pStyle w:val="paragraph"/>
      </w:pPr>
      <w:r w:rsidRPr="006E709F">
        <w:tab/>
        <w:t>(c)</w:t>
      </w:r>
      <w:r w:rsidRPr="006E709F">
        <w:tab/>
        <w:t>‘Australian Business Number’ or ‘ABN’ is displayed with the name of the company, or with 1 of the references to that name:</w:t>
      </w:r>
    </w:p>
    <w:p w:rsidR="002A22A4" w:rsidRPr="006E709F" w:rsidRDefault="002A22A4" w:rsidP="00A801D0">
      <w:pPr>
        <w:pStyle w:val="paragraphsub"/>
      </w:pPr>
      <w:r w:rsidRPr="006E709F">
        <w:tab/>
        <w:t>(i)</w:t>
      </w:r>
      <w:r w:rsidRPr="006E709F">
        <w:tab/>
        <w:t>in the case of a document or instrument in which the name appears on only 1 page</w:t>
      </w:r>
      <w:r w:rsidR="00A801D0" w:rsidRPr="006E709F">
        <w:t>—</w:t>
      </w:r>
      <w:r w:rsidRPr="006E709F">
        <w:t>on that page; and</w:t>
      </w:r>
    </w:p>
    <w:p w:rsidR="002A22A4" w:rsidRPr="006E709F" w:rsidRDefault="002A22A4" w:rsidP="00A801D0">
      <w:pPr>
        <w:pStyle w:val="paragraphsub"/>
      </w:pPr>
      <w:r w:rsidRPr="006E709F">
        <w:tab/>
        <w:t>(ii)</w:t>
      </w:r>
      <w:r w:rsidRPr="006E709F">
        <w:tab/>
        <w:t>in the case of a document or instrument in which the name appears on 2 or more pages</w:t>
      </w:r>
      <w:r w:rsidR="00A801D0" w:rsidRPr="006E709F">
        <w:t>—</w:t>
      </w:r>
      <w:r w:rsidRPr="006E709F">
        <w:t>on the first of those pages.</w:t>
      </w:r>
    </w:p>
    <w:p w:rsidR="002A22A4" w:rsidRPr="006E709F" w:rsidRDefault="002A22A4" w:rsidP="00A801D0">
      <w:pPr>
        <w:pStyle w:val="subsection"/>
      </w:pPr>
      <w:r w:rsidRPr="006E709F">
        <w:tab/>
        <w:t>(2)</w:t>
      </w:r>
      <w:r w:rsidRPr="006E709F">
        <w:tab/>
        <w:t>A registered Australian body or registered foreign body is exempt from the requirement to set out information mentioned in paragraph</w:t>
      </w:r>
      <w:r w:rsidR="00DA13DE" w:rsidRPr="006E709F">
        <w:t> </w:t>
      </w:r>
      <w:r w:rsidRPr="006E709F">
        <w:t>601DE(1</w:t>
      </w:r>
      <w:r w:rsidR="00A801D0" w:rsidRPr="006E709F">
        <w:t>)(</w:t>
      </w:r>
      <w:r w:rsidRPr="006E709F">
        <w:t>b) and subsection</w:t>
      </w:r>
      <w:r w:rsidR="00DA13DE" w:rsidRPr="006E709F">
        <w:t> </w:t>
      </w:r>
      <w:r w:rsidRPr="006E709F">
        <w:t>601DE(2) of the Act on a public document, or a negotiable instrument, of the registered body or foreign company if:</w:t>
      </w:r>
    </w:p>
    <w:p w:rsidR="002A22A4" w:rsidRPr="006E709F" w:rsidRDefault="002A22A4" w:rsidP="00A801D0">
      <w:pPr>
        <w:pStyle w:val="paragraph"/>
      </w:pPr>
      <w:r w:rsidRPr="006E709F">
        <w:tab/>
        <w:t>(a)</w:t>
      </w:r>
      <w:r w:rsidRPr="006E709F">
        <w:tab/>
        <w:t>the body or company is also registered on the Australian Business Register; and</w:t>
      </w:r>
    </w:p>
    <w:p w:rsidR="002A22A4" w:rsidRPr="006E709F" w:rsidRDefault="002A22A4" w:rsidP="00A801D0">
      <w:pPr>
        <w:pStyle w:val="paragraph"/>
      </w:pPr>
      <w:r w:rsidRPr="006E709F">
        <w:tab/>
        <w:t>(b)</w:t>
      </w:r>
      <w:r w:rsidRPr="006E709F">
        <w:tab/>
        <w:t>the last 9 digits of its ABN are the same, and in the same order, as the last 9 digits of its ARBN; and</w:t>
      </w:r>
    </w:p>
    <w:p w:rsidR="002A22A4" w:rsidRPr="006E709F" w:rsidRDefault="002A22A4" w:rsidP="00A801D0">
      <w:pPr>
        <w:pStyle w:val="paragraph"/>
      </w:pPr>
      <w:r w:rsidRPr="006E709F">
        <w:tab/>
        <w:t>(c)</w:t>
      </w:r>
      <w:r w:rsidRPr="006E709F">
        <w:tab/>
        <w:t>‘Australian Business Number’ or ‘ABN’ is displayed with the name of the body or company, or with 1 of the references to that name:</w:t>
      </w:r>
    </w:p>
    <w:p w:rsidR="002A22A4" w:rsidRPr="006E709F" w:rsidRDefault="002A22A4" w:rsidP="00A801D0">
      <w:pPr>
        <w:pStyle w:val="paragraphsub"/>
      </w:pPr>
      <w:r w:rsidRPr="006E709F">
        <w:tab/>
        <w:t>(i)</w:t>
      </w:r>
      <w:r w:rsidRPr="006E709F">
        <w:tab/>
        <w:t>in the case of a document or instrument in which the name appears on only 1 page</w:t>
      </w:r>
      <w:r w:rsidR="00A801D0" w:rsidRPr="006E709F">
        <w:t>—</w:t>
      </w:r>
      <w:r w:rsidRPr="006E709F">
        <w:t>on that page; and</w:t>
      </w:r>
    </w:p>
    <w:p w:rsidR="002A22A4" w:rsidRPr="006E709F" w:rsidRDefault="002A22A4" w:rsidP="00A801D0">
      <w:pPr>
        <w:pStyle w:val="paragraphsub"/>
      </w:pPr>
      <w:r w:rsidRPr="006E709F">
        <w:tab/>
        <w:t>(ii)</w:t>
      </w:r>
      <w:r w:rsidRPr="006E709F">
        <w:tab/>
        <w:t>in the case of a document or instrument in which the name appears on 2 or more pages</w:t>
      </w:r>
      <w:r w:rsidR="00A801D0" w:rsidRPr="006E709F">
        <w:t>—</w:t>
      </w:r>
      <w:r w:rsidRPr="006E709F">
        <w:t>on the first of those pages.</w:t>
      </w:r>
    </w:p>
    <w:p w:rsidR="002C7155" w:rsidRPr="006E709F" w:rsidRDefault="00A801D0" w:rsidP="00E376FA">
      <w:pPr>
        <w:pStyle w:val="ActHead1"/>
        <w:pageBreakBefore/>
      </w:pPr>
      <w:bookmarkStart w:id="19" w:name="_Toc160609711"/>
      <w:r w:rsidRPr="000C4237">
        <w:rPr>
          <w:rStyle w:val="CharChapNo"/>
        </w:rPr>
        <w:t>Schedule</w:t>
      </w:r>
      <w:r w:rsidR="00DA13DE" w:rsidRPr="000C4237">
        <w:rPr>
          <w:rStyle w:val="CharChapNo"/>
        </w:rPr>
        <w:t> </w:t>
      </w:r>
      <w:r w:rsidR="002C7155" w:rsidRPr="000C4237">
        <w:rPr>
          <w:rStyle w:val="CharChapNo"/>
        </w:rPr>
        <w:t>7A</w:t>
      </w:r>
      <w:r w:rsidRPr="006E709F">
        <w:t>—</w:t>
      </w:r>
      <w:r w:rsidR="002C7155" w:rsidRPr="000C4237">
        <w:rPr>
          <w:rStyle w:val="CharChapText"/>
        </w:rPr>
        <w:t>Content of annual transparency report</w:t>
      </w:r>
      <w:bookmarkEnd w:id="19"/>
    </w:p>
    <w:p w:rsidR="002C7155" w:rsidRPr="006E709F" w:rsidRDefault="002C7155" w:rsidP="00A801D0">
      <w:pPr>
        <w:pStyle w:val="notemargin"/>
      </w:pPr>
      <w:r w:rsidRPr="006E709F">
        <w:t>(subregulation</w:t>
      </w:r>
      <w:r w:rsidR="00DA13DE" w:rsidRPr="006E709F">
        <w:t> </w:t>
      </w:r>
      <w:r w:rsidRPr="006E709F">
        <w:t>2M.4A.02(1))</w:t>
      </w:r>
    </w:p>
    <w:p w:rsidR="002C7155" w:rsidRPr="006E709F" w:rsidRDefault="00A801D0" w:rsidP="00A801D0">
      <w:pPr>
        <w:pStyle w:val="ActHead2"/>
      </w:pPr>
      <w:bookmarkStart w:id="20" w:name="_Toc160609712"/>
      <w:r w:rsidRPr="000C4237">
        <w:rPr>
          <w:rStyle w:val="CharPartNo"/>
        </w:rPr>
        <w:t>Part</w:t>
      </w:r>
      <w:r w:rsidR="00DA13DE" w:rsidRPr="000C4237">
        <w:rPr>
          <w:rStyle w:val="CharPartNo"/>
        </w:rPr>
        <w:t> </w:t>
      </w:r>
      <w:r w:rsidR="002C7155" w:rsidRPr="000C4237">
        <w:rPr>
          <w:rStyle w:val="CharPartNo"/>
        </w:rPr>
        <w:t>1</w:t>
      </w:r>
      <w:r w:rsidRPr="006E709F">
        <w:t>—</w:t>
      </w:r>
      <w:r w:rsidR="002C7155" w:rsidRPr="000C4237">
        <w:rPr>
          <w:rStyle w:val="CharPartText"/>
        </w:rPr>
        <w:t xml:space="preserve">Interpretation for </w:t>
      </w:r>
      <w:r w:rsidRPr="000C4237">
        <w:rPr>
          <w:rStyle w:val="CharPartText"/>
        </w:rPr>
        <w:t>Schedule</w:t>
      </w:r>
      <w:r w:rsidR="00DA13DE" w:rsidRPr="000C4237">
        <w:rPr>
          <w:rStyle w:val="CharPartText"/>
        </w:rPr>
        <w:t> </w:t>
      </w:r>
      <w:r w:rsidR="002C7155" w:rsidRPr="000C4237">
        <w:rPr>
          <w:rStyle w:val="CharPartText"/>
        </w:rPr>
        <w:t>7A</w:t>
      </w:r>
      <w:bookmarkEnd w:id="20"/>
    </w:p>
    <w:p w:rsidR="002C7155" w:rsidRPr="006E709F" w:rsidRDefault="002C7155" w:rsidP="007C7D49">
      <w:pPr>
        <w:pStyle w:val="ActHead5"/>
      </w:pPr>
      <w:bookmarkStart w:id="21" w:name="_Toc160609713"/>
      <w:r w:rsidRPr="000C4237">
        <w:rPr>
          <w:rStyle w:val="CharSectno"/>
        </w:rPr>
        <w:t>7A101</w:t>
      </w:r>
      <w:r w:rsidR="00A801D0" w:rsidRPr="006E709F">
        <w:t xml:space="preserve">  </w:t>
      </w:r>
      <w:r w:rsidRPr="006E709F">
        <w:t>Interpretation</w:t>
      </w:r>
      <w:bookmarkEnd w:id="21"/>
    </w:p>
    <w:p w:rsidR="002C7155" w:rsidRPr="006E709F" w:rsidRDefault="002C7155" w:rsidP="00A801D0">
      <w:pPr>
        <w:pStyle w:val="subsection"/>
      </w:pPr>
      <w:r w:rsidRPr="006E709F">
        <w:tab/>
      </w:r>
      <w:r w:rsidRPr="006E709F">
        <w:tab/>
        <w:t>In this Schedule:</w:t>
      </w:r>
    </w:p>
    <w:p w:rsidR="002C7155" w:rsidRPr="006E709F" w:rsidRDefault="002C7155" w:rsidP="00A801D0">
      <w:pPr>
        <w:pStyle w:val="Definition"/>
      </w:pPr>
      <w:r w:rsidRPr="006E709F">
        <w:rPr>
          <w:b/>
          <w:i/>
        </w:rPr>
        <w:t>management body</w:t>
      </w:r>
      <w:r w:rsidRPr="006E709F">
        <w:t>, for an authorised audit company, means the Board of Directors.</w:t>
      </w:r>
    </w:p>
    <w:p w:rsidR="002C7155" w:rsidRPr="006E709F" w:rsidRDefault="002C7155" w:rsidP="00A801D0">
      <w:pPr>
        <w:pStyle w:val="Definition"/>
      </w:pPr>
      <w:r w:rsidRPr="006E709F">
        <w:rPr>
          <w:b/>
          <w:i/>
        </w:rPr>
        <w:t>relevant transparency reporting year</w:t>
      </w:r>
      <w:r w:rsidRPr="006E709F">
        <w:rPr>
          <w:i/>
        </w:rPr>
        <w:t xml:space="preserve"> </w:t>
      </w:r>
      <w:r w:rsidRPr="006E709F">
        <w:t>means the transparency reporting year to which an annual transparency report relates.</w:t>
      </w:r>
    </w:p>
    <w:p w:rsidR="002C7155" w:rsidRPr="006E709F" w:rsidRDefault="004665D8" w:rsidP="00A801D0">
      <w:pPr>
        <w:pStyle w:val="notetext"/>
      </w:pPr>
      <w:r w:rsidRPr="00BE1284">
        <w:t>Note</w:t>
      </w:r>
      <w:r w:rsidR="00A801D0" w:rsidRPr="006E709F">
        <w:t>:</w:t>
      </w:r>
      <w:r w:rsidR="00A801D0" w:rsidRPr="006E709F">
        <w:tab/>
      </w:r>
      <w:r w:rsidR="002C7155" w:rsidRPr="006E709F">
        <w:t>See regulation</w:t>
      </w:r>
      <w:r w:rsidR="00DA13DE" w:rsidRPr="006E709F">
        <w:t> </w:t>
      </w:r>
      <w:r w:rsidR="002C7155" w:rsidRPr="006E709F">
        <w:t>2M.4A.01 for an application provision that, read in combination with regulation</w:t>
      </w:r>
      <w:r w:rsidR="00DA13DE" w:rsidRPr="006E709F">
        <w:t> </w:t>
      </w:r>
      <w:r w:rsidR="002C7155" w:rsidRPr="006E709F">
        <w:t xml:space="preserve">2M.4A.02, is relevant to </w:t>
      </w:r>
      <w:r w:rsidR="00A801D0" w:rsidRPr="006E709F">
        <w:t>Schedule</w:t>
      </w:r>
      <w:r w:rsidR="00DA13DE" w:rsidRPr="006E709F">
        <w:t> </w:t>
      </w:r>
      <w:r w:rsidR="002C7155" w:rsidRPr="006E709F">
        <w:t>7A.</w:t>
      </w:r>
    </w:p>
    <w:p w:rsidR="002C7155" w:rsidRPr="006E709F" w:rsidRDefault="00A801D0" w:rsidP="00A801D0">
      <w:pPr>
        <w:pStyle w:val="ActHead2"/>
        <w:pageBreakBefore/>
      </w:pPr>
      <w:bookmarkStart w:id="22" w:name="_Toc160609714"/>
      <w:r w:rsidRPr="000C4237">
        <w:rPr>
          <w:rStyle w:val="CharPartNo"/>
        </w:rPr>
        <w:t>Part</w:t>
      </w:r>
      <w:r w:rsidR="00DA13DE" w:rsidRPr="000C4237">
        <w:rPr>
          <w:rStyle w:val="CharPartNo"/>
        </w:rPr>
        <w:t> </w:t>
      </w:r>
      <w:r w:rsidR="002C7155" w:rsidRPr="000C4237">
        <w:rPr>
          <w:rStyle w:val="CharPartNo"/>
        </w:rPr>
        <w:t>2</w:t>
      </w:r>
      <w:r w:rsidRPr="006E709F">
        <w:t>—</w:t>
      </w:r>
      <w:r w:rsidR="002C7155" w:rsidRPr="000C4237">
        <w:rPr>
          <w:rStyle w:val="CharPartText"/>
        </w:rPr>
        <w:t>Prescribed information for audit firm or authorised audit company</w:t>
      </w:r>
      <w:bookmarkEnd w:id="22"/>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98"/>
        <w:gridCol w:w="7231"/>
      </w:tblGrid>
      <w:tr w:rsidR="002C7155" w:rsidRPr="006E709F" w:rsidTr="00E118FA">
        <w:trPr>
          <w:tblHeader/>
        </w:trPr>
        <w:tc>
          <w:tcPr>
            <w:tcW w:w="761" w:type="pct"/>
            <w:tcBorders>
              <w:top w:val="single" w:sz="12" w:space="0" w:color="auto"/>
              <w:bottom w:val="single" w:sz="12" w:space="0" w:color="auto"/>
            </w:tcBorders>
            <w:shd w:val="clear" w:color="auto" w:fill="auto"/>
          </w:tcPr>
          <w:p w:rsidR="002C7155" w:rsidRPr="006E709F" w:rsidRDefault="002C7155" w:rsidP="00A801D0">
            <w:pPr>
              <w:pStyle w:val="TableHeading"/>
            </w:pPr>
            <w:r w:rsidRPr="006E709F">
              <w:t>Item</w:t>
            </w:r>
          </w:p>
        </w:tc>
        <w:tc>
          <w:tcPr>
            <w:tcW w:w="4239" w:type="pct"/>
            <w:tcBorders>
              <w:top w:val="single" w:sz="12" w:space="0" w:color="auto"/>
              <w:bottom w:val="single" w:sz="12" w:space="0" w:color="auto"/>
            </w:tcBorders>
            <w:shd w:val="clear" w:color="auto" w:fill="auto"/>
          </w:tcPr>
          <w:p w:rsidR="002C7155" w:rsidRPr="006E709F" w:rsidRDefault="002C7155" w:rsidP="00A801D0">
            <w:pPr>
              <w:pStyle w:val="TableHeading"/>
            </w:pPr>
            <w:r w:rsidRPr="006E709F">
              <w:t>Information</w:t>
            </w:r>
          </w:p>
        </w:tc>
      </w:tr>
      <w:tr w:rsidR="002C7155" w:rsidRPr="006E709F" w:rsidTr="00E118FA">
        <w:tc>
          <w:tcPr>
            <w:tcW w:w="761" w:type="pct"/>
            <w:tcBorders>
              <w:top w:val="single" w:sz="12" w:space="0" w:color="auto"/>
              <w:bottom w:val="single" w:sz="4" w:space="0" w:color="auto"/>
            </w:tcBorders>
            <w:shd w:val="clear" w:color="auto" w:fill="auto"/>
          </w:tcPr>
          <w:p w:rsidR="002C7155" w:rsidRPr="006E709F" w:rsidRDefault="002C7155" w:rsidP="00A801D0">
            <w:pPr>
              <w:pStyle w:val="Tabletext"/>
            </w:pPr>
            <w:r w:rsidRPr="006E709F">
              <w:t>7A201</w:t>
            </w:r>
          </w:p>
        </w:tc>
        <w:tc>
          <w:tcPr>
            <w:tcW w:w="4239" w:type="pct"/>
            <w:tcBorders>
              <w:top w:val="single" w:sz="12" w:space="0" w:color="auto"/>
              <w:bottom w:val="single" w:sz="4" w:space="0" w:color="auto"/>
            </w:tcBorders>
            <w:shd w:val="clear" w:color="auto" w:fill="auto"/>
          </w:tcPr>
          <w:p w:rsidR="002C7155" w:rsidRPr="006E709F" w:rsidRDefault="002C7155" w:rsidP="00A801D0">
            <w:pPr>
              <w:pStyle w:val="Tabletext"/>
            </w:pPr>
            <w:r w:rsidRPr="006E709F">
              <w:t>A description of the transparency reporting auditor’s:</w:t>
            </w:r>
          </w:p>
          <w:p w:rsidR="002C7155" w:rsidRPr="006E709F" w:rsidRDefault="00A801D0" w:rsidP="00A801D0">
            <w:pPr>
              <w:pStyle w:val="Tablea"/>
            </w:pPr>
            <w:r w:rsidRPr="006E709F">
              <w:t>(</w:t>
            </w:r>
            <w:r w:rsidR="002C7155" w:rsidRPr="006E709F">
              <w:t>a</w:t>
            </w:r>
            <w:r w:rsidRPr="006E709F">
              <w:t xml:space="preserve">) </w:t>
            </w:r>
            <w:r w:rsidR="002C7155" w:rsidRPr="006E709F">
              <w:t>legal structure; and</w:t>
            </w:r>
          </w:p>
          <w:p w:rsidR="002C7155" w:rsidRPr="006E709F" w:rsidRDefault="00A801D0" w:rsidP="00A801D0">
            <w:pPr>
              <w:pStyle w:val="Tablea"/>
            </w:pPr>
            <w:r w:rsidRPr="006E709F">
              <w:t>(</w:t>
            </w:r>
            <w:r w:rsidR="002C7155" w:rsidRPr="006E709F">
              <w:t>b</w:t>
            </w:r>
            <w:r w:rsidRPr="006E709F">
              <w:t xml:space="preserve">) </w:t>
            </w:r>
            <w:r w:rsidR="002C7155" w:rsidRPr="006E709F">
              <w:t>ownership</w:t>
            </w:r>
          </w:p>
        </w:tc>
      </w:tr>
      <w:tr w:rsidR="002C7155" w:rsidRPr="006E709F" w:rsidTr="00E118FA">
        <w:tc>
          <w:tcPr>
            <w:tcW w:w="761" w:type="pct"/>
            <w:tcBorders>
              <w:bottom w:val="nil"/>
              <w:right w:val="nil"/>
            </w:tcBorders>
            <w:shd w:val="clear" w:color="auto" w:fill="auto"/>
          </w:tcPr>
          <w:p w:rsidR="002C7155" w:rsidRPr="006E709F" w:rsidRDefault="002C7155" w:rsidP="00A801D0">
            <w:pPr>
              <w:pStyle w:val="Tabletext"/>
            </w:pPr>
            <w:r w:rsidRPr="006E709F">
              <w:t>7A202</w:t>
            </w:r>
          </w:p>
        </w:tc>
        <w:tc>
          <w:tcPr>
            <w:tcW w:w="4239" w:type="pct"/>
            <w:tcBorders>
              <w:left w:val="nil"/>
              <w:bottom w:val="nil"/>
            </w:tcBorders>
            <w:shd w:val="clear" w:color="auto" w:fill="auto"/>
          </w:tcPr>
          <w:p w:rsidR="002C7155" w:rsidRPr="006E709F" w:rsidRDefault="002C7155" w:rsidP="00A801D0">
            <w:pPr>
              <w:pStyle w:val="Tabletext"/>
            </w:pPr>
            <w:r w:rsidRPr="006E709F">
              <w:t>If the transparency reporting auditor belongs to a network, a description of:</w:t>
            </w:r>
          </w:p>
        </w:tc>
      </w:tr>
      <w:tr w:rsidR="002C7155" w:rsidRPr="006E709F" w:rsidTr="00E118FA">
        <w:tc>
          <w:tcPr>
            <w:tcW w:w="761" w:type="pct"/>
            <w:tcBorders>
              <w:top w:val="nil"/>
              <w:bottom w:val="single" w:sz="4" w:space="0" w:color="auto"/>
              <w:right w:val="nil"/>
            </w:tcBorders>
            <w:shd w:val="clear" w:color="auto" w:fill="auto"/>
          </w:tcPr>
          <w:p w:rsidR="002C7155" w:rsidRPr="006E709F" w:rsidRDefault="002C7155" w:rsidP="005133DE">
            <w:pPr>
              <w:pStyle w:val="Tabletext"/>
            </w:pPr>
          </w:p>
        </w:tc>
        <w:tc>
          <w:tcPr>
            <w:tcW w:w="4239" w:type="pct"/>
            <w:tcBorders>
              <w:top w:val="nil"/>
              <w:left w:val="nil"/>
              <w:bottom w:val="single" w:sz="4" w:space="0" w:color="auto"/>
            </w:tcBorders>
            <w:shd w:val="clear" w:color="auto" w:fill="auto"/>
          </w:tcPr>
          <w:p w:rsidR="002C7155" w:rsidRPr="006E709F" w:rsidRDefault="00A801D0" w:rsidP="00A801D0">
            <w:pPr>
              <w:pStyle w:val="Tablea"/>
            </w:pPr>
            <w:r w:rsidRPr="006E709F">
              <w:t>(</w:t>
            </w:r>
            <w:r w:rsidR="002C7155" w:rsidRPr="006E709F">
              <w:t>a</w:t>
            </w:r>
            <w:r w:rsidRPr="006E709F">
              <w:t xml:space="preserve">) </w:t>
            </w:r>
            <w:r w:rsidR="002C7155" w:rsidRPr="006E709F">
              <w:t>the network; and</w:t>
            </w:r>
          </w:p>
          <w:p w:rsidR="002C7155" w:rsidRPr="006E709F" w:rsidRDefault="00A801D0" w:rsidP="00A801D0">
            <w:pPr>
              <w:pStyle w:val="Tablea"/>
            </w:pPr>
            <w:r w:rsidRPr="006E709F">
              <w:t>(</w:t>
            </w:r>
            <w:r w:rsidR="002C7155" w:rsidRPr="006E709F">
              <w:t>b</w:t>
            </w:r>
            <w:r w:rsidRPr="006E709F">
              <w:t xml:space="preserve">) </w:t>
            </w:r>
            <w:r w:rsidR="002C7155" w:rsidRPr="006E709F">
              <w:t>the legal arrangements of the network; and</w:t>
            </w:r>
          </w:p>
          <w:p w:rsidR="002C7155" w:rsidRPr="006E709F" w:rsidRDefault="00A801D0" w:rsidP="00A801D0">
            <w:pPr>
              <w:pStyle w:val="Tablea"/>
            </w:pPr>
            <w:r w:rsidRPr="006E709F">
              <w:t>(</w:t>
            </w:r>
            <w:r w:rsidR="002C7155" w:rsidRPr="006E709F">
              <w:t>c</w:t>
            </w:r>
            <w:r w:rsidRPr="006E709F">
              <w:t xml:space="preserve">) </w:t>
            </w:r>
            <w:r w:rsidR="002C7155" w:rsidRPr="006E709F">
              <w:t>the structural arrangements of the network</w:t>
            </w:r>
          </w:p>
        </w:tc>
      </w:tr>
      <w:tr w:rsidR="002C7155" w:rsidRPr="006E709F" w:rsidTr="00E118FA">
        <w:tc>
          <w:tcPr>
            <w:tcW w:w="761" w:type="pct"/>
            <w:tcBorders>
              <w:top w:val="single" w:sz="4" w:space="0" w:color="auto"/>
            </w:tcBorders>
            <w:shd w:val="clear" w:color="auto" w:fill="auto"/>
          </w:tcPr>
          <w:p w:rsidR="002C7155" w:rsidRPr="006E709F" w:rsidRDefault="002C7155" w:rsidP="00A801D0">
            <w:pPr>
              <w:pStyle w:val="Tabletext"/>
            </w:pPr>
            <w:r w:rsidRPr="006E709F">
              <w:t>7A203</w:t>
            </w:r>
          </w:p>
        </w:tc>
        <w:tc>
          <w:tcPr>
            <w:tcW w:w="4239" w:type="pct"/>
            <w:tcBorders>
              <w:top w:val="single" w:sz="4" w:space="0" w:color="auto"/>
            </w:tcBorders>
            <w:shd w:val="clear" w:color="auto" w:fill="auto"/>
          </w:tcPr>
          <w:p w:rsidR="002C7155" w:rsidRPr="006E709F" w:rsidRDefault="002C7155" w:rsidP="00A801D0">
            <w:pPr>
              <w:pStyle w:val="Tabletext"/>
            </w:pPr>
            <w:r w:rsidRPr="006E709F">
              <w:t>A description of the transparency reporting auditor’s governance structure</w:t>
            </w:r>
          </w:p>
        </w:tc>
      </w:tr>
      <w:tr w:rsidR="002C7155" w:rsidRPr="006E709F" w:rsidTr="00E118FA">
        <w:tc>
          <w:tcPr>
            <w:tcW w:w="761" w:type="pct"/>
            <w:shd w:val="clear" w:color="auto" w:fill="auto"/>
          </w:tcPr>
          <w:p w:rsidR="002C7155" w:rsidRPr="006E709F" w:rsidRDefault="002C7155" w:rsidP="00A801D0">
            <w:pPr>
              <w:pStyle w:val="Tabletext"/>
            </w:pPr>
            <w:r w:rsidRPr="006E709F">
              <w:t>7A204</w:t>
            </w:r>
          </w:p>
        </w:tc>
        <w:tc>
          <w:tcPr>
            <w:tcW w:w="4239" w:type="pct"/>
            <w:shd w:val="clear" w:color="auto" w:fill="auto"/>
          </w:tcPr>
          <w:p w:rsidR="002C7155" w:rsidRPr="006E709F" w:rsidRDefault="002C7155" w:rsidP="00A801D0">
            <w:pPr>
              <w:pStyle w:val="Tabletext"/>
            </w:pPr>
            <w:r w:rsidRPr="006E709F">
              <w:t>A description of the transparency reporting auditor’s internal quality control system</w:t>
            </w:r>
          </w:p>
        </w:tc>
      </w:tr>
      <w:tr w:rsidR="002C7155" w:rsidRPr="006E709F" w:rsidTr="00E118FA">
        <w:tc>
          <w:tcPr>
            <w:tcW w:w="761" w:type="pct"/>
            <w:shd w:val="clear" w:color="auto" w:fill="auto"/>
          </w:tcPr>
          <w:p w:rsidR="002C7155" w:rsidRPr="006E709F" w:rsidRDefault="002C7155" w:rsidP="00A801D0">
            <w:pPr>
              <w:pStyle w:val="Tabletext"/>
            </w:pPr>
            <w:r w:rsidRPr="006E709F">
              <w:t>7A205</w:t>
            </w:r>
          </w:p>
        </w:tc>
        <w:tc>
          <w:tcPr>
            <w:tcW w:w="4239" w:type="pct"/>
            <w:shd w:val="clear" w:color="auto" w:fill="auto"/>
          </w:tcPr>
          <w:p w:rsidR="002C7155" w:rsidRPr="006E709F" w:rsidRDefault="002C7155" w:rsidP="00A801D0">
            <w:pPr>
              <w:pStyle w:val="Tabletext"/>
            </w:pPr>
            <w:r w:rsidRPr="006E709F">
              <w:t>A statement by the transparency reporting auditor’s administrative body or management body on the effectiveness of the functioning of the transparency reporting auditor’s internal quality control system in the relevant transparency reporting year</w:t>
            </w:r>
          </w:p>
        </w:tc>
      </w:tr>
      <w:tr w:rsidR="002C7155" w:rsidRPr="006E709F" w:rsidTr="00E118FA">
        <w:tc>
          <w:tcPr>
            <w:tcW w:w="761" w:type="pct"/>
            <w:shd w:val="clear" w:color="auto" w:fill="auto"/>
          </w:tcPr>
          <w:p w:rsidR="002C7155" w:rsidRPr="006E709F" w:rsidRDefault="002C7155" w:rsidP="00A801D0">
            <w:pPr>
              <w:pStyle w:val="Tabletext"/>
            </w:pPr>
            <w:r w:rsidRPr="006E709F">
              <w:rPr>
                <w:color w:val="000000"/>
              </w:rPr>
              <w:t>7A206</w:t>
            </w:r>
          </w:p>
        </w:tc>
        <w:tc>
          <w:tcPr>
            <w:tcW w:w="4239" w:type="pct"/>
            <w:shd w:val="clear" w:color="auto" w:fill="auto"/>
          </w:tcPr>
          <w:p w:rsidR="002C7155" w:rsidRPr="006E709F" w:rsidRDefault="002C7155" w:rsidP="00A801D0">
            <w:pPr>
              <w:pStyle w:val="Tabletext"/>
            </w:pPr>
            <w:r w:rsidRPr="006E709F">
              <w:rPr>
                <w:color w:val="000000"/>
              </w:rPr>
              <w:t>The name of each body that is authorised to review the transparency reporting auditor (for example, ASIC or a professional accounting body) and the date of the most recent review of the transparency reporting auditor conducted by the body</w:t>
            </w:r>
          </w:p>
        </w:tc>
      </w:tr>
      <w:tr w:rsidR="002C7155" w:rsidRPr="006E709F" w:rsidTr="00E118FA">
        <w:tc>
          <w:tcPr>
            <w:tcW w:w="761" w:type="pct"/>
            <w:shd w:val="clear" w:color="auto" w:fill="auto"/>
          </w:tcPr>
          <w:p w:rsidR="002C7155" w:rsidRPr="006E709F" w:rsidRDefault="002C7155" w:rsidP="00A801D0">
            <w:pPr>
              <w:pStyle w:val="Tabletext"/>
            </w:pPr>
            <w:r w:rsidRPr="006E709F">
              <w:t>7A207</w:t>
            </w:r>
          </w:p>
        </w:tc>
        <w:tc>
          <w:tcPr>
            <w:tcW w:w="4239" w:type="pct"/>
            <w:shd w:val="clear" w:color="auto" w:fill="auto"/>
          </w:tcPr>
          <w:p w:rsidR="002C7155" w:rsidRPr="006E709F" w:rsidRDefault="002C7155" w:rsidP="008C457C">
            <w:pPr>
              <w:pStyle w:val="Tabletext"/>
            </w:pPr>
            <w:r w:rsidRPr="006E709F">
              <w:t>The names of bodies of the kinds mentioned in subsection</w:t>
            </w:r>
            <w:r w:rsidR="00DA13DE" w:rsidRPr="006E709F">
              <w:t> </w:t>
            </w:r>
            <w:r w:rsidRPr="006E709F">
              <w:t xml:space="preserve">332A(1) of the Act for which the transparency reporting auditor conducted an audit under </w:t>
            </w:r>
            <w:r w:rsidR="00A801D0" w:rsidRPr="006E709F">
              <w:t>Division</w:t>
            </w:r>
            <w:r w:rsidR="00DA13DE" w:rsidRPr="006E709F">
              <w:t> </w:t>
            </w:r>
            <w:r w:rsidRPr="006E709F">
              <w:t xml:space="preserve">3 of </w:t>
            </w:r>
            <w:r w:rsidR="00A801D0" w:rsidRPr="006E709F">
              <w:t>Part</w:t>
            </w:r>
            <w:r w:rsidR="00DA13DE" w:rsidRPr="006E709F">
              <w:t> </w:t>
            </w:r>
            <w:r w:rsidRPr="006E709F">
              <w:t>2M.3 of the Act in the relevant transparency reporting year</w:t>
            </w:r>
          </w:p>
        </w:tc>
      </w:tr>
      <w:tr w:rsidR="002C7155" w:rsidRPr="006E709F" w:rsidTr="00E118FA">
        <w:tc>
          <w:tcPr>
            <w:tcW w:w="761" w:type="pct"/>
            <w:tcBorders>
              <w:bottom w:val="single" w:sz="4" w:space="0" w:color="auto"/>
            </w:tcBorders>
            <w:shd w:val="clear" w:color="auto" w:fill="auto"/>
          </w:tcPr>
          <w:p w:rsidR="002C7155" w:rsidRPr="006E709F" w:rsidRDefault="002C7155" w:rsidP="00A801D0">
            <w:pPr>
              <w:pStyle w:val="Tabletext"/>
            </w:pPr>
            <w:r w:rsidRPr="006E709F">
              <w:t>7A208</w:t>
            </w:r>
          </w:p>
        </w:tc>
        <w:tc>
          <w:tcPr>
            <w:tcW w:w="4239" w:type="pct"/>
            <w:tcBorders>
              <w:bottom w:val="single" w:sz="4" w:space="0" w:color="auto"/>
            </w:tcBorders>
            <w:shd w:val="clear" w:color="auto" w:fill="auto"/>
          </w:tcPr>
          <w:p w:rsidR="002C7155" w:rsidRPr="006E709F" w:rsidRDefault="002C7155" w:rsidP="00A801D0">
            <w:pPr>
              <w:pStyle w:val="Tabletext"/>
            </w:pPr>
            <w:r w:rsidRPr="006E709F">
              <w:t>A statement about the transparency reporting auditor’s independence practices in the relevant transparency reporting year, including the date on which the transparency reporting auditor most recently conducted an internal review of its independence compliance</w:t>
            </w:r>
          </w:p>
        </w:tc>
      </w:tr>
      <w:tr w:rsidR="002C7155" w:rsidRPr="006E709F" w:rsidTr="00E118FA">
        <w:trPr>
          <w:cantSplit/>
        </w:trPr>
        <w:tc>
          <w:tcPr>
            <w:tcW w:w="761" w:type="pct"/>
            <w:tcBorders>
              <w:bottom w:val="single" w:sz="4" w:space="0" w:color="auto"/>
            </w:tcBorders>
            <w:shd w:val="clear" w:color="auto" w:fill="auto"/>
          </w:tcPr>
          <w:p w:rsidR="002C7155" w:rsidRPr="006E709F" w:rsidRDefault="002C7155" w:rsidP="00A801D0">
            <w:pPr>
              <w:pStyle w:val="Tabletext"/>
            </w:pPr>
            <w:r w:rsidRPr="006E709F">
              <w:t>7A209</w:t>
            </w:r>
          </w:p>
        </w:tc>
        <w:tc>
          <w:tcPr>
            <w:tcW w:w="4239" w:type="pct"/>
            <w:tcBorders>
              <w:bottom w:val="single" w:sz="4" w:space="0" w:color="auto"/>
            </w:tcBorders>
            <w:shd w:val="clear" w:color="auto" w:fill="auto"/>
          </w:tcPr>
          <w:p w:rsidR="002C7155" w:rsidRPr="006E709F" w:rsidRDefault="002C7155" w:rsidP="00A801D0">
            <w:pPr>
              <w:pStyle w:val="Tabletext"/>
            </w:pPr>
            <w:r w:rsidRPr="006E709F">
              <w:t>A statement about the policy that the transparency reporting auditor follows regarding the minimum amount and nature of continuing or other professional education that professional members of an audit team must undertake during the relevant transparency reporting year</w:t>
            </w:r>
          </w:p>
        </w:tc>
      </w:tr>
      <w:tr w:rsidR="002C7155" w:rsidRPr="006E709F" w:rsidTr="00E118FA">
        <w:tc>
          <w:tcPr>
            <w:tcW w:w="761" w:type="pct"/>
            <w:tcBorders>
              <w:bottom w:val="nil"/>
              <w:right w:val="nil"/>
            </w:tcBorders>
            <w:shd w:val="clear" w:color="auto" w:fill="auto"/>
          </w:tcPr>
          <w:p w:rsidR="002C7155" w:rsidRPr="006E709F" w:rsidRDefault="002C7155" w:rsidP="00A801D0">
            <w:pPr>
              <w:pStyle w:val="Tabletext"/>
            </w:pPr>
            <w:r w:rsidRPr="006E709F">
              <w:t>7A210</w:t>
            </w:r>
          </w:p>
        </w:tc>
        <w:tc>
          <w:tcPr>
            <w:tcW w:w="4239" w:type="pct"/>
            <w:tcBorders>
              <w:left w:val="nil"/>
              <w:bottom w:val="nil"/>
            </w:tcBorders>
            <w:shd w:val="clear" w:color="auto" w:fill="auto"/>
          </w:tcPr>
          <w:p w:rsidR="002C7155" w:rsidRPr="006E709F" w:rsidRDefault="002C7155" w:rsidP="00A801D0">
            <w:pPr>
              <w:pStyle w:val="Tabletext"/>
            </w:pPr>
            <w:r w:rsidRPr="006E709F">
              <w:t>Financial information for the transparency reporting auditor that relates to the relevant transparency reporting year, including:</w:t>
            </w:r>
          </w:p>
          <w:p w:rsidR="002C7155" w:rsidRPr="006E709F" w:rsidRDefault="00A801D0" w:rsidP="00A801D0">
            <w:pPr>
              <w:pStyle w:val="Tablea"/>
            </w:pPr>
            <w:r w:rsidRPr="006E709F">
              <w:t>(</w:t>
            </w:r>
            <w:r w:rsidR="002C7155" w:rsidRPr="006E709F">
              <w:t>a</w:t>
            </w:r>
            <w:r w:rsidRPr="006E709F">
              <w:t xml:space="preserve">) </w:t>
            </w:r>
            <w:r w:rsidR="002C7155" w:rsidRPr="006E709F">
              <w:t>total revenue; and</w:t>
            </w:r>
          </w:p>
        </w:tc>
      </w:tr>
      <w:tr w:rsidR="002C7155" w:rsidRPr="006E709F" w:rsidTr="00E118FA">
        <w:tc>
          <w:tcPr>
            <w:tcW w:w="761" w:type="pct"/>
            <w:tcBorders>
              <w:top w:val="nil"/>
              <w:bottom w:val="single" w:sz="4" w:space="0" w:color="auto"/>
              <w:right w:val="nil"/>
            </w:tcBorders>
            <w:shd w:val="clear" w:color="auto" w:fill="auto"/>
          </w:tcPr>
          <w:p w:rsidR="002C7155" w:rsidRPr="006E709F" w:rsidRDefault="002C7155" w:rsidP="00A801D0">
            <w:pPr>
              <w:pStyle w:val="Tabletext"/>
            </w:pPr>
          </w:p>
        </w:tc>
        <w:tc>
          <w:tcPr>
            <w:tcW w:w="4239" w:type="pct"/>
            <w:tcBorders>
              <w:top w:val="nil"/>
              <w:left w:val="nil"/>
              <w:bottom w:val="single" w:sz="4" w:space="0" w:color="auto"/>
            </w:tcBorders>
            <w:shd w:val="clear" w:color="auto" w:fill="auto"/>
          </w:tcPr>
          <w:p w:rsidR="002C7155" w:rsidRPr="006E709F" w:rsidRDefault="00A801D0" w:rsidP="00A801D0">
            <w:pPr>
              <w:pStyle w:val="Tablea"/>
            </w:pPr>
            <w:r w:rsidRPr="006E709F">
              <w:t>(</w:t>
            </w:r>
            <w:r w:rsidR="002C7155" w:rsidRPr="006E709F">
              <w:t>b</w:t>
            </w:r>
            <w:r w:rsidRPr="006E709F">
              <w:t xml:space="preserve">) </w:t>
            </w:r>
            <w:r w:rsidR="002C7155" w:rsidRPr="006E709F">
              <w:t>revenue relating to:</w:t>
            </w:r>
          </w:p>
          <w:p w:rsidR="002C7155" w:rsidRPr="006E709F" w:rsidRDefault="00A801D0" w:rsidP="00A801D0">
            <w:pPr>
              <w:pStyle w:val="Tablei"/>
            </w:pPr>
            <w:r w:rsidRPr="006E709F">
              <w:t>(</w:t>
            </w:r>
            <w:r w:rsidR="002C7155" w:rsidRPr="006E709F">
              <w:t>i</w:t>
            </w:r>
            <w:r w:rsidRPr="006E709F">
              <w:t xml:space="preserve">) </w:t>
            </w:r>
            <w:r w:rsidR="002C7155" w:rsidRPr="006E709F">
              <w:t>audits of financial statements conducted by the transparency reporting auditor; and</w:t>
            </w:r>
          </w:p>
          <w:p w:rsidR="002C7155" w:rsidRPr="006E709F" w:rsidRDefault="00A801D0" w:rsidP="00A801D0">
            <w:pPr>
              <w:pStyle w:val="Tablei"/>
            </w:pPr>
            <w:r w:rsidRPr="006E709F">
              <w:t>(</w:t>
            </w:r>
            <w:r w:rsidR="002C7155" w:rsidRPr="006E709F">
              <w:t>ii</w:t>
            </w:r>
            <w:r w:rsidRPr="006E709F">
              <w:t xml:space="preserve">) </w:t>
            </w:r>
            <w:r w:rsidR="002C7155" w:rsidRPr="006E709F">
              <w:t>other services provided by the transparency reporting auditor</w:t>
            </w:r>
          </w:p>
        </w:tc>
      </w:tr>
      <w:tr w:rsidR="002C7155" w:rsidRPr="006E709F" w:rsidTr="00E118FA">
        <w:tc>
          <w:tcPr>
            <w:tcW w:w="761" w:type="pct"/>
            <w:tcBorders>
              <w:bottom w:val="single" w:sz="12" w:space="0" w:color="auto"/>
            </w:tcBorders>
            <w:shd w:val="clear" w:color="auto" w:fill="auto"/>
          </w:tcPr>
          <w:p w:rsidR="002C7155" w:rsidRPr="006E709F" w:rsidRDefault="002C7155" w:rsidP="00A801D0">
            <w:pPr>
              <w:pStyle w:val="Tabletext"/>
            </w:pPr>
            <w:r w:rsidRPr="006E709F">
              <w:t>7A211</w:t>
            </w:r>
          </w:p>
        </w:tc>
        <w:tc>
          <w:tcPr>
            <w:tcW w:w="4239" w:type="pct"/>
            <w:tcBorders>
              <w:bottom w:val="single" w:sz="12" w:space="0" w:color="auto"/>
            </w:tcBorders>
            <w:shd w:val="clear" w:color="auto" w:fill="auto"/>
          </w:tcPr>
          <w:p w:rsidR="002C7155" w:rsidRPr="006E709F" w:rsidRDefault="002C7155" w:rsidP="00A801D0">
            <w:pPr>
              <w:pStyle w:val="Tabletext"/>
            </w:pPr>
            <w:r w:rsidRPr="006E709F">
              <w:t>Information concerning the basis for remuneration of:</w:t>
            </w:r>
          </w:p>
          <w:p w:rsidR="002C7155" w:rsidRPr="006E709F" w:rsidRDefault="00A801D0" w:rsidP="00A801D0">
            <w:pPr>
              <w:pStyle w:val="Tablea"/>
            </w:pPr>
            <w:r w:rsidRPr="006E709F">
              <w:t>(</w:t>
            </w:r>
            <w:r w:rsidR="002C7155" w:rsidRPr="006E709F">
              <w:t>a</w:t>
            </w:r>
            <w:r w:rsidRPr="006E709F">
              <w:t xml:space="preserve">) </w:t>
            </w:r>
            <w:r w:rsidR="002C7155" w:rsidRPr="006E709F">
              <w:t>the audit firm’s partners; or</w:t>
            </w:r>
          </w:p>
          <w:p w:rsidR="002C7155" w:rsidRPr="006E709F" w:rsidRDefault="00A801D0" w:rsidP="00A801D0">
            <w:pPr>
              <w:pStyle w:val="Tablea"/>
            </w:pPr>
            <w:r w:rsidRPr="006E709F">
              <w:t>(</w:t>
            </w:r>
            <w:r w:rsidR="002C7155" w:rsidRPr="006E709F">
              <w:t>b</w:t>
            </w:r>
            <w:r w:rsidRPr="006E709F">
              <w:t xml:space="preserve">) </w:t>
            </w:r>
            <w:r w:rsidR="002C7155" w:rsidRPr="006E709F">
              <w:t>the authorised audit company’s directors</w:t>
            </w:r>
          </w:p>
        </w:tc>
      </w:tr>
    </w:tbl>
    <w:p w:rsidR="002C7155" w:rsidRPr="006E709F" w:rsidRDefault="00A801D0" w:rsidP="00A801D0">
      <w:pPr>
        <w:pStyle w:val="ActHead2"/>
        <w:pageBreakBefore/>
      </w:pPr>
      <w:bookmarkStart w:id="23" w:name="_Toc160609715"/>
      <w:r w:rsidRPr="000C4237">
        <w:rPr>
          <w:rStyle w:val="CharPartNo"/>
        </w:rPr>
        <w:t>Part</w:t>
      </w:r>
      <w:r w:rsidR="00DA13DE" w:rsidRPr="000C4237">
        <w:rPr>
          <w:rStyle w:val="CharPartNo"/>
        </w:rPr>
        <w:t> </w:t>
      </w:r>
      <w:r w:rsidR="002C7155" w:rsidRPr="000C4237">
        <w:rPr>
          <w:rStyle w:val="CharPartNo"/>
        </w:rPr>
        <w:t>3</w:t>
      </w:r>
      <w:r w:rsidRPr="006E709F">
        <w:t>—</w:t>
      </w:r>
      <w:r w:rsidR="002C7155" w:rsidRPr="000C4237">
        <w:rPr>
          <w:rStyle w:val="CharPartText"/>
        </w:rPr>
        <w:t>Prescribed information for individual auditor</w:t>
      </w:r>
      <w:bookmarkEnd w:id="23"/>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98"/>
        <w:gridCol w:w="7231"/>
      </w:tblGrid>
      <w:tr w:rsidR="002C7155" w:rsidRPr="006E709F" w:rsidTr="00E118FA">
        <w:trPr>
          <w:tblHeader/>
        </w:trPr>
        <w:tc>
          <w:tcPr>
            <w:tcW w:w="761" w:type="pct"/>
            <w:tcBorders>
              <w:top w:val="single" w:sz="12" w:space="0" w:color="auto"/>
              <w:bottom w:val="single" w:sz="12" w:space="0" w:color="auto"/>
            </w:tcBorders>
            <w:shd w:val="clear" w:color="auto" w:fill="auto"/>
          </w:tcPr>
          <w:p w:rsidR="002C7155" w:rsidRPr="006E709F" w:rsidRDefault="002C7155" w:rsidP="00A801D0">
            <w:pPr>
              <w:pStyle w:val="TableHeading"/>
            </w:pPr>
            <w:r w:rsidRPr="006E709F">
              <w:t>Item</w:t>
            </w:r>
          </w:p>
        </w:tc>
        <w:tc>
          <w:tcPr>
            <w:tcW w:w="4239" w:type="pct"/>
            <w:tcBorders>
              <w:top w:val="single" w:sz="12" w:space="0" w:color="auto"/>
              <w:bottom w:val="single" w:sz="12" w:space="0" w:color="auto"/>
            </w:tcBorders>
            <w:shd w:val="clear" w:color="auto" w:fill="auto"/>
          </w:tcPr>
          <w:p w:rsidR="002C7155" w:rsidRPr="006E709F" w:rsidRDefault="002C7155" w:rsidP="00A801D0">
            <w:pPr>
              <w:pStyle w:val="TableHeading"/>
            </w:pPr>
            <w:r w:rsidRPr="006E709F">
              <w:t>Information</w:t>
            </w:r>
          </w:p>
        </w:tc>
      </w:tr>
      <w:tr w:rsidR="002C7155" w:rsidRPr="006E709F" w:rsidTr="00E118FA">
        <w:tc>
          <w:tcPr>
            <w:tcW w:w="761" w:type="pct"/>
            <w:tcBorders>
              <w:top w:val="single" w:sz="12" w:space="0" w:color="auto"/>
              <w:bottom w:val="nil"/>
              <w:right w:val="nil"/>
            </w:tcBorders>
            <w:shd w:val="clear" w:color="auto" w:fill="auto"/>
          </w:tcPr>
          <w:p w:rsidR="002C7155" w:rsidRPr="006E709F" w:rsidRDefault="002C7155" w:rsidP="00A801D0">
            <w:pPr>
              <w:pStyle w:val="Tabletext"/>
            </w:pPr>
            <w:r w:rsidRPr="006E709F">
              <w:t>7A301</w:t>
            </w:r>
          </w:p>
        </w:tc>
        <w:tc>
          <w:tcPr>
            <w:tcW w:w="4239" w:type="pct"/>
            <w:tcBorders>
              <w:top w:val="single" w:sz="12" w:space="0" w:color="auto"/>
              <w:left w:val="nil"/>
              <w:bottom w:val="nil"/>
            </w:tcBorders>
            <w:shd w:val="clear" w:color="auto" w:fill="auto"/>
          </w:tcPr>
          <w:p w:rsidR="002C7155" w:rsidRPr="006E709F" w:rsidRDefault="002C7155" w:rsidP="00A801D0">
            <w:pPr>
              <w:pStyle w:val="Tabletext"/>
            </w:pPr>
            <w:r w:rsidRPr="006E709F">
              <w:t>If the transparency reporting auditor belongs to a network, a description of:</w:t>
            </w:r>
          </w:p>
        </w:tc>
      </w:tr>
      <w:tr w:rsidR="002C7155" w:rsidRPr="006E709F" w:rsidTr="00E118FA">
        <w:tc>
          <w:tcPr>
            <w:tcW w:w="761" w:type="pct"/>
            <w:tcBorders>
              <w:top w:val="nil"/>
              <w:bottom w:val="single" w:sz="4" w:space="0" w:color="auto"/>
              <w:right w:val="nil"/>
            </w:tcBorders>
            <w:shd w:val="clear" w:color="auto" w:fill="auto"/>
          </w:tcPr>
          <w:p w:rsidR="002C7155" w:rsidRPr="006E709F" w:rsidRDefault="002C7155" w:rsidP="005133DE">
            <w:pPr>
              <w:pStyle w:val="Tabletext"/>
            </w:pPr>
          </w:p>
        </w:tc>
        <w:tc>
          <w:tcPr>
            <w:tcW w:w="4239" w:type="pct"/>
            <w:tcBorders>
              <w:top w:val="nil"/>
              <w:left w:val="nil"/>
              <w:bottom w:val="single" w:sz="4" w:space="0" w:color="auto"/>
            </w:tcBorders>
            <w:shd w:val="clear" w:color="auto" w:fill="auto"/>
          </w:tcPr>
          <w:p w:rsidR="002C7155" w:rsidRPr="006E709F" w:rsidRDefault="00A801D0" w:rsidP="00A801D0">
            <w:pPr>
              <w:pStyle w:val="Tablea"/>
            </w:pPr>
            <w:r w:rsidRPr="006E709F">
              <w:t>(</w:t>
            </w:r>
            <w:r w:rsidR="002C7155" w:rsidRPr="006E709F">
              <w:t>a</w:t>
            </w:r>
            <w:r w:rsidRPr="006E709F">
              <w:t xml:space="preserve">) </w:t>
            </w:r>
            <w:r w:rsidR="002C7155" w:rsidRPr="006E709F">
              <w:t>the network; and</w:t>
            </w:r>
          </w:p>
          <w:p w:rsidR="002C7155" w:rsidRPr="006E709F" w:rsidRDefault="00A801D0" w:rsidP="00A801D0">
            <w:pPr>
              <w:pStyle w:val="Tablea"/>
            </w:pPr>
            <w:r w:rsidRPr="006E709F">
              <w:t>(</w:t>
            </w:r>
            <w:r w:rsidR="002C7155" w:rsidRPr="006E709F">
              <w:t>b</w:t>
            </w:r>
            <w:r w:rsidRPr="006E709F">
              <w:t xml:space="preserve">) </w:t>
            </w:r>
            <w:r w:rsidR="002C7155" w:rsidRPr="006E709F">
              <w:t>the legal arrangements of the network; and</w:t>
            </w:r>
          </w:p>
          <w:p w:rsidR="002C7155" w:rsidRPr="006E709F" w:rsidRDefault="00A801D0" w:rsidP="00A801D0">
            <w:pPr>
              <w:pStyle w:val="Tablea"/>
            </w:pPr>
            <w:r w:rsidRPr="006E709F">
              <w:t>(</w:t>
            </w:r>
            <w:r w:rsidR="002C7155" w:rsidRPr="006E709F">
              <w:t>c</w:t>
            </w:r>
            <w:r w:rsidRPr="006E709F">
              <w:t xml:space="preserve">) </w:t>
            </w:r>
            <w:r w:rsidR="002C7155" w:rsidRPr="006E709F">
              <w:t>the structural arrangements of the network</w:t>
            </w:r>
          </w:p>
        </w:tc>
      </w:tr>
      <w:tr w:rsidR="002C7155" w:rsidRPr="006E709F" w:rsidTr="00E118FA">
        <w:tc>
          <w:tcPr>
            <w:tcW w:w="761" w:type="pct"/>
            <w:tcBorders>
              <w:top w:val="single" w:sz="4" w:space="0" w:color="auto"/>
            </w:tcBorders>
            <w:shd w:val="clear" w:color="auto" w:fill="auto"/>
          </w:tcPr>
          <w:p w:rsidR="002C7155" w:rsidRPr="006E709F" w:rsidRDefault="002C7155" w:rsidP="00A801D0">
            <w:pPr>
              <w:pStyle w:val="Tabletext"/>
            </w:pPr>
            <w:r w:rsidRPr="006E709F">
              <w:t>7A302</w:t>
            </w:r>
          </w:p>
        </w:tc>
        <w:tc>
          <w:tcPr>
            <w:tcW w:w="4239" w:type="pct"/>
            <w:tcBorders>
              <w:top w:val="single" w:sz="4" w:space="0" w:color="auto"/>
            </w:tcBorders>
            <w:shd w:val="clear" w:color="auto" w:fill="auto"/>
          </w:tcPr>
          <w:p w:rsidR="002C7155" w:rsidRPr="006E709F" w:rsidRDefault="002C7155" w:rsidP="00A801D0">
            <w:pPr>
              <w:pStyle w:val="Tabletext"/>
            </w:pPr>
            <w:r w:rsidRPr="006E709F">
              <w:t>A description of the transparency reporting auditor’s internal quality control system</w:t>
            </w:r>
          </w:p>
        </w:tc>
      </w:tr>
      <w:tr w:rsidR="002C7155" w:rsidRPr="006E709F" w:rsidTr="00E118FA">
        <w:tc>
          <w:tcPr>
            <w:tcW w:w="761" w:type="pct"/>
            <w:shd w:val="clear" w:color="auto" w:fill="auto"/>
          </w:tcPr>
          <w:p w:rsidR="002C7155" w:rsidRPr="006E709F" w:rsidRDefault="002C7155" w:rsidP="00A801D0">
            <w:pPr>
              <w:pStyle w:val="Tabletext"/>
            </w:pPr>
            <w:r w:rsidRPr="006E709F">
              <w:rPr>
                <w:color w:val="000000"/>
              </w:rPr>
              <w:t>7A303</w:t>
            </w:r>
          </w:p>
        </w:tc>
        <w:tc>
          <w:tcPr>
            <w:tcW w:w="4239" w:type="pct"/>
            <w:shd w:val="clear" w:color="auto" w:fill="auto"/>
          </w:tcPr>
          <w:p w:rsidR="002C7155" w:rsidRPr="006E709F" w:rsidRDefault="002C7155" w:rsidP="00A801D0">
            <w:pPr>
              <w:pStyle w:val="Tabletext"/>
            </w:pPr>
            <w:r w:rsidRPr="006E709F">
              <w:rPr>
                <w:color w:val="000000"/>
              </w:rPr>
              <w:t>The name of each body that is authorised to review the transparency reporting auditor (for example, ASIC or a professional accounting body) and the date of the most recent review of the transparency reporting auditor conducted by the body</w:t>
            </w:r>
          </w:p>
        </w:tc>
      </w:tr>
      <w:tr w:rsidR="002C7155" w:rsidRPr="006E709F" w:rsidTr="00E118FA">
        <w:tc>
          <w:tcPr>
            <w:tcW w:w="761" w:type="pct"/>
            <w:shd w:val="clear" w:color="auto" w:fill="auto"/>
          </w:tcPr>
          <w:p w:rsidR="002C7155" w:rsidRPr="006E709F" w:rsidRDefault="002C7155" w:rsidP="00A801D0">
            <w:pPr>
              <w:pStyle w:val="Tabletext"/>
            </w:pPr>
            <w:r w:rsidRPr="006E709F">
              <w:rPr>
                <w:color w:val="000000"/>
              </w:rPr>
              <w:t>7A304</w:t>
            </w:r>
          </w:p>
        </w:tc>
        <w:tc>
          <w:tcPr>
            <w:tcW w:w="4239" w:type="pct"/>
            <w:shd w:val="clear" w:color="auto" w:fill="auto"/>
          </w:tcPr>
          <w:p w:rsidR="002C7155" w:rsidRPr="006E709F" w:rsidRDefault="002C7155" w:rsidP="008C457C">
            <w:pPr>
              <w:pStyle w:val="Tabletext"/>
            </w:pPr>
            <w:r w:rsidRPr="006E709F">
              <w:rPr>
                <w:color w:val="000000"/>
              </w:rPr>
              <w:t>The names of bodies of the kinds mentioned in subsection</w:t>
            </w:r>
            <w:r w:rsidR="00DA13DE" w:rsidRPr="006E709F">
              <w:rPr>
                <w:color w:val="000000"/>
              </w:rPr>
              <w:t> </w:t>
            </w:r>
            <w:r w:rsidRPr="006E709F">
              <w:rPr>
                <w:color w:val="000000"/>
              </w:rPr>
              <w:t xml:space="preserve">332A(1) of the Act for which the transparency reporting auditor conducted an audit under </w:t>
            </w:r>
            <w:r w:rsidR="00A801D0" w:rsidRPr="006E709F">
              <w:rPr>
                <w:color w:val="000000"/>
              </w:rPr>
              <w:t>Division</w:t>
            </w:r>
            <w:r w:rsidR="00DA13DE" w:rsidRPr="006E709F">
              <w:rPr>
                <w:color w:val="000000"/>
              </w:rPr>
              <w:t> </w:t>
            </w:r>
            <w:r w:rsidRPr="006E709F">
              <w:rPr>
                <w:color w:val="000000"/>
              </w:rPr>
              <w:t xml:space="preserve">3 of </w:t>
            </w:r>
            <w:r w:rsidR="00A801D0" w:rsidRPr="006E709F">
              <w:rPr>
                <w:color w:val="000000"/>
              </w:rPr>
              <w:t>Part</w:t>
            </w:r>
            <w:r w:rsidR="00DA13DE" w:rsidRPr="006E709F">
              <w:rPr>
                <w:color w:val="000000"/>
              </w:rPr>
              <w:t> </w:t>
            </w:r>
            <w:r w:rsidRPr="006E709F">
              <w:rPr>
                <w:color w:val="000000"/>
              </w:rPr>
              <w:t xml:space="preserve">2M.3 of the Act in the relevant </w:t>
            </w:r>
            <w:r w:rsidRPr="006E709F">
              <w:t>transparency reporting</w:t>
            </w:r>
            <w:r w:rsidRPr="006E709F">
              <w:rPr>
                <w:color w:val="000000"/>
              </w:rPr>
              <w:t xml:space="preserve"> year</w:t>
            </w:r>
          </w:p>
        </w:tc>
      </w:tr>
      <w:tr w:rsidR="002C7155" w:rsidRPr="006E709F" w:rsidTr="00E118FA">
        <w:tc>
          <w:tcPr>
            <w:tcW w:w="761" w:type="pct"/>
            <w:tcBorders>
              <w:bottom w:val="single" w:sz="4" w:space="0" w:color="auto"/>
            </w:tcBorders>
            <w:shd w:val="clear" w:color="auto" w:fill="auto"/>
          </w:tcPr>
          <w:p w:rsidR="002C7155" w:rsidRPr="006E709F" w:rsidRDefault="002C7155" w:rsidP="00A801D0">
            <w:pPr>
              <w:pStyle w:val="Tabletext"/>
            </w:pPr>
            <w:r w:rsidRPr="006E709F">
              <w:rPr>
                <w:color w:val="000000"/>
              </w:rPr>
              <w:t>7A305</w:t>
            </w:r>
          </w:p>
        </w:tc>
        <w:tc>
          <w:tcPr>
            <w:tcW w:w="4239" w:type="pct"/>
            <w:tcBorders>
              <w:bottom w:val="single" w:sz="4" w:space="0" w:color="auto"/>
            </w:tcBorders>
            <w:shd w:val="clear" w:color="auto" w:fill="auto"/>
          </w:tcPr>
          <w:p w:rsidR="002C7155" w:rsidRPr="006E709F" w:rsidRDefault="002C7155" w:rsidP="00A801D0">
            <w:pPr>
              <w:pStyle w:val="Tabletext"/>
            </w:pPr>
            <w:r w:rsidRPr="006E709F">
              <w:rPr>
                <w:color w:val="000000"/>
              </w:rPr>
              <w:t xml:space="preserve">A statement </w:t>
            </w:r>
            <w:r w:rsidRPr="006E709F">
              <w:t>that sets out the transparency reporting auditor’s independence practices</w:t>
            </w:r>
            <w:r w:rsidRPr="006E709F">
              <w:rPr>
                <w:color w:val="7030A0"/>
              </w:rPr>
              <w:t xml:space="preserve"> </w:t>
            </w:r>
            <w:r w:rsidRPr="006E709F">
              <w:rPr>
                <w:color w:val="000000"/>
              </w:rPr>
              <w:t>in the relevant transparency reporting year</w:t>
            </w:r>
          </w:p>
        </w:tc>
      </w:tr>
      <w:tr w:rsidR="002C7155" w:rsidRPr="006E709F" w:rsidTr="00E118FA">
        <w:tc>
          <w:tcPr>
            <w:tcW w:w="761" w:type="pct"/>
            <w:tcBorders>
              <w:bottom w:val="single" w:sz="12" w:space="0" w:color="auto"/>
            </w:tcBorders>
            <w:shd w:val="clear" w:color="auto" w:fill="auto"/>
          </w:tcPr>
          <w:p w:rsidR="002C7155" w:rsidRPr="006E709F" w:rsidRDefault="002C7155" w:rsidP="00A801D0">
            <w:pPr>
              <w:pStyle w:val="Tabletext"/>
            </w:pPr>
            <w:r w:rsidRPr="006E709F">
              <w:t>7A306</w:t>
            </w:r>
          </w:p>
        </w:tc>
        <w:tc>
          <w:tcPr>
            <w:tcW w:w="4239" w:type="pct"/>
            <w:tcBorders>
              <w:bottom w:val="single" w:sz="12" w:space="0" w:color="auto"/>
            </w:tcBorders>
            <w:shd w:val="clear" w:color="auto" w:fill="auto"/>
          </w:tcPr>
          <w:p w:rsidR="002C7155" w:rsidRPr="006E709F" w:rsidRDefault="002C7155" w:rsidP="00A801D0">
            <w:pPr>
              <w:pStyle w:val="Tabletext"/>
            </w:pPr>
            <w:r w:rsidRPr="006E709F">
              <w:t>Financial information for the transparency reporting auditor that relates to the relevant transparency reporting year, including:</w:t>
            </w:r>
          </w:p>
          <w:p w:rsidR="002C7155" w:rsidRPr="006E709F" w:rsidRDefault="00A801D0" w:rsidP="00A801D0">
            <w:pPr>
              <w:pStyle w:val="Tablea"/>
            </w:pPr>
            <w:r w:rsidRPr="006E709F">
              <w:t>(</w:t>
            </w:r>
            <w:r w:rsidR="002C7155" w:rsidRPr="006E709F">
              <w:t>a</w:t>
            </w:r>
            <w:r w:rsidRPr="006E709F">
              <w:t xml:space="preserve">) </w:t>
            </w:r>
            <w:r w:rsidR="002C7155" w:rsidRPr="006E709F">
              <w:t>total revenue; and</w:t>
            </w:r>
          </w:p>
          <w:p w:rsidR="002C7155" w:rsidRPr="006E709F" w:rsidRDefault="00A801D0" w:rsidP="00A801D0">
            <w:pPr>
              <w:pStyle w:val="Tablea"/>
            </w:pPr>
            <w:r w:rsidRPr="006E709F">
              <w:t>(</w:t>
            </w:r>
            <w:r w:rsidR="002C7155" w:rsidRPr="006E709F">
              <w:t>b</w:t>
            </w:r>
            <w:r w:rsidRPr="006E709F">
              <w:t xml:space="preserve">) </w:t>
            </w:r>
            <w:r w:rsidR="002C7155" w:rsidRPr="006E709F">
              <w:t>revenue relating to:</w:t>
            </w:r>
          </w:p>
          <w:p w:rsidR="002C7155" w:rsidRPr="006E709F" w:rsidRDefault="00A801D0" w:rsidP="00A801D0">
            <w:pPr>
              <w:pStyle w:val="Tablei"/>
            </w:pPr>
            <w:r w:rsidRPr="006E709F">
              <w:t>(</w:t>
            </w:r>
            <w:r w:rsidR="002C7155" w:rsidRPr="006E709F">
              <w:t>i</w:t>
            </w:r>
            <w:r w:rsidRPr="006E709F">
              <w:t xml:space="preserve">) </w:t>
            </w:r>
            <w:r w:rsidR="002C7155" w:rsidRPr="006E709F">
              <w:t>audits of financial statements conducted by the transparency reporting auditor; and</w:t>
            </w:r>
          </w:p>
          <w:p w:rsidR="002C7155" w:rsidRPr="006E709F" w:rsidRDefault="00A801D0" w:rsidP="00A801D0">
            <w:pPr>
              <w:pStyle w:val="Tablei"/>
            </w:pPr>
            <w:r w:rsidRPr="006E709F">
              <w:t>(</w:t>
            </w:r>
            <w:r w:rsidR="002C7155" w:rsidRPr="006E709F">
              <w:t>ii</w:t>
            </w:r>
            <w:r w:rsidRPr="006E709F">
              <w:t xml:space="preserve">) </w:t>
            </w:r>
            <w:r w:rsidR="002C7155" w:rsidRPr="006E709F">
              <w:t>other services provided by the transparency reporting auditor</w:t>
            </w:r>
          </w:p>
        </w:tc>
      </w:tr>
    </w:tbl>
    <w:p w:rsidR="002A22A4" w:rsidRPr="006E709F" w:rsidRDefault="004C2BDD" w:rsidP="00065887">
      <w:pPr>
        <w:pStyle w:val="ActHead1"/>
        <w:pageBreakBefore/>
        <w:spacing w:before="120"/>
      </w:pPr>
      <w:bookmarkStart w:id="24" w:name="_Toc160609716"/>
      <w:r w:rsidRPr="000C4237">
        <w:rPr>
          <w:rStyle w:val="CharChapNo"/>
        </w:rPr>
        <w:t>S</w:t>
      </w:r>
      <w:r w:rsidR="00A801D0" w:rsidRPr="000C4237">
        <w:rPr>
          <w:rStyle w:val="CharChapNo"/>
        </w:rPr>
        <w:t>chedule</w:t>
      </w:r>
      <w:r w:rsidR="00DA13DE" w:rsidRPr="000C4237">
        <w:rPr>
          <w:rStyle w:val="CharChapNo"/>
        </w:rPr>
        <w:t> </w:t>
      </w:r>
      <w:r w:rsidR="002A22A4" w:rsidRPr="000C4237">
        <w:rPr>
          <w:rStyle w:val="CharChapNo"/>
        </w:rPr>
        <w:t>8</w:t>
      </w:r>
      <w:r w:rsidR="00A801D0" w:rsidRPr="006E709F">
        <w:t>—</w:t>
      </w:r>
      <w:r w:rsidR="002A22A4" w:rsidRPr="000C4237">
        <w:rPr>
          <w:rStyle w:val="CharChapText"/>
        </w:rPr>
        <w:t xml:space="preserve">Schemes of arrangement under </w:t>
      </w:r>
      <w:r w:rsidR="00A801D0" w:rsidRPr="000C4237">
        <w:rPr>
          <w:rStyle w:val="CharChapText"/>
        </w:rPr>
        <w:t>Part</w:t>
      </w:r>
      <w:r w:rsidR="00DA13DE" w:rsidRPr="000C4237">
        <w:rPr>
          <w:rStyle w:val="CharChapText"/>
        </w:rPr>
        <w:t> </w:t>
      </w:r>
      <w:r w:rsidR="002A22A4" w:rsidRPr="000C4237">
        <w:rPr>
          <w:rStyle w:val="CharChapText"/>
        </w:rPr>
        <w:t>5.1 of the Act</w:t>
      </w:r>
      <w:bookmarkEnd w:id="24"/>
    </w:p>
    <w:p w:rsidR="002A22A4" w:rsidRPr="006E709F" w:rsidRDefault="002A22A4" w:rsidP="00A801D0">
      <w:pPr>
        <w:pStyle w:val="notemargin"/>
      </w:pPr>
      <w:r w:rsidRPr="006E709F">
        <w:t>(regulation</w:t>
      </w:r>
      <w:r w:rsidR="00DA13DE" w:rsidRPr="006E709F">
        <w:t> </w:t>
      </w:r>
      <w:r w:rsidRPr="006E709F">
        <w:t>5.1.01)</w:t>
      </w:r>
    </w:p>
    <w:p w:rsidR="002A22A4" w:rsidRPr="006E709F" w:rsidRDefault="00A801D0" w:rsidP="007C7D49">
      <w:pPr>
        <w:pStyle w:val="ActHead2"/>
      </w:pPr>
      <w:bookmarkStart w:id="25" w:name="_Toc160609717"/>
      <w:r w:rsidRPr="000C4237">
        <w:rPr>
          <w:rStyle w:val="CharPartNo"/>
        </w:rPr>
        <w:t>Chapter</w:t>
      </w:r>
      <w:r w:rsidR="00DA13DE" w:rsidRPr="000C4237">
        <w:rPr>
          <w:rStyle w:val="CharPartNo"/>
        </w:rPr>
        <w:t> </w:t>
      </w:r>
      <w:r w:rsidR="002A22A4" w:rsidRPr="000C4237">
        <w:rPr>
          <w:rStyle w:val="CharPartNo"/>
        </w:rPr>
        <w:t>5</w:t>
      </w:r>
      <w:r w:rsidRPr="006E709F">
        <w:t>—</w:t>
      </w:r>
      <w:r w:rsidR="002A22A4" w:rsidRPr="000C4237">
        <w:rPr>
          <w:rStyle w:val="CharPartText"/>
        </w:rPr>
        <w:t>External administration</w:t>
      </w:r>
      <w:bookmarkEnd w:id="25"/>
    </w:p>
    <w:p w:rsidR="002A22A4" w:rsidRPr="006E709F" w:rsidRDefault="00A801D0" w:rsidP="007C7D49">
      <w:pPr>
        <w:pStyle w:val="ActHead3"/>
      </w:pPr>
      <w:bookmarkStart w:id="26" w:name="_Toc160609718"/>
      <w:r w:rsidRPr="000C4237">
        <w:rPr>
          <w:rStyle w:val="CharDivNo"/>
        </w:rPr>
        <w:t>Part</w:t>
      </w:r>
      <w:r w:rsidR="00DA13DE" w:rsidRPr="000C4237">
        <w:rPr>
          <w:rStyle w:val="CharDivNo"/>
        </w:rPr>
        <w:t> </w:t>
      </w:r>
      <w:r w:rsidR="002A22A4" w:rsidRPr="000C4237">
        <w:rPr>
          <w:rStyle w:val="CharDivNo"/>
        </w:rPr>
        <w:t>1</w:t>
      </w:r>
      <w:r w:rsidRPr="006E709F">
        <w:t>—</w:t>
      </w:r>
      <w:r w:rsidR="002A22A4" w:rsidRPr="000C4237">
        <w:rPr>
          <w:rStyle w:val="CharDivText"/>
        </w:rPr>
        <w:t>Interpretation and application</w:t>
      </w:r>
      <w:bookmarkEnd w:id="26"/>
    </w:p>
    <w:p w:rsidR="002A22A4" w:rsidRPr="006E709F" w:rsidRDefault="002A22A4" w:rsidP="00A801D0">
      <w:pPr>
        <w:pStyle w:val="subsection"/>
      </w:pPr>
      <w:r w:rsidRPr="006E709F">
        <w:rPr>
          <w:b/>
        </w:rPr>
        <w:t>8101</w:t>
      </w:r>
      <w:r w:rsidRPr="006E709F">
        <w:tab/>
      </w:r>
      <w:r w:rsidRPr="006E709F">
        <w:tab/>
        <w:t>In this Schedule:</w:t>
      </w:r>
    </w:p>
    <w:p w:rsidR="002A22A4" w:rsidRPr="006E709F" w:rsidRDefault="002A22A4" w:rsidP="00A801D0">
      <w:pPr>
        <w:pStyle w:val="Definition"/>
      </w:pPr>
      <w:r w:rsidRPr="006E709F">
        <w:rPr>
          <w:b/>
          <w:i/>
        </w:rPr>
        <w:t>internal creditor</w:t>
      </w:r>
      <w:r w:rsidRPr="006E709F">
        <w:t xml:space="preserve"> means:</w:t>
      </w:r>
    </w:p>
    <w:p w:rsidR="002A22A4" w:rsidRPr="006E709F" w:rsidRDefault="002A22A4" w:rsidP="00A801D0">
      <w:pPr>
        <w:pStyle w:val="paragraph"/>
      </w:pPr>
      <w:r w:rsidRPr="006E709F">
        <w:tab/>
        <w:t>(a)</w:t>
      </w:r>
      <w:r w:rsidRPr="006E709F">
        <w:tab/>
        <w:t>a creditor who is a member of the company; or</w:t>
      </w:r>
    </w:p>
    <w:p w:rsidR="002A22A4" w:rsidRPr="006E709F" w:rsidRDefault="002A22A4" w:rsidP="00A801D0">
      <w:pPr>
        <w:pStyle w:val="paragraph"/>
      </w:pPr>
      <w:r w:rsidRPr="006E709F">
        <w:tab/>
        <w:t>(b)</w:t>
      </w:r>
      <w:r w:rsidRPr="006E709F">
        <w:tab/>
        <w:t>a relative or spouse of a member; or</w:t>
      </w:r>
    </w:p>
    <w:p w:rsidR="002A22A4" w:rsidRPr="006E709F" w:rsidRDefault="002A22A4" w:rsidP="00A801D0">
      <w:pPr>
        <w:pStyle w:val="paragraph"/>
      </w:pPr>
      <w:r w:rsidRPr="006E709F">
        <w:tab/>
        <w:t>(c)</w:t>
      </w:r>
      <w:r w:rsidRPr="006E709F">
        <w:tab/>
        <w:t>a relative of the spouse of a member.</w:t>
      </w:r>
    </w:p>
    <w:p w:rsidR="006C30E7" w:rsidRPr="006E709F" w:rsidRDefault="006C30E7" w:rsidP="006C30E7">
      <w:pPr>
        <w:pStyle w:val="Definition"/>
      </w:pPr>
      <w:r w:rsidRPr="006E709F">
        <w:rPr>
          <w:b/>
          <w:i/>
        </w:rPr>
        <w:t>relevant marketable securities</w:t>
      </w:r>
      <w:r w:rsidRPr="006E709F">
        <w:t xml:space="preserve"> means:</w:t>
      </w:r>
    </w:p>
    <w:p w:rsidR="006C30E7" w:rsidRPr="006E709F" w:rsidRDefault="006C30E7" w:rsidP="006C30E7">
      <w:pPr>
        <w:pStyle w:val="paragraph"/>
      </w:pPr>
      <w:r w:rsidRPr="006E709F">
        <w:tab/>
        <w:t>(a)</w:t>
      </w:r>
      <w:r w:rsidRPr="006E709F">
        <w:tab/>
        <w:t>unless paragraph (b) applies—marketable securities; or</w:t>
      </w:r>
    </w:p>
    <w:p w:rsidR="006C30E7" w:rsidRPr="006E709F" w:rsidRDefault="006C30E7" w:rsidP="006C30E7">
      <w:pPr>
        <w:pStyle w:val="paragraph"/>
      </w:pPr>
      <w:r w:rsidRPr="006E709F">
        <w:tab/>
        <w:t>(b)</w:t>
      </w:r>
      <w:r w:rsidRPr="006E709F">
        <w:tab/>
        <w:t>if, because of section 1235C of the Act, the subject of the Scheme is a sub</w:t>
      </w:r>
      <w:r w:rsidR="000C4237">
        <w:noBreakHyphen/>
      </w:r>
      <w:r w:rsidRPr="006E709F">
        <w:t>fund of a CCIV:</w:t>
      </w:r>
    </w:p>
    <w:p w:rsidR="006C30E7" w:rsidRPr="006E709F" w:rsidRDefault="006C30E7" w:rsidP="006C30E7">
      <w:pPr>
        <w:pStyle w:val="paragraphsub"/>
      </w:pPr>
      <w:r w:rsidRPr="006E709F">
        <w:tab/>
        <w:t>(i)</w:t>
      </w:r>
      <w:r w:rsidRPr="006E709F">
        <w:tab/>
        <w:t>shares or debentures; or</w:t>
      </w:r>
    </w:p>
    <w:p w:rsidR="006C30E7" w:rsidRPr="006E709F" w:rsidRDefault="006C30E7" w:rsidP="006C30E7">
      <w:pPr>
        <w:pStyle w:val="paragraphsub"/>
      </w:pPr>
      <w:r w:rsidRPr="006E709F">
        <w:tab/>
        <w:t>(ii)</w:t>
      </w:r>
      <w:r w:rsidRPr="006E709F">
        <w:tab/>
        <w:t>any rights or options in respect of shares.</w:t>
      </w:r>
    </w:p>
    <w:p w:rsidR="006C30E7" w:rsidRPr="006E709F" w:rsidRDefault="006C30E7" w:rsidP="006C30E7">
      <w:pPr>
        <w:pStyle w:val="notetext"/>
      </w:pPr>
      <w:r w:rsidRPr="006E709F">
        <w:t>Note:</w:t>
      </w:r>
      <w:r w:rsidRPr="006E709F">
        <w:tab/>
        <w:t>If, because of section 1235C of the Act, the subject of the Scheme is a sub</w:t>
      </w:r>
      <w:r w:rsidR="000C4237">
        <w:noBreakHyphen/>
      </w:r>
      <w:r w:rsidRPr="006E709F">
        <w:t>fund of a CCIV, that section translates most of this Schedule’s references to the company so that they are references to the sub</w:t>
      </w:r>
      <w:r w:rsidR="000C4237">
        <w:noBreakHyphen/>
      </w:r>
      <w:r w:rsidRPr="006E709F">
        <w:t>fund.</w:t>
      </w:r>
    </w:p>
    <w:p w:rsidR="002A22A4" w:rsidRPr="006E709F" w:rsidRDefault="002A22A4" w:rsidP="00A801D0">
      <w:pPr>
        <w:pStyle w:val="Definition"/>
      </w:pPr>
      <w:r w:rsidRPr="006E709F">
        <w:rPr>
          <w:b/>
          <w:i/>
        </w:rPr>
        <w:t>Scheme</w:t>
      </w:r>
      <w:r w:rsidRPr="006E709F">
        <w:t xml:space="preserve"> means the proposed compromise or arrangement.</w:t>
      </w:r>
    </w:p>
    <w:p w:rsidR="002A22A4" w:rsidRPr="006E709F" w:rsidRDefault="002A22A4" w:rsidP="00A801D0">
      <w:pPr>
        <w:pStyle w:val="Definition"/>
      </w:pPr>
      <w:r w:rsidRPr="006E709F">
        <w:rPr>
          <w:b/>
          <w:i/>
        </w:rPr>
        <w:t>scheme creditors</w:t>
      </w:r>
      <w:r w:rsidRPr="006E709F">
        <w:t xml:space="preserve"> means the creditors or class of creditors of a company, to whom the Scheme would apply.</w:t>
      </w:r>
    </w:p>
    <w:p w:rsidR="002A22A4" w:rsidRPr="006E709F" w:rsidRDefault="002A22A4" w:rsidP="00A801D0">
      <w:pPr>
        <w:pStyle w:val="Definition"/>
      </w:pPr>
      <w:r w:rsidRPr="006E709F">
        <w:rPr>
          <w:b/>
          <w:i/>
        </w:rPr>
        <w:t>scheme members</w:t>
      </w:r>
      <w:r w:rsidRPr="006E709F">
        <w:t xml:space="preserve"> means the members or class of members of a company, to whom the Scheme would apply.</w:t>
      </w:r>
    </w:p>
    <w:p w:rsidR="002A22A4" w:rsidRPr="006E709F" w:rsidRDefault="002A22A4" w:rsidP="00A801D0">
      <w:pPr>
        <w:pStyle w:val="subsection"/>
      </w:pPr>
      <w:r w:rsidRPr="006E709F">
        <w:rPr>
          <w:b/>
        </w:rPr>
        <w:t>8102</w:t>
      </w:r>
      <w:r w:rsidRPr="006E709F">
        <w:tab/>
      </w:r>
      <w:r w:rsidRPr="006E709F">
        <w:tab/>
        <w:t xml:space="preserve">This </w:t>
      </w:r>
      <w:r w:rsidR="00A801D0" w:rsidRPr="006E709F">
        <w:t>Schedule</w:t>
      </w:r>
      <w:r w:rsidR="00E376FA" w:rsidRPr="006E709F">
        <w:t xml:space="preserve"> </w:t>
      </w:r>
      <w:r w:rsidRPr="006E709F">
        <w:t xml:space="preserve">applies to a </w:t>
      </w:r>
      <w:r w:rsidR="00A801D0" w:rsidRPr="006E709F">
        <w:t>Part</w:t>
      </w:r>
      <w:r w:rsidR="00DA13DE" w:rsidRPr="006E709F">
        <w:t> </w:t>
      </w:r>
      <w:r w:rsidRPr="006E709F">
        <w:t>5.1 body that is not a company as if:</w:t>
      </w:r>
    </w:p>
    <w:p w:rsidR="002A22A4" w:rsidRPr="006E709F" w:rsidRDefault="002A22A4" w:rsidP="00A801D0">
      <w:pPr>
        <w:pStyle w:val="paragraph"/>
      </w:pPr>
      <w:r w:rsidRPr="006E709F">
        <w:tab/>
        <w:t>(a)</w:t>
      </w:r>
      <w:r w:rsidRPr="006E709F">
        <w:tab/>
        <w:t xml:space="preserve">references to a company were references to a </w:t>
      </w:r>
      <w:r w:rsidR="00A801D0" w:rsidRPr="006E709F">
        <w:t>Part</w:t>
      </w:r>
      <w:r w:rsidR="00DA13DE" w:rsidRPr="006E709F">
        <w:t> </w:t>
      </w:r>
      <w:r w:rsidRPr="006E709F">
        <w:t>5.1 body that is not a company; and</w:t>
      </w:r>
    </w:p>
    <w:p w:rsidR="002A22A4" w:rsidRPr="006E709F" w:rsidRDefault="002A22A4" w:rsidP="00A801D0">
      <w:pPr>
        <w:pStyle w:val="paragraph"/>
      </w:pPr>
      <w:r w:rsidRPr="006E709F">
        <w:tab/>
        <w:t>(b)</w:t>
      </w:r>
      <w:r w:rsidRPr="006E709F">
        <w:tab/>
        <w:t>references to a director were references to an office bearer, committee member or other office holder of the body; and</w:t>
      </w:r>
    </w:p>
    <w:p w:rsidR="002A22A4" w:rsidRPr="006E709F" w:rsidRDefault="002A22A4" w:rsidP="00A801D0">
      <w:pPr>
        <w:pStyle w:val="paragraph"/>
      </w:pPr>
      <w:r w:rsidRPr="006E709F">
        <w:tab/>
        <w:t>(c)</w:t>
      </w:r>
      <w:r w:rsidRPr="006E709F">
        <w:tab/>
        <w:t>references to entitlements to voting shares were references to an ability to exercise a percentage of the total votes that could be exercised by members of the body.</w:t>
      </w:r>
    </w:p>
    <w:p w:rsidR="002A22A4" w:rsidRPr="006E709F" w:rsidRDefault="00A801D0" w:rsidP="007C7D49">
      <w:pPr>
        <w:pStyle w:val="ActHead3"/>
        <w:pageBreakBefore/>
      </w:pPr>
      <w:bookmarkStart w:id="27" w:name="_Toc160609719"/>
      <w:r w:rsidRPr="000C4237">
        <w:rPr>
          <w:rStyle w:val="CharDivNo"/>
        </w:rPr>
        <w:t>Part</w:t>
      </w:r>
      <w:r w:rsidR="00DA13DE" w:rsidRPr="000C4237">
        <w:rPr>
          <w:rStyle w:val="CharDivNo"/>
        </w:rPr>
        <w:t> </w:t>
      </w:r>
      <w:r w:rsidR="002A22A4" w:rsidRPr="000C4237">
        <w:rPr>
          <w:rStyle w:val="CharDivNo"/>
        </w:rPr>
        <w:t>2</w:t>
      </w:r>
      <w:r w:rsidRPr="006E709F">
        <w:t>—</w:t>
      </w:r>
      <w:r w:rsidR="002A22A4" w:rsidRPr="000C4237">
        <w:rPr>
          <w:rStyle w:val="CharDivText"/>
        </w:rPr>
        <w:t>Prescribed information relating to proposed compromise or arrangement with creditors or class of creditors</w:t>
      </w:r>
      <w:bookmarkEnd w:id="27"/>
    </w:p>
    <w:p w:rsidR="002A22A4" w:rsidRPr="006E709F" w:rsidRDefault="002A22A4" w:rsidP="00A801D0">
      <w:pPr>
        <w:pStyle w:val="subsection"/>
      </w:pPr>
      <w:r w:rsidRPr="006E709F">
        <w:rPr>
          <w:b/>
        </w:rPr>
        <w:t>8201</w:t>
      </w:r>
      <w:r w:rsidRPr="006E709F">
        <w:tab/>
      </w:r>
      <w:r w:rsidRPr="006E709F">
        <w:tab/>
        <w:t>The statement must set out:</w:t>
      </w:r>
    </w:p>
    <w:p w:rsidR="002A22A4" w:rsidRPr="006E709F" w:rsidRDefault="002A22A4" w:rsidP="00A801D0">
      <w:pPr>
        <w:pStyle w:val="paragraph"/>
      </w:pPr>
      <w:r w:rsidRPr="006E709F">
        <w:tab/>
        <w:t>(a)</w:t>
      </w:r>
      <w:r w:rsidRPr="006E709F">
        <w:tab/>
        <w:t>the expected dividend that would be available to scheme creditors if the company were to be wound up within 6</w:t>
      </w:r>
      <w:r w:rsidR="00E376FA" w:rsidRPr="006E709F">
        <w:t xml:space="preserve"> </w:t>
      </w:r>
      <w:r w:rsidRPr="006E709F">
        <w:t>months after the date of the hearing of the application to the Court for an order under subsections</w:t>
      </w:r>
      <w:r w:rsidR="00DA13DE" w:rsidRPr="006E709F">
        <w:t> </w:t>
      </w:r>
      <w:r w:rsidRPr="006E709F">
        <w:t>411(1) and (1A) of the Act; and</w:t>
      </w:r>
    </w:p>
    <w:p w:rsidR="002A22A4" w:rsidRPr="006E709F" w:rsidRDefault="002A22A4" w:rsidP="00A801D0">
      <w:pPr>
        <w:pStyle w:val="paragraph"/>
      </w:pPr>
      <w:r w:rsidRPr="006E709F">
        <w:tab/>
        <w:t>(b)</w:t>
      </w:r>
      <w:r w:rsidRPr="006E709F">
        <w:tab/>
        <w:t>if a composition of debts is proposed</w:t>
      </w:r>
      <w:r w:rsidR="00A801D0" w:rsidRPr="006E709F">
        <w:t>—</w:t>
      </w:r>
      <w:r w:rsidRPr="006E709F">
        <w:t>the expected dividend that would be paid to scheme creditors if the Scheme were put into effect as proposed; and</w:t>
      </w:r>
    </w:p>
    <w:p w:rsidR="002A22A4" w:rsidRPr="006E709F" w:rsidRDefault="002A22A4" w:rsidP="00A801D0">
      <w:pPr>
        <w:pStyle w:val="paragraph"/>
      </w:pPr>
      <w:r w:rsidRPr="006E709F">
        <w:tab/>
        <w:t>(c)</w:t>
      </w:r>
      <w:r w:rsidRPr="006E709F">
        <w:tab/>
        <w:t>a list of the names of all known scheme creditors and the debts owed to those creditors; and</w:t>
      </w:r>
    </w:p>
    <w:p w:rsidR="002A22A4" w:rsidRPr="006E709F" w:rsidRDefault="002A22A4" w:rsidP="00A801D0">
      <w:pPr>
        <w:pStyle w:val="paragraph"/>
      </w:pPr>
      <w:r w:rsidRPr="006E709F">
        <w:tab/>
        <w:t>(d)</w:t>
      </w:r>
      <w:r w:rsidRPr="006E709F">
        <w:tab/>
        <w:t>if a scheme creditor is known to be a guaranteed creditor</w:t>
      </w:r>
      <w:r w:rsidR="00A801D0" w:rsidRPr="006E709F">
        <w:t>—</w:t>
      </w:r>
      <w:r w:rsidRPr="006E709F">
        <w:t>the name of the creditor and the amount of the debt owed; and</w:t>
      </w:r>
    </w:p>
    <w:p w:rsidR="002A22A4" w:rsidRPr="006E709F" w:rsidRDefault="002A22A4" w:rsidP="00A801D0">
      <w:pPr>
        <w:pStyle w:val="paragraph"/>
      </w:pPr>
      <w:r w:rsidRPr="006E709F">
        <w:tab/>
        <w:t>(e)</w:t>
      </w:r>
      <w:r w:rsidRPr="006E709F">
        <w:tab/>
        <w:t>if a scheme creditor is known to be an internal creditor</w:t>
      </w:r>
      <w:r w:rsidR="00A801D0" w:rsidRPr="006E709F">
        <w:t>—</w:t>
      </w:r>
      <w:r w:rsidRPr="006E709F">
        <w:t>the name of the creditor and the amount of the debt owed.</w:t>
      </w:r>
    </w:p>
    <w:p w:rsidR="002A22A4" w:rsidRPr="006E709F" w:rsidRDefault="002A22A4" w:rsidP="00A801D0">
      <w:pPr>
        <w:pStyle w:val="subsection"/>
      </w:pPr>
      <w:r w:rsidRPr="006E709F">
        <w:rPr>
          <w:b/>
        </w:rPr>
        <w:t>8202</w:t>
      </w:r>
      <w:r w:rsidRPr="006E709F">
        <w:tab/>
      </w:r>
      <w:r w:rsidRPr="006E709F">
        <w:tab/>
        <w:t>The statement must contain a statement that an order under subsections</w:t>
      </w:r>
      <w:r w:rsidR="00DA13DE" w:rsidRPr="006E709F">
        <w:t> </w:t>
      </w:r>
      <w:r w:rsidRPr="006E709F">
        <w:t xml:space="preserve">411(1) and (1A) of the Act is not </w:t>
      </w:r>
      <w:r w:rsidR="00366584" w:rsidRPr="006E709F">
        <w:t>an endorsement</w:t>
      </w:r>
      <w:r w:rsidRPr="006E709F">
        <w:t xml:space="preserve"> of, or any other expression of opinion on, the Scheme.</w:t>
      </w:r>
    </w:p>
    <w:p w:rsidR="002A22A4" w:rsidRPr="006E709F" w:rsidRDefault="002A22A4" w:rsidP="00A801D0">
      <w:pPr>
        <w:pStyle w:val="subsection"/>
      </w:pPr>
      <w:r w:rsidRPr="006E709F">
        <w:rPr>
          <w:b/>
        </w:rPr>
        <w:t>8203</w:t>
      </w:r>
      <w:r w:rsidRPr="006E709F">
        <w:tab/>
      </w:r>
      <w:r w:rsidRPr="006E709F">
        <w:tab/>
        <w:t>The statement must contain or have annexed to it:</w:t>
      </w:r>
    </w:p>
    <w:p w:rsidR="002A22A4" w:rsidRPr="006E709F" w:rsidRDefault="002A22A4" w:rsidP="00A801D0">
      <w:pPr>
        <w:pStyle w:val="paragraph"/>
      </w:pPr>
      <w:r w:rsidRPr="006E709F">
        <w:tab/>
        <w:t>(a)</w:t>
      </w:r>
      <w:r w:rsidRPr="006E709F">
        <w:tab/>
        <w:t>a report on the affairs of the company in accordance with Form 507, showing the financial position of the company as at a day within one month of the date on which it is intended to apply to the Court for an order under subsections</w:t>
      </w:r>
      <w:r w:rsidR="00DA13DE" w:rsidRPr="006E709F">
        <w:t> </w:t>
      </w:r>
      <w:r w:rsidRPr="006E709F">
        <w:t>411(1) and (1A) of the Act;</w:t>
      </w:r>
    </w:p>
    <w:p w:rsidR="002A22A4" w:rsidRPr="006E709F" w:rsidRDefault="002A22A4" w:rsidP="00A801D0">
      <w:pPr>
        <w:pStyle w:val="paragraph"/>
      </w:pPr>
      <w:r w:rsidRPr="006E709F">
        <w:tab/>
        <w:t>(b)</w:t>
      </w:r>
      <w:r w:rsidRPr="006E709F">
        <w:tab/>
        <w:t xml:space="preserve">a copy, certified by a director or by a secretary of the company to be a true copy, of all financial statements, required to be lodged with the </w:t>
      </w:r>
      <w:r w:rsidRPr="006E709F">
        <w:rPr>
          <w:color w:val="000000"/>
        </w:rPr>
        <w:t>ASIC</w:t>
      </w:r>
      <w:r w:rsidRPr="006E709F">
        <w:t xml:space="preserve"> by the company, together with a copy of every document required by law to be annexed to the financial statements;</w:t>
      </w:r>
    </w:p>
    <w:p w:rsidR="002A22A4" w:rsidRPr="006E709F" w:rsidRDefault="002A22A4" w:rsidP="00A801D0">
      <w:pPr>
        <w:pStyle w:val="paragraph"/>
      </w:pPr>
      <w:r w:rsidRPr="006E709F">
        <w:tab/>
        <w:t>(c)</w:t>
      </w:r>
      <w:r w:rsidRPr="006E709F">
        <w:tab/>
        <w:t>if the company the subject of the Scheme is a trustee, a statement:</w:t>
      </w:r>
    </w:p>
    <w:p w:rsidR="002A22A4" w:rsidRPr="006E709F" w:rsidRDefault="002A22A4" w:rsidP="00A801D0">
      <w:pPr>
        <w:pStyle w:val="paragraphsub"/>
      </w:pPr>
      <w:r w:rsidRPr="006E709F">
        <w:tab/>
        <w:t>(i)</w:t>
      </w:r>
      <w:r w:rsidRPr="006E709F">
        <w:tab/>
        <w:t>of the number of trusts administered by the trustee; and</w:t>
      </w:r>
    </w:p>
    <w:p w:rsidR="002A22A4" w:rsidRPr="006E709F" w:rsidRDefault="002A22A4" w:rsidP="00A801D0">
      <w:pPr>
        <w:pStyle w:val="paragraphsub"/>
      </w:pPr>
      <w:r w:rsidRPr="006E709F">
        <w:tab/>
        <w:t>(ii)</w:t>
      </w:r>
      <w:r w:rsidRPr="006E709F">
        <w:tab/>
        <w:t>whether the trustee carries on any business separate from that of the trust; and</w:t>
      </w:r>
    </w:p>
    <w:p w:rsidR="002A22A4" w:rsidRPr="006E709F" w:rsidRDefault="002A22A4" w:rsidP="00A801D0">
      <w:pPr>
        <w:pStyle w:val="paragraphsub"/>
      </w:pPr>
      <w:r w:rsidRPr="006E709F">
        <w:tab/>
        <w:t>(iii)</w:t>
      </w:r>
      <w:r w:rsidRPr="006E709F">
        <w:tab/>
        <w:t>how the scheme creditors may obtain a copy of the relevant trust deed, free of charge, prior to the date of the meeting; and</w:t>
      </w:r>
    </w:p>
    <w:p w:rsidR="002A22A4" w:rsidRPr="006E709F" w:rsidRDefault="002A22A4" w:rsidP="00A801D0">
      <w:pPr>
        <w:pStyle w:val="paragraph"/>
      </w:pPr>
      <w:r w:rsidRPr="006E709F">
        <w:tab/>
        <w:t>(d)</w:t>
      </w:r>
      <w:r w:rsidRPr="006E709F">
        <w:tab/>
        <w:t>if the person (if any) who would be appointed to manage the Scheme proposes to charge for his or her services and for the services of his or her staff in accordance with a particular scale of charges, that scale of charges.</w:t>
      </w:r>
    </w:p>
    <w:p w:rsidR="002A22A4" w:rsidRPr="006E709F" w:rsidRDefault="00A801D0" w:rsidP="007C7D49">
      <w:pPr>
        <w:pStyle w:val="ActHead3"/>
        <w:pageBreakBefore/>
      </w:pPr>
      <w:bookmarkStart w:id="28" w:name="_Toc160609720"/>
      <w:r w:rsidRPr="000C4237">
        <w:rPr>
          <w:rStyle w:val="CharDivNo"/>
        </w:rPr>
        <w:t>Part</w:t>
      </w:r>
      <w:r w:rsidR="00DA13DE" w:rsidRPr="000C4237">
        <w:rPr>
          <w:rStyle w:val="CharDivNo"/>
        </w:rPr>
        <w:t> </w:t>
      </w:r>
      <w:r w:rsidR="002A22A4" w:rsidRPr="000C4237">
        <w:rPr>
          <w:rStyle w:val="CharDivNo"/>
        </w:rPr>
        <w:t>3</w:t>
      </w:r>
      <w:r w:rsidRPr="006E709F">
        <w:t>—</w:t>
      </w:r>
      <w:r w:rsidR="002A22A4" w:rsidRPr="000C4237">
        <w:rPr>
          <w:rStyle w:val="CharDivText"/>
        </w:rPr>
        <w:t>Prescribed information relating to proposed compromise or arrangement with members or a class of members</w:t>
      </w:r>
      <w:bookmarkEnd w:id="28"/>
    </w:p>
    <w:p w:rsidR="002A22A4" w:rsidRPr="006E709F" w:rsidRDefault="002A22A4" w:rsidP="00A801D0">
      <w:pPr>
        <w:pStyle w:val="subsection"/>
      </w:pPr>
      <w:r w:rsidRPr="006E709F">
        <w:rPr>
          <w:b/>
        </w:rPr>
        <w:t>8301</w:t>
      </w:r>
      <w:r w:rsidRPr="006E709F">
        <w:tab/>
      </w:r>
      <w:r w:rsidRPr="006E709F">
        <w:tab/>
        <w:t>The statement must set out:</w:t>
      </w:r>
    </w:p>
    <w:p w:rsidR="002A22A4" w:rsidRPr="006E709F" w:rsidRDefault="002A22A4" w:rsidP="00A801D0">
      <w:pPr>
        <w:pStyle w:val="paragraph"/>
      </w:pPr>
      <w:r w:rsidRPr="006E709F">
        <w:tab/>
        <w:t>(a)</w:t>
      </w:r>
      <w:r w:rsidRPr="006E709F">
        <w:tab/>
        <w:t>unless the company the subject of the Scheme is in the course of being wound up or is under official management, in relation to each director of the company:</w:t>
      </w:r>
    </w:p>
    <w:p w:rsidR="002A22A4" w:rsidRPr="006E709F" w:rsidRDefault="002A22A4" w:rsidP="00A801D0">
      <w:pPr>
        <w:pStyle w:val="paragraphsub"/>
      </w:pPr>
      <w:r w:rsidRPr="006E709F">
        <w:tab/>
        <w:t>(i)</w:t>
      </w:r>
      <w:r w:rsidRPr="006E709F">
        <w:tab/>
        <w:t>whether the director recommends the acceptance of the Scheme or recommends against acceptance and, in either case, his or her reasons for so recommending; or</w:t>
      </w:r>
    </w:p>
    <w:p w:rsidR="002A22A4" w:rsidRPr="006E709F" w:rsidRDefault="002A22A4" w:rsidP="00A801D0">
      <w:pPr>
        <w:pStyle w:val="paragraphsub"/>
      </w:pPr>
      <w:r w:rsidRPr="006E709F">
        <w:tab/>
        <w:t>(ii)</w:t>
      </w:r>
      <w:r w:rsidRPr="006E709F">
        <w:tab/>
        <w:t>if the director is not available to consider the Scheme</w:t>
      </w:r>
      <w:r w:rsidR="00A801D0" w:rsidRPr="006E709F">
        <w:t>—</w:t>
      </w:r>
      <w:r w:rsidRPr="006E709F">
        <w:t>that the director is not so available and the cause of his or her not being available; or</w:t>
      </w:r>
    </w:p>
    <w:p w:rsidR="002A22A4" w:rsidRPr="006E709F" w:rsidRDefault="002A22A4" w:rsidP="00A801D0">
      <w:pPr>
        <w:pStyle w:val="paragraphsub"/>
      </w:pPr>
      <w:r w:rsidRPr="006E709F">
        <w:tab/>
        <w:t>(iii)</w:t>
      </w:r>
      <w:r w:rsidRPr="006E709F">
        <w:tab/>
        <w:t>in any other case</w:t>
      </w:r>
      <w:r w:rsidR="00A801D0" w:rsidRPr="006E709F">
        <w:t>—</w:t>
      </w:r>
      <w:r w:rsidRPr="006E709F">
        <w:t>that the director does not desire to make, or does not consider himself or herself justified in making, a recommendation and, if the director so requires, his or her reasons for not wishing to do so; or</w:t>
      </w:r>
    </w:p>
    <w:p w:rsidR="002A22A4" w:rsidRPr="006E709F" w:rsidRDefault="002A22A4" w:rsidP="00A801D0">
      <w:pPr>
        <w:pStyle w:val="paragraph"/>
      </w:pPr>
      <w:r w:rsidRPr="006E709F">
        <w:tab/>
        <w:t>(b)</w:t>
      </w:r>
      <w:r w:rsidRPr="006E709F">
        <w:tab/>
        <w:t>if the company is in the course of being wound up or is under official management</w:t>
      </w:r>
      <w:r w:rsidR="00A801D0" w:rsidRPr="006E709F">
        <w:t>—</w:t>
      </w:r>
      <w:r w:rsidRPr="006E709F">
        <w:t>in relation to each liquidator or each official manager:</w:t>
      </w:r>
    </w:p>
    <w:p w:rsidR="002A22A4" w:rsidRPr="006E709F" w:rsidRDefault="002A22A4" w:rsidP="00A801D0">
      <w:pPr>
        <w:pStyle w:val="paragraphsub"/>
      </w:pPr>
      <w:r w:rsidRPr="006E709F">
        <w:tab/>
        <w:t>(i)</w:t>
      </w:r>
      <w:r w:rsidRPr="006E709F">
        <w:tab/>
        <w:t>whether he or she recommends acceptance of the Scheme or recommends against acceptance and, in either case, his or her reasons for so recommending; or</w:t>
      </w:r>
    </w:p>
    <w:p w:rsidR="002A22A4" w:rsidRPr="006E709F" w:rsidRDefault="002A22A4" w:rsidP="00A801D0">
      <w:pPr>
        <w:pStyle w:val="paragraphsub"/>
      </w:pPr>
      <w:r w:rsidRPr="006E709F">
        <w:tab/>
        <w:t>(ii)</w:t>
      </w:r>
      <w:r w:rsidRPr="006E709F">
        <w:tab/>
        <w:t>in any other case</w:t>
      </w:r>
      <w:r w:rsidR="00A801D0" w:rsidRPr="006E709F">
        <w:t>—</w:t>
      </w:r>
      <w:r w:rsidRPr="006E709F">
        <w:t>that the liquidator or official manager does not wish to make a recommendation and his or her reasons for not wishing to do so.</w:t>
      </w:r>
    </w:p>
    <w:p w:rsidR="002A22A4" w:rsidRPr="006E709F" w:rsidRDefault="002A22A4" w:rsidP="00A801D0">
      <w:pPr>
        <w:pStyle w:val="subsection"/>
      </w:pPr>
      <w:r w:rsidRPr="006E709F">
        <w:rPr>
          <w:b/>
        </w:rPr>
        <w:t>8302</w:t>
      </w:r>
      <w:r w:rsidRPr="006E709F">
        <w:tab/>
      </w:r>
      <w:r w:rsidRPr="006E709F">
        <w:tab/>
        <w:t>The statement must set out:</w:t>
      </w:r>
    </w:p>
    <w:p w:rsidR="002A22A4" w:rsidRPr="006E709F" w:rsidRDefault="002A22A4" w:rsidP="00A801D0">
      <w:pPr>
        <w:pStyle w:val="paragraph"/>
      </w:pPr>
      <w:r w:rsidRPr="006E709F">
        <w:tab/>
        <w:t>(a)</w:t>
      </w:r>
      <w:r w:rsidRPr="006E709F">
        <w:tab/>
        <w:t xml:space="preserve">the number, description and amount of </w:t>
      </w:r>
      <w:r w:rsidR="006C30E7" w:rsidRPr="006E709F">
        <w:t>relevant marketable securities</w:t>
      </w:r>
      <w:r w:rsidRPr="006E709F">
        <w:t xml:space="preserve"> of the company the subject of the Scheme held by or on behalf of each director of the company or, if none are held by or on behalf of a director, a statement to that effect; and</w:t>
      </w:r>
    </w:p>
    <w:p w:rsidR="002A22A4" w:rsidRPr="006E709F" w:rsidRDefault="002A22A4" w:rsidP="00A801D0">
      <w:pPr>
        <w:pStyle w:val="paragraph"/>
      </w:pPr>
      <w:r w:rsidRPr="006E709F">
        <w:tab/>
        <w:t>(b)</w:t>
      </w:r>
      <w:r w:rsidRPr="006E709F">
        <w:tab/>
        <w:t>for each director of the company by whom or on whose behalf shares in that company are held, whether:</w:t>
      </w:r>
    </w:p>
    <w:p w:rsidR="002A22A4" w:rsidRPr="006E709F" w:rsidRDefault="002A22A4" w:rsidP="00A801D0">
      <w:pPr>
        <w:pStyle w:val="paragraphsub"/>
      </w:pPr>
      <w:r w:rsidRPr="006E709F">
        <w:tab/>
        <w:t>(i)</w:t>
      </w:r>
      <w:r w:rsidRPr="006E709F">
        <w:tab/>
        <w:t>the director intends to vote in favour of, or against, the Scheme; or</w:t>
      </w:r>
    </w:p>
    <w:p w:rsidR="002A22A4" w:rsidRPr="006E709F" w:rsidRDefault="002A22A4" w:rsidP="00A801D0">
      <w:pPr>
        <w:pStyle w:val="paragraphsub"/>
      </w:pPr>
      <w:r w:rsidRPr="006E709F">
        <w:tab/>
        <w:t>(ii)</w:t>
      </w:r>
      <w:r w:rsidRPr="006E709F">
        <w:tab/>
        <w:t>the director has not decided whether he or she will vote in favour of, or against, the Scheme; and</w:t>
      </w:r>
    </w:p>
    <w:p w:rsidR="002A22A4" w:rsidRPr="006E709F" w:rsidRDefault="002A22A4" w:rsidP="00A801D0">
      <w:pPr>
        <w:pStyle w:val="paragraph"/>
      </w:pPr>
      <w:r w:rsidRPr="006E709F">
        <w:tab/>
        <w:t>(c)</w:t>
      </w:r>
      <w:r w:rsidRPr="006E709F">
        <w:tab/>
        <w:t>if the other party to the proposed reconstruction or amalgamation is, or includes, a corporation, whether any marketable securities of the corporation are held by, or on behalf of, any director of the company the subject of the Scheme and, if so, the number, description and amount of those marketable securities; and</w:t>
      </w:r>
    </w:p>
    <w:p w:rsidR="002A22A4" w:rsidRPr="006E709F" w:rsidRDefault="002A22A4" w:rsidP="00A801D0">
      <w:pPr>
        <w:pStyle w:val="paragraph"/>
      </w:pPr>
      <w:r w:rsidRPr="006E709F">
        <w:tab/>
        <w:t>(d)</w:t>
      </w:r>
      <w:r w:rsidRPr="006E709F">
        <w:tab/>
        <w:t>particulars of any payment or other benefit that is proposed to:</w:t>
      </w:r>
    </w:p>
    <w:p w:rsidR="002A22A4" w:rsidRPr="006E709F" w:rsidRDefault="002A22A4" w:rsidP="00A801D0">
      <w:pPr>
        <w:pStyle w:val="paragraphsub"/>
      </w:pPr>
      <w:r w:rsidRPr="006E709F">
        <w:tab/>
        <w:t>(i)</w:t>
      </w:r>
      <w:r w:rsidRPr="006E709F">
        <w:tab/>
        <w:t>be made or given to any director, secretary or executive officer of the company the subject of the Scheme as compensation for loss of, or as consideration for or in connection with his or her retirement from, office in that company or in a related body corporate; or</w:t>
      </w:r>
    </w:p>
    <w:p w:rsidR="002A22A4" w:rsidRPr="006E709F" w:rsidRDefault="002A22A4" w:rsidP="00A801D0">
      <w:pPr>
        <w:pStyle w:val="paragraphsub"/>
      </w:pPr>
      <w:r w:rsidRPr="006E709F">
        <w:tab/>
        <w:t>(ii)</w:t>
      </w:r>
      <w:r w:rsidRPr="006E709F">
        <w:tab/>
        <w:t>be made or given to any director, secretary or executive officer of any related body corporate as compensation for the loss of, or as consideration for or in connection with his or her retirement from, office in that body corporate or in the company the subject of the Scheme; and</w:t>
      </w:r>
    </w:p>
    <w:p w:rsidR="002A22A4" w:rsidRPr="006E709F" w:rsidRDefault="002A22A4" w:rsidP="00A801D0">
      <w:pPr>
        <w:pStyle w:val="paragraph"/>
      </w:pPr>
      <w:r w:rsidRPr="006E709F">
        <w:tab/>
        <w:t>(e)</w:t>
      </w:r>
      <w:r w:rsidRPr="006E709F">
        <w:tab/>
        <w:t>if there is any other agreement or arrangement made between a director of the company the subject of the Scheme and another person in connection with or conditional on the outcome of the Scheme</w:t>
      </w:r>
      <w:r w:rsidR="00A801D0" w:rsidRPr="006E709F">
        <w:t>—</w:t>
      </w:r>
      <w:r w:rsidRPr="006E709F">
        <w:t>particulars of the agreement or arrangement; and</w:t>
      </w:r>
    </w:p>
    <w:p w:rsidR="002A22A4" w:rsidRPr="006E709F" w:rsidRDefault="002A22A4" w:rsidP="00A801D0">
      <w:pPr>
        <w:pStyle w:val="paragraph"/>
      </w:pPr>
      <w:r w:rsidRPr="006E709F">
        <w:tab/>
        <w:t>(f)</w:t>
      </w:r>
      <w:r w:rsidRPr="006E709F">
        <w:tab/>
        <w:t>if the object of the Scheme is for a corporation to acquire control of another corporation that is a company, particulars of the nature and extent of any interest of a director of that company in any contract entered into by the corporation seeking control; and</w:t>
      </w:r>
    </w:p>
    <w:p w:rsidR="002A22A4" w:rsidRPr="006E709F" w:rsidRDefault="002A22A4" w:rsidP="00A801D0">
      <w:pPr>
        <w:pStyle w:val="paragraph"/>
      </w:pPr>
      <w:r w:rsidRPr="006E709F">
        <w:tab/>
        <w:t>(g)</w:t>
      </w:r>
      <w:r w:rsidRPr="006E709F">
        <w:tab/>
        <w:t>if the shares of the company the subject of the Scheme are not granted official quotation on a securities exchange, all the information that the company has as to the number of shares that have been sold in the 6 months immediately before the date on which the statement is lodged, the amount of those shares and the prices at which they were sold; and</w:t>
      </w:r>
    </w:p>
    <w:p w:rsidR="002A22A4" w:rsidRPr="006E709F" w:rsidRDefault="002A22A4" w:rsidP="00A801D0">
      <w:pPr>
        <w:pStyle w:val="paragraph"/>
      </w:pPr>
      <w:r w:rsidRPr="006E709F">
        <w:tab/>
        <w:t>(h)</w:t>
      </w:r>
      <w:r w:rsidRPr="006E709F">
        <w:tab/>
        <w:t>whether, within the knowledge of the directors of the company the subject of the Scheme, or, if the company is in liquidation or under official management, the knowledge of the liquidator or the official manager, the financial position of the company has materially changed since the date of the last balance sheet laid before the company in general meeting or sent to shareholders in accordance with section</w:t>
      </w:r>
      <w:r w:rsidR="00DA13DE" w:rsidRPr="006E709F">
        <w:t> </w:t>
      </w:r>
      <w:r w:rsidRPr="006E709F">
        <w:t>314 or 317 of the Act and, if so, full particulars of any change; and</w:t>
      </w:r>
    </w:p>
    <w:p w:rsidR="002A22A4" w:rsidRPr="006E709F" w:rsidRDefault="002A22A4" w:rsidP="00A801D0">
      <w:pPr>
        <w:pStyle w:val="paragraph"/>
      </w:pPr>
      <w:r w:rsidRPr="006E709F">
        <w:tab/>
        <w:t>(i)</w:t>
      </w:r>
      <w:r w:rsidRPr="006E709F">
        <w:tab/>
        <w:t>any other information material to the making of a decision in relation to the Scheme, being information that is within the knowledge of any director, liquidator or official manager of a company the subject of the Scheme or of a related company and that has not previously been disclosed to the Scheme members.</w:t>
      </w:r>
    </w:p>
    <w:p w:rsidR="002A22A4" w:rsidRPr="006E709F" w:rsidRDefault="002A22A4" w:rsidP="00A801D0">
      <w:pPr>
        <w:pStyle w:val="subsection"/>
      </w:pPr>
      <w:r w:rsidRPr="006E709F">
        <w:rPr>
          <w:b/>
        </w:rPr>
        <w:t>8303</w:t>
      </w:r>
      <w:r w:rsidRPr="006E709F">
        <w:tab/>
      </w:r>
      <w:r w:rsidRPr="006E709F">
        <w:tab/>
        <w:t>If:</w:t>
      </w:r>
    </w:p>
    <w:p w:rsidR="002A22A4" w:rsidRPr="006E709F" w:rsidRDefault="002A22A4" w:rsidP="00A801D0">
      <w:pPr>
        <w:pStyle w:val="paragraph"/>
      </w:pPr>
      <w:r w:rsidRPr="006E709F">
        <w:tab/>
        <w:t>(a)</w:t>
      </w:r>
      <w:r w:rsidRPr="006E709F">
        <w:tab/>
        <w:t>the other party to the proposed reconstruction or amalgamation of the company the subject of the Scheme has a prescribed shareholding in the company; or</w:t>
      </w:r>
    </w:p>
    <w:p w:rsidR="002A22A4" w:rsidRPr="006E709F" w:rsidRDefault="002A22A4" w:rsidP="00A801D0">
      <w:pPr>
        <w:pStyle w:val="paragraph"/>
      </w:pPr>
      <w:r w:rsidRPr="006E709F">
        <w:tab/>
        <w:t>(b)</w:t>
      </w:r>
      <w:r w:rsidRPr="006E709F">
        <w:tab/>
        <w:t>a director of any corporation that is the other party to the proposed reconstruction or amalgamation is a director of a company the subject of the Scheme;</w:t>
      </w:r>
    </w:p>
    <w:p w:rsidR="002A22A4" w:rsidRPr="006E709F" w:rsidRDefault="002A22A4" w:rsidP="007C7D49">
      <w:pPr>
        <w:pStyle w:val="subsection2"/>
      </w:pPr>
      <w:r w:rsidRPr="006E709F">
        <w:t>the statement must be accompanied by a copy of a report made by an expert who is not associated with the corporation that is the other party, stating whether or not, in his or her opinion, the proposed Scheme is in the best interest of the members of the company the subject of the Scheme and setting out his or her reasons for that opinion.</w:t>
      </w:r>
    </w:p>
    <w:p w:rsidR="002A22A4" w:rsidRPr="006E709F" w:rsidRDefault="002A22A4" w:rsidP="00A801D0">
      <w:pPr>
        <w:pStyle w:val="subsection"/>
      </w:pPr>
      <w:r w:rsidRPr="006E709F">
        <w:rPr>
          <w:b/>
        </w:rPr>
        <w:t>8304</w:t>
      </w:r>
      <w:r w:rsidRPr="006E709F">
        <w:tab/>
      </w:r>
      <w:r w:rsidRPr="006E709F">
        <w:tab/>
        <w:t>If the company the subject of the Scheme obtains 2 or more reports, each of which could be used for clause</w:t>
      </w:r>
      <w:r w:rsidR="00DA13DE" w:rsidRPr="006E709F">
        <w:t> </w:t>
      </w:r>
      <w:r w:rsidRPr="006E709F">
        <w:t>3, the statement must be accompanied by a copy of each report.</w:t>
      </w:r>
    </w:p>
    <w:p w:rsidR="002A22A4" w:rsidRPr="006E709F" w:rsidRDefault="002A22A4" w:rsidP="00A801D0">
      <w:pPr>
        <w:pStyle w:val="subsection"/>
      </w:pPr>
      <w:r w:rsidRPr="006E709F">
        <w:rPr>
          <w:b/>
        </w:rPr>
        <w:t>8305</w:t>
      </w:r>
      <w:r w:rsidRPr="006E709F">
        <w:tab/>
      </w:r>
      <w:r w:rsidRPr="006E709F">
        <w:tab/>
        <w:t>If:</w:t>
      </w:r>
    </w:p>
    <w:p w:rsidR="002A22A4" w:rsidRPr="006E709F" w:rsidRDefault="002A22A4" w:rsidP="00A801D0">
      <w:pPr>
        <w:pStyle w:val="paragraph"/>
      </w:pPr>
      <w:r w:rsidRPr="006E709F">
        <w:tab/>
        <w:t>(a)</w:t>
      </w:r>
      <w:r w:rsidRPr="006E709F">
        <w:tab/>
        <w:t>the company the subject of the Scheme obtains a report for clause</w:t>
      </w:r>
      <w:r w:rsidR="00DA13DE" w:rsidRPr="006E709F">
        <w:t> </w:t>
      </w:r>
      <w:r w:rsidRPr="006E709F">
        <w:t>3; and</w:t>
      </w:r>
    </w:p>
    <w:p w:rsidR="002A22A4" w:rsidRPr="006E709F" w:rsidRDefault="002A22A4" w:rsidP="00A801D0">
      <w:pPr>
        <w:pStyle w:val="paragraph"/>
      </w:pPr>
      <w:r w:rsidRPr="006E709F">
        <w:tab/>
        <w:t>(b)</w:t>
      </w:r>
      <w:r w:rsidRPr="006E709F">
        <w:tab/>
        <w:t>the report contains:</w:t>
      </w:r>
    </w:p>
    <w:p w:rsidR="002A22A4" w:rsidRPr="006E709F" w:rsidRDefault="002A22A4" w:rsidP="00A801D0">
      <w:pPr>
        <w:pStyle w:val="paragraphsub"/>
      </w:pPr>
      <w:r w:rsidRPr="006E709F">
        <w:tab/>
        <w:t>(i)</w:t>
      </w:r>
      <w:r w:rsidRPr="006E709F">
        <w:tab/>
        <w:t>a forecast of the profits or profitability of the company; or</w:t>
      </w:r>
    </w:p>
    <w:p w:rsidR="002A22A4" w:rsidRPr="006E709F" w:rsidRDefault="002A22A4" w:rsidP="00A801D0">
      <w:pPr>
        <w:pStyle w:val="paragraphsub"/>
      </w:pPr>
      <w:r w:rsidRPr="006E709F">
        <w:tab/>
        <w:t>(ii)</w:t>
      </w:r>
      <w:r w:rsidRPr="006E709F">
        <w:tab/>
        <w:t>a statement that the market value of an asset or assets of the company or of a related body corporate differs from an amount at which the value of the asset or assets is shown in the books of the company or the related body corporate;</w:t>
      </w:r>
    </w:p>
    <w:p w:rsidR="002A22A4" w:rsidRPr="006E709F" w:rsidRDefault="002A22A4" w:rsidP="00A801D0">
      <w:pPr>
        <w:pStyle w:val="subsection2"/>
      </w:pPr>
      <w:r w:rsidRPr="006E709F">
        <w:t>that report must not accompany the statement except with the consent in writing of ASIC and in accordance with such conditions (if any) as are stated by ASIC.</w:t>
      </w:r>
    </w:p>
    <w:p w:rsidR="002A22A4" w:rsidRPr="006E709F" w:rsidRDefault="002A22A4" w:rsidP="00A801D0">
      <w:pPr>
        <w:pStyle w:val="subsection"/>
      </w:pPr>
      <w:r w:rsidRPr="006E709F">
        <w:rPr>
          <w:b/>
        </w:rPr>
        <w:t>8306</w:t>
      </w:r>
      <w:r w:rsidRPr="006E709F">
        <w:tab/>
      </w:r>
      <w:r w:rsidRPr="006E709F">
        <w:tab/>
        <w:t>For clause</w:t>
      </w:r>
      <w:r w:rsidR="00DA13DE" w:rsidRPr="006E709F">
        <w:t> </w:t>
      </w:r>
      <w:r w:rsidRPr="006E709F">
        <w:t>3:</w:t>
      </w:r>
    </w:p>
    <w:p w:rsidR="002A22A4" w:rsidRPr="006E709F" w:rsidRDefault="002A22A4" w:rsidP="00A801D0">
      <w:pPr>
        <w:pStyle w:val="paragraph"/>
      </w:pPr>
      <w:r w:rsidRPr="006E709F">
        <w:tab/>
        <w:t>(a)</w:t>
      </w:r>
      <w:r w:rsidRPr="006E709F">
        <w:tab/>
        <w:t>a person has a prescribed shareholding in a company if he or she is entitled to not less than 30% of the voting shares in the company; and</w:t>
      </w:r>
    </w:p>
    <w:p w:rsidR="002A22A4" w:rsidRPr="006E709F" w:rsidRDefault="002A22A4" w:rsidP="00A801D0">
      <w:pPr>
        <w:pStyle w:val="paragraph"/>
      </w:pPr>
      <w:r w:rsidRPr="006E709F">
        <w:tab/>
        <w:t>(b)</w:t>
      </w:r>
      <w:r w:rsidRPr="006E709F">
        <w:tab/>
        <w:t>a person has a prescribed shareholding in a company in which the voting shares are divided into 2 or more classes of shares, if he or she is entitled to not less than 30% of the shares in one of those classes.</w:t>
      </w:r>
    </w:p>
    <w:p w:rsidR="002A22A4" w:rsidRPr="006E709F" w:rsidRDefault="002A22A4" w:rsidP="00A801D0">
      <w:pPr>
        <w:pStyle w:val="subsection"/>
      </w:pPr>
      <w:r w:rsidRPr="006E709F">
        <w:rPr>
          <w:b/>
        </w:rPr>
        <w:t>8307</w:t>
      </w:r>
      <w:r w:rsidRPr="006E709F">
        <w:tab/>
      </w:r>
      <w:r w:rsidRPr="006E709F">
        <w:tab/>
        <w:t>If the consideration to be offered to scheme members consists, in whole or in part, of marketable securities issued, or to be issued, by a corporation, the statement must set out the formula to be applied to find out the number of marketable securities to be issued to each scheme member, and the basis on which that formula was developed.</w:t>
      </w:r>
    </w:p>
    <w:p w:rsidR="002A22A4" w:rsidRPr="006E709F" w:rsidRDefault="002A22A4" w:rsidP="00B13146">
      <w:pPr>
        <w:pStyle w:val="subsection"/>
        <w:keepNext/>
        <w:keepLines/>
      </w:pPr>
      <w:r w:rsidRPr="006E709F">
        <w:rPr>
          <w:b/>
        </w:rPr>
        <w:t>8308</w:t>
      </w:r>
      <w:r w:rsidRPr="006E709F">
        <w:tab/>
      </w:r>
      <w:r w:rsidRPr="006E709F">
        <w:tab/>
        <w:t>If marketable securities of the same class as those mentioned in clause</w:t>
      </w:r>
      <w:r w:rsidR="00DA13DE" w:rsidRPr="006E709F">
        <w:t> </w:t>
      </w:r>
      <w:r w:rsidRPr="006E709F">
        <w:t>7 are granted official quotation on a securities exchange, the statement must state the fact, specify the securities exchange concerned, and set out:</w:t>
      </w:r>
    </w:p>
    <w:p w:rsidR="002A22A4" w:rsidRPr="006E709F" w:rsidRDefault="002A22A4" w:rsidP="00A801D0">
      <w:pPr>
        <w:pStyle w:val="paragraph"/>
      </w:pPr>
      <w:r w:rsidRPr="006E709F">
        <w:tab/>
        <w:t>(a)</w:t>
      </w:r>
      <w:r w:rsidRPr="006E709F">
        <w:tab/>
        <w:t>the latest recorded sale price before the date on which the statement is lodged for registration; and</w:t>
      </w:r>
    </w:p>
    <w:p w:rsidR="002A22A4" w:rsidRPr="006E709F" w:rsidRDefault="002A22A4" w:rsidP="00A801D0">
      <w:pPr>
        <w:pStyle w:val="paragraph"/>
      </w:pPr>
      <w:r w:rsidRPr="006E709F">
        <w:tab/>
        <w:t>(b)</w:t>
      </w:r>
      <w:r w:rsidRPr="006E709F">
        <w:tab/>
        <w:t>the highest and lowest recorded sale prices during the 3</w:t>
      </w:r>
      <w:r w:rsidR="00E376FA" w:rsidRPr="006E709F">
        <w:t xml:space="preserve"> </w:t>
      </w:r>
      <w:r w:rsidRPr="006E709F">
        <w:t>months immediately before that date and the dates of the relevant sales; and</w:t>
      </w:r>
    </w:p>
    <w:p w:rsidR="002A22A4" w:rsidRPr="006E709F" w:rsidRDefault="002A22A4" w:rsidP="00A801D0">
      <w:pPr>
        <w:pStyle w:val="paragraph"/>
      </w:pPr>
      <w:r w:rsidRPr="006E709F">
        <w:tab/>
        <w:t>(c)</w:t>
      </w:r>
      <w:r w:rsidRPr="006E709F">
        <w:tab/>
        <w:t>if the Scheme has been the subject of a public announcement in newspapers or by any other means before the statement has been registered by ASIC</w:t>
      </w:r>
      <w:r w:rsidR="00A801D0" w:rsidRPr="006E709F">
        <w:t>—</w:t>
      </w:r>
      <w:r w:rsidRPr="006E709F">
        <w:t>the latest recorded sale price immediately before the public announcement.</w:t>
      </w:r>
    </w:p>
    <w:p w:rsidR="002A22A4" w:rsidRPr="006E709F" w:rsidRDefault="002A22A4" w:rsidP="00A801D0">
      <w:pPr>
        <w:pStyle w:val="subsection"/>
      </w:pPr>
      <w:r w:rsidRPr="006E709F">
        <w:rPr>
          <w:b/>
        </w:rPr>
        <w:t>8309</w:t>
      </w:r>
      <w:r w:rsidRPr="006E709F">
        <w:tab/>
        <w:t>(1)</w:t>
      </w:r>
      <w:r w:rsidRPr="006E709F">
        <w:tab/>
        <w:t>If the marketable securities mentioned in clause</w:t>
      </w:r>
      <w:r w:rsidR="00DA13DE" w:rsidRPr="006E709F">
        <w:t> </w:t>
      </w:r>
      <w:r w:rsidRPr="006E709F">
        <w:t>8 are granted official quotation on more than one securities exchange, it is sufficient compliance with paragraphs 8(a) and (c) if information on the marketable securities is given for the securities exchange at which there has been the greatest number of recorded dealings in the securities in the 3 months immediately before the date on which the statement is lodged for registration.</w:t>
      </w:r>
    </w:p>
    <w:p w:rsidR="002A22A4" w:rsidRPr="006E709F" w:rsidRDefault="002A22A4" w:rsidP="00A801D0">
      <w:pPr>
        <w:pStyle w:val="subsection"/>
      </w:pPr>
      <w:r w:rsidRPr="006E709F">
        <w:tab/>
        <w:t>(2)</w:t>
      </w:r>
      <w:r w:rsidRPr="006E709F">
        <w:tab/>
        <w:t>If the securities have not been granted official quotation on a securities exchange, the statement must set out all the information that a director, liquidator or official manager of the company the subject of the Scheme or of a related body corporate has about the number of securities that have been sold in the 3 months immediately before the date on which the explanatory statement was prepared and the price of those securities or, if that information or any part of that information cannot be ascertained, a statement to that effect.</w:t>
      </w:r>
    </w:p>
    <w:p w:rsidR="002A22A4" w:rsidRPr="006E709F" w:rsidRDefault="002A22A4" w:rsidP="00A801D0">
      <w:pPr>
        <w:pStyle w:val="subsection"/>
      </w:pPr>
      <w:r w:rsidRPr="006E709F">
        <w:rPr>
          <w:b/>
        </w:rPr>
        <w:t>8310</w:t>
      </w:r>
      <w:r w:rsidRPr="006E709F">
        <w:tab/>
      </w:r>
      <w:r w:rsidRPr="006E709F">
        <w:tab/>
        <w:t>The statement must set out particulars of the intentions of the directors of the company the subject of the Scheme regarding:</w:t>
      </w:r>
    </w:p>
    <w:p w:rsidR="002A22A4" w:rsidRPr="006E709F" w:rsidRDefault="002A22A4" w:rsidP="00A801D0">
      <w:pPr>
        <w:pStyle w:val="paragraph"/>
      </w:pPr>
      <w:r w:rsidRPr="006E709F">
        <w:tab/>
        <w:t>(a)</w:t>
      </w:r>
      <w:r w:rsidRPr="006E709F">
        <w:tab/>
        <w:t xml:space="preserve">the continuation of the business of the company or, if the undertaking, or any part of the undertaking, of a company is to be transferred, how that undertaking or </w:t>
      </w:r>
      <w:r w:rsidR="00FF4176" w:rsidRPr="006E709F">
        <w:t>part i</w:t>
      </w:r>
      <w:r w:rsidRPr="006E709F">
        <w:t>s to be conducted in the future; and</w:t>
      </w:r>
    </w:p>
    <w:p w:rsidR="002A22A4" w:rsidRPr="006E709F" w:rsidRDefault="002A22A4" w:rsidP="00A801D0">
      <w:pPr>
        <w:pStyle w:val="paragraph"/>
      </w:pPr>
      <w:r w:rsidRPr="006E709F">
        <w:tab/>
        <w:t>(b)</w:t>
      </w:r>
      <w:r w:rsidRPr="006E709F">
        <w:tab/>
        <w:t>any major changes to be made to the business of the company, including any redeployment of the fixed assets of the company; and</w:t>
      </w:r>
    </w:p>
    <w:p w:rsidR="002A22A4" w:rsidRPr="006E709F" w:rsidRDefault="002A22A4" w:rsidP="00A801D0">
      <w:pPr>
        <w:pStyle w:val="paragraph"/>
      </w:pPr>
      <w:r w:rsidRPr="006E709F">
        <w:tab/>
        <w:t>(c)</w:t>
      </w:r>
      <w:r w:rsidRPr="006E709F">
        <w:tab/>
        <w:t>the future employment of the present employees of the company.</w:t>
      </w:r>
    </w:p>
    <w:p w:rsidR="002A22A4" w:rsidRPr="006E709F" w:rsidRDefault="00A801D0" w:rsidP="007C7D49">
      <w:pPr>
        <w:pStyle w:val="ActHead3"/>
        <w:pageBreakBefore/>
      </w:pPr>
      <w:bookmarkStart w:id="29" w:name="_Toc160609721"/>
      <w:r w:rsidRPr="000C4237">
        <w:rPr>
          <w:rStyle w:val="CharDivNo"/>
        </w:rPr>
        <w:t>Part</w:t>
      </w:r>
      <w:r w:rsidR="00DA13DE" w:rsidRPr="000C4237">
        <w:rPr>
          <w:rStyle w:val="CharDivNo"/>
        </w:rPr>
        <w:t> </w:t>
      </w:r>
      <w:r w:rsidR="002A22A4" w:rsidRPr="000C4237">
        <w:rPr>
          <w:rStyle w:val="CharDivNo"/>
        </w:rPr>
        <w:t>4</w:t>
      </w:r>
      <w:r w:rsidRPr="006E709F">
        <w:t>—</w:t>
      </w:r>
      <w:r w:rsidR="002A22A4" w:rsidRPr="000C4237">
        <w:rPr>
          <w:rStyle w:val="CharDivText"/>
        </w:rPr>
        <w:t>Prescribed information relating to proposed compromise or arrangement with members or class of members for transfer to a trustee</w:t>
      </w:r>
      <w:bookmarkEnd w:id="29"/>
    </w:p>
    <w:p w:rsidR="002A22A4" w:rsidRPr="006E709F" w:rsidRDefault="002A22A4" w:rsidP="00A801D0">
      <w:pPr>
        <w:pStyle w:val="subsection"/>
      </w:pPr>
      <w:r w:rsidRPr="006E709F">
        <w:rPr>
          <w:b/>
        </w:rPr>
        <w:t>8401</w:t>
      </w:r>
      <w:r w:rsidRPr="006E709F">
        <w:tab/>
      </w:r>
      <w:r w:rsidRPr="006E709F">
        <w:tab/>
        <w:t>The statement must set out:</w:t>
      </w:r>
    </w:p>
    <w:p w:rsidR="002A22A4" w:rsidRPr="006E709F" w:rsidRDefault="002A22A4" w:rsidP="00A801D0">
      <w:pPr>
        <w:pStyle w:val="paragraph"/>
      </w:pPr>
      <w:r w:rsidRPr="006E709F">
        <w:tab/>
        <w:t>(a)</w:t>
      </w:r>
      <w:r w:rsidRPr="006E709F">
        <w:tab/>
        <w:t>in detail, the basis on which units in the unit trust are to be issued to scheme members; and</w:t>
      </w:r>
    </w:p>
    <w:p w:rsidR="002A22A4" w:rsidRPr="006E709F" w:rsidRDefault="002A22A4" w:rsidP="00A801D0">
      <w:pPr>
        <w:pStyle w:val="paragraph"/>
      </w:pPr>
      <w:r w:rsidRPr="006E709F">
        <w:tab/>
        <w:t>(b)</w:t>
      </w:r>
      <w:r w:rsidRPr="006E709F">
        <w:tab/>
        <w:t>if the issue of units in the unit trust is based on the asset backing of shares held by scheme members</w:t>
      </w:r>
      <w:r w:rsidR="00A801D0" w:rsidRPr="006E709F">
        <w:t>—</w:t>
      </w:r>
      <w:r w:rsidRPr="006E709F">
        <w:t>full valuation details of those assets.</w:t>
      </w:r>
    </w:p>
    <w:p w:rsidR="002A22A4" w:rsidRPr="006E709F" w:rsidRDefault="002A22A4" w:rsidP="00A801D0">
      <w:pPr>
        <w:pStyle w:val="subsection"/>
      </w:pPr>
      <w:r w:rsidRPr="006E709F">
        <w:rPr>
          <w:b/>
        </w:rPr>
        <w:t>8402</w:t>
      </w:r>
      <w:r w:rsidRPr="006E709F">
        <w:tab/>
      </w:r>
      <w:r w:rsidRPr="006E709F">
        <w:tab/>
        <w:t>A copy of the trust deed must be annexed, or set out in a schedule, to the statement.</w:t>
      </w:r>
    </w:p>
    <w:p w:rsidR="002A22A4" w:rsidRPr="006E709F" w:rsidRDefault="002A22A4" w:rsidP="00A801D0">
      <w:pPr>
        <w:pStyle w:val="subsection"/>
      </w:pPr>
      <w:r w:rsidRPr="006E709F">
        <w:rPr>
          <w:b/>
        </w:rPr>
        <w:t>8403</w:t>
      </w:r>
      <w:r w:rsidRPr="006E709F">
        <w:tab/>
      </w:r>
      <w:r w:rsidRPr="006E709F">
        <w:tab/>
        <w:t xml:space="preserve">If the effect of the proposed compromise or arrangement will be the merger of 2 companies without substantial common membership, the explanatory statement must, so far as practicable, state the matters, and be accompanied by the documents and reports, mentioned in </w:t>
      </w:r>
      <w:r w:rsidR="00A801D0" w:rsidRPr="006E709F">
        <w:t>Part</w:t>
      </w:r>
      <w:r w:rsidR="00DA13DE" w:rsidRPr="006E709F">
        <w:t> </w:t>
      </w:r>
      <w:r w:rsidRPr="006E709F">
        <w:t>3.</w:t>
      </w:r>
    </w:p>
    <w:p w:rsidR="004B6E7C" w:rsidRPr="006E709F" w:rsidRDefault="004B6E7C" w:rsidP="004B6E7C">
      <w:pPr>
        <w:sectPr w:rsidR="004B6E7C" w:rsidRPr="006E709F" w:rsidSect="0052661F">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p>
    <w:p w:rsidR="002A22A4" w:rsidRPr="006E709F" w:rsidRDefault="00A801D0" w:rsidP="00E376FA">
      <w:pPr>
        <w:pStyle w:val="ActHead1"/>
        <w:pageBreakBefore/>
      </w:pPr>
      <w:bookmarkStart w:id="30" w:name="_Toc160609722"/>
      <w:r w:rsidRPr="000C4237">
        <w:rPr>
          <w:rStyle w:val="CharChapNo"/>
        </w:rPr>
        <w:t>Schedule</w:t>
      </w:r>
      <w:r w:rsidR="00DA13DE" w:rsidRPr="000C4237">
        <w:rPr>
          <w:rStyle w:val="CharChapNo"/>
        </w:rPr>
        <w:t> </w:t>
      </w:r>
      <w:r w:rsidR="002A22A4" w:rsidRPr="000C4237">
        <w:rPr>
          <w:rStyle w:val="CharChapNo"/>
        </w:rPr>
        <w:t>8A</w:t>
      </w:r>
      <w:r w:rsidRPr="006E709F">
        <w:t>—</w:t>
      </w:r>
      <w:r w:rsidR="002A22A4" w:rsidRPr="000C4237">
        <w:rPr>
          <w:rStyle w:val="CharChapText"/>
        </w:rPr>
        <w:t>Deed of company arrangement</w:t>
      </w:r>
      <w:r w:rsidRPr="000C4237">
        <w:rPr>
          <w:rStyle w:val="CharChapText"/>
        </w:rPr>
        <w:t>—</w:t>
      </w:r>
      <w:r w:rsidR="002A22A4" w:rsidRPr="000C4237">
        <w:rPr>
          <w:rStyle w:val="CharChapText"/>
        </w:rPr>
        <w:t>prescribed provisions</w:t>
      </w:r>
      <w:bookmarkEnd w:id="30"/>
    </w:p>
    <w:p w:rsidR="002A22A4" w:rsidRPr="006E709F" w:rsidRDefault="002A22A4" w:rsidP="00A801D0">
      <w:pPr>
        <w:pStyle w:val="notemargin"/>
      </w:pPr>
      <w:r w:rsidRPr="006E709F">
        <w:t>(regulation</w:t>
      </w:r>
      <w:r w:rsidR="00DA13DE" w:rsidRPr="006E709F">
        <w:t> </w:t>
      </w:r>
      <w:r w:rsidRPr="006E709F">
        <w:t>5.3A.06)</w:t>
      </w:r>
    </w:p>
    <w:p w:rsidR="002A22A4" w:rsidRPr="006E709F" w:rsidRDefault="00A801D0" w:rsidP="002A22A4">
      <w:pPr>
        <w:pStyle w:val="Header"/>
      </w:pPr>
      <w:r w:rsidRPr="000C4237">
        <w:rPr>
          <w:rStyle w:val="CharPartNo"/>
        </w:rPr>
        <w:t xml:space="preserve"> </w:t>
      </w:r>
      <w:r w:rsidRPr="000C4237">
        <w:rPr>
          <w:rStyle w:val="CharPartText"/>
        </w:rPr>
        <w:t xml:space="preserve"> </w:t>
      </w:r>
    </w:p>
    <w:p w:rsidR="00A25488" w:rsidRPr="006E709F" w:rsidRDefault="00A25488" w:rsidP="00A25488">
      <w:pPr>
        <w:pStyle w:val="Header"/>
      </w:pPr>
      <w:r w:rsidRPr="000C4237">
        <w:rPr>
          <w:rStyle w:val="CharDivNo"/>
        </w:rPr>
        <w:t xml:space="preserve"> </w:t>
      </w:r>
      <w:r w:rsidRPr="000C4237">
        <w:rPr>
          <w:rStyle w:val="CharDivText"/>
        </w:rPr>
        <w:t xml:space="preserve"> </w:t>
      </w:r>
    </w:p>
    <w:p w:rsidR="002A22A4" w:rsidRPr="006E709F" w:rsidRDefault="00C44525" w:rsidP="00A801D0">
      <w:pPr>
        <w:pStyle w:val="ActHead5"/>
      </w:pPr>
      <w:bookmarkStart w:id="31" w:name="_Toc160609723"/>
      <w:r w:rsidRPr="000C4237">
        <w:rPr>
          <w:rStyle w:val="CharSectno"/>
        </w:rPr>
        <w:t>1</w:t>
      </w:r>
      <w:r w:rsidRPr="006E709F">
        <w:t xml:space="preserve">  </w:t>
      </w:r>
      <w:r w:rsidR="002A22A4" w:rsidRPr="006E709F">
        <w:t>Administrator deemed agent of company</w:t>
      </w:r>
      <w:bookmarkEnd w:id="31"/>
    </w:p>
    <w:p w:rsidR="002A22A4" w:rsidRPr="006E709F" w:rsidRDefault="002A22A4" w:rsidP="00A801D0">
      <w:pPr>
        <w:pStyle w:val="subsection"/>
      </w:pPr>
      <w:r w:rsidRPr="006E709F">
        <w:tab/>
      </w:r>
      <w:r w:rsidRPr="006E709F">
        <w:tab/>
        <w:t>In exercising the powers conferred by this deed and carrying out the duties arising under this deed, the administrator is taken to act as agent for and on behalf of the company.</w:t>
      </w:r>
    </w:p>
    <w:p w:rsidR="002A22A4" w:rsidRPr="006E709F" w:rsidRDefault="00C44525" w:rsidP="00A801D0">
      <w:pPr>
        <w:pStyle w:val="ActHead5"/>
      </w:pPr>
      <w:bookmarkStart w:id="32" w:name="_Toc160609724"/>
      <w:r w:rsidRPr="000C4237">
        <w:rPr>
          <w:rStyle w:val="CharSectno"/>
        </w:rPr>
        <w:t>2</w:t>
      </w:r>
      <w:r w:rsidRPr="006E709F">
        <w:t xml:space="preserve">  </w:t>
      </w:r>
      <w:r w:rsidR="002A22A4" w:rsidRPr="006E709F">
        <w:t>Powers of administrator</w:t>
      </w:r>
      <w:bookmarkEnd w:id="32"/>
    </w:p>
    <w:p w:rsidR="002A22A4" w:rsidRPr="006E709F" w:rsidRDefault="002A22A4" w:rsidP="00A801D0">
      <w:pPr>
        <w:pStyle w:val="subsection"/>
      </w:pPr>
      <w:r w:rsidRPr="006E709F">
        <w:tab/>
      </w:r>
      <w:r w:rsidRPr="006E709F">
        <w:tab/>
        <w:t>For the purpose only of administering this deed, the administrator has the following powers:</w:t>
      </w:r>
    </w:p>
    <w:p w:rsidR="002A22A4" w:rsidRPr="006E709F" w:rsidRDefault="002A22A4" w:rsidP="00A801D0">
      <w:pPr>
        <w:pStyle w:val="paragraph"/>
      </w:pPr>
      <w:r w:rsidRPr="006E709F">
        <w:tab/>
        <w:t>(a)</w:t>
      </w:r>
      <w:r w:rsidRPr="006E709F">
        <w:tab/>
        <w:t>to enter upon or take possession of the property of the company;</w:t>
      </w:r>
    </w:p>
    <w:p w:rsidR="002A22A4" w:rsidRPr="006E709F" w:rsidRDefault="002A22A4" w:rsidP="00A801D0">
      <w:pPr>
        <w:pStyle w:val="paragraph"/>
      </w:pPr>
      <w:r w:rsidRPr="006E709F">
        <w:tab/>
        <w:t>(b)</w:t>
      </w:r>
      <w:r w:rsidRPr="006E709F">
        <w:tab/>
        <w:t>to lease or let on hire property of the company;</w:t>
      </w:r>
    </w:p>
    <w:p w:rsidR="002A22A4" w:rsidRPr="006E709F" w:rsidRDefault="002A22A4" w:rsidP="00A801D0">
      <w:pPr>
        <w:pStyle w:val="paragraph"/>
      </w:pPr>
      <w:r w:rsidRPr="006E709F">
        <w:tab/>
        <w:t>(c)</w:t>
      </w:r>
      <w:r w:rsidRPr="006E709F">
        <w:tab/>
        <w:t>to grant options over property of the company on such conditions as the administrator thinks fit;</w:t>
      </w:r>
    </w:p>
    <w:p w:rsidR="002A22A4" w:rsidRPr="006E709F" w:rsidRDefault="002A22A4" w:rsidP="00A801D0">
      <w:pPr>
        <w:pStyle w:val="paragraph"/>
      </w:pPr>
      <w:r w:rsidRPr="006E709F">
        <w:tab/>
        <w:t>(d)</w:t>
      </w:r>
      <w:r w:rsidRPr="006E709F">
        <w:tab/>
        <w:t>to insure property of the company;</w:t>
      </w:r>
    </w:p>
    <w:p w:rsidR="002A22A4" w:rsidRPr="006E709F" w:rsidRDefault="002A22A4" w:rsidP="00A801D0">
      <w:pPr>
        <w:pStyle w:val="paragraph"/>
      </w:pPr>
      <w:r w:rsidRPr="006E709F">
        <w:tab/>
        <w:t>(e)</w:t>
      </w:r>
      <w:r w:rsidRPr="006E709F">
        <w:tab/>
        <w:t>to repair, renew or enlarge property of the company;</w:t>
      </w:r>
    </w:p>
    <w:p w:rsidR="002A22A4" w:rsidRPr="006E709F" w:rsidRDefault="002A22A4" w:rsidP="00A801D0">
      <w:pPr>
        <w:pStyle w:val="paragraph"/>
      </w:pPr>
      <w:r w:rsidRPr="006E709F">
        <w:tab/>
        <w:t>(f)</w:t>
      </w:r>
      <w:r w:rsidRPr="006E709F">
        <w:tab/>
        <w:t>to call in, collect or convert into money the property of the company;</w:t>
      </w:r>
    </w:p>
    <w:p w:rsidR="002A22A4" w:rsidRPr="006E709F" w:rsidRDefault="002A22A4" w:rsidP="00A801D0">
      <w:pPr>
        <w:pStyle w:val="paragraph"/>
      </w:pPr>
      <w:r w:rsidRPr="006E709F">
        <w:tab/>
        <w:t>(g)</w:t>
      </w:r>
      <w:r w:rsidRPr="006E709F">
        <w:tab/>
        <w:t>to administer the assets available for the payment of claims of creditors in accordance with the provisions of this deed;</w:t>
      </w:r>
    </w:p>
    <w:p w:rsidR="002A22A4" w:rsidRPr="006E709F" w:rsidRDefault="002A22A4" w:rsidP="00A801D0">
      <w:pPr>
        <w:pStyle w:val="paragraph"/>
      </w:pPr>
      <w:r w:rsidRPr="006E709F">
        <w:tab/>
        <w:t>(h)</w:t>
      </w:r>
      <w:r w:rsidRPr="006E709F">
        <w:tab/>
        <w:t>to purchase, hire, lease or otherwise acquire any property or interest in property from any person or corporation;</w:t>
      </w:r>
    </w:p>
    <w:p w:rsidR="002A22A4" w:rsidRPr="006E709F" w:rsidRDefault="002A22A4" w:rsidP="00A801D0">
      <w:pPr>
        <w:pStyle w:val="paragraph"/>
      </w:pPr>
      <w:r w:rsidRPr="006E709F">
        <w:tab/>
        <w:t>(i)</w:t>
      </w:r>
      <w:r w:rsidRPr="006E709F">
        <w:tab/>
        <w:t>to borrow or raise money, whether secured upon any or all of the assets of the company or unsecured, for any period on such terms as the administrator thinks fit and whether in substitution for any existing security or otherwise;</w:t>
      </w:r>
    </w:p>
    <w:p w:rsidR="002A22A4" w:rsidRPr="006E709F" w:rsidRDefault="002A22A4" w:rsidP="00A801D0">
      <w:pPr>
        <w:pStyle w:val="paragraph"/>
      </w:pPr>
      <w:r w:rsidRPr="006E709F">
        <w:tab/>
        <w:t>(j)</w:t>
      </w:r>
      <w:r w:rsidRPr="006E709F">
        <w:tab/>
        <w:t>to bring, prosecute and defend in the name and on behalf of the company or in the name of the administrator any actions, suits or proceedings;</w:t>
      </w:r>
    </w:p>
    <w:p w:rsidR="002A22A4" w:rsidRPr="006E709F" w:rsidRDefault="002A22A4" w:rsidP="00A801D0">
      <w:pPr>
        <w:pStyle w:val="paragraph"/>
      </w:pPr>
      <w:r w:rsidRPr="006E709F">
        <w:tab/>
        <w:t>(k)</w:t>
      </w:r>
      <w:r w:rsidRPr="006E709F">
        <w:tab/>
        <w:t>to refer to arbitration any question affecting the company;</w:t>
      </w:r>
    </w:p>
    <w:p w:rsidR="002A22A4" w:rsidRPr="006E709F" w:rsidRDefault="002A22A4" w:rsidP="00A801D0">
      <w:pPr>
        <w:pStyle w:val="paragraph"/>
      </w:pPr>
      <w:r w:rsidRPr="006E709F">
        <w:tab/>
        <w:t>(l)</w:t>
      </w:r>
      <w:r w:rsidRPr="006E709F">
        <w:tab/>
        <w:t>to make payments to any secured creditor of the company and any person who is the owner or lessor of property possessed used or occupied by the company;</w:t>
      </w:r>
    </w:p>
    <w:p w:rsidR="002A22A4" w:rsidRPr="006E709F" w:rsidRDefault="002A22A4" w:rsidP="00A801D0">
      <w:pPr>
        <w:pStyle w:val="paragraph"/>
      </w:pPr>
      <w:r w:rsidRPr="006E709F">
        <w:tab/>
        <w:t>(m)</w:t>
      </w:r>
      <w:r w:rsidRPr="006E709F">
        <w:tab/>
        <w:t>to convene and hold meetings of the members or creditors of the company for any purpose the administrator thinks fit;</w:t>
      </w:r>
    </w:p>
    <w:p w:rsidR="002A22A4" w:rsidRPr="006E709F" w:rsidRDefault="002A22A4" w:rsidP="00A801D0">
      <w:pPr>
        <w:pStyle w:val="paragraph"/>
      </w:pPr>
      <w:r w:rsidRPr="006E709F">
        <w:tab/>
        <w:t>(n)</w:t>
      </w:r>
      <w:r w:rsidRPr="006E709F">
        <w:tab/>
        <w:t>to make interim or other distributions of the proceeds of the realisation of the assets available for the payment of claims of creditors as provided in this deed;</w:t>
      </w:r>
    </w:p>
    <w:p w:rsidR="002A22A4" w:rsidRPr="006E709F" w:rsidRDefault="002A22A4" w:rsidP="00A801D0">
      <w:pPr>
        <w:pStyle w:val="paragraph"/>
      </w:pPr>
      <w:r w:rsidRPr="006E709F">
        <w:tab/>
        <w:t>(o)</w:t>
      </w:r>
      <w:r w:rsidRPr="006E709F">
        <w:tab/>
        <w:t>to appoint agents to do any business or to attend to any matter or affairs of the company that the administrator is unable to do, or that it is unreasonable to expect the administrator to do, in person;</w:t>
      </w:r>
    </w:p>
    <w:p w:rsidR="002A22A4" w:rsidRPr="006E709F" w:rsidRDefault="002A22A4" w:rsidP="00A801D0">
      <w:pPr>
        <w:pStyle w:val="paragraph"/>
      </w:pPr>
      <w:r w:rsidRPr="006E709F">
        <w:tab/>
        <w:t>(p)</w:t>
      </w:r>
      <w:r w:rsidRPr="006E709F">
        <w:tab/>
        <w:t>to engage or discharge employees on behalf of the company;</w:t>
      </w:r>
    </w:p>
    <w:p w:rsidR="002A22A4" w:rsidRPr="006E709F" w:rsidRDefault="002A22A4" w:rsidP="00A801D0">
      <w:pPr>
        <w:pStyle w:val="paragraph"/>
      </w:pPr>
      <w:r w:rsidRPr="006E709F">
        <w:tab/>
        <w:t>(q)</w:t>
      </w:r>
      <w:r w:rsidRPr="006E709F">
        <w:tab/>
        <w:t>to appoint a solicitor, accountant or other professionally qualified person to assist the administrator;</w:t>
      </w:r>
    </w:p>
    <w:p w:rsidR="002A22A4" w:rsidRPr="006E709F" w:rsidRDefault="002A22A4" w:rsidP="00A801D0">
      <w:pPr>
        <w:pStyle w:val="paragraph"/>
      </w:pPr>
      <w:r w:rsidRPr="006E709F">
        <w:tab/>
        <w:t>(r)</w:t>
      </w:r>
      <w:r w:rsidRPr="006E709F">
        <w:tab/>
        <w:t>to permit any person authorised by the administrator to operate any account in the name of the company;</w:t>
      </w:r>
    </w:p>
    <w:p w:rsidR="002A22A4" w:rsidRPr="006E709F" w:rsidRDefault="002A22A4" w:rsidP="00A801D0">
      <w:pPr>
        <w:pStyle w:val="paragraph"/>
      </w:pPr>
      <w:r w:rsidRPr="006E709F">
        <w:tab/>
        <w:t>(s)</w:t>
      </w:r>
      <w:r w:rsidRPr="006E709F">
        <w:tab/>
        <w:t>to sell, call in or convert into money any of the property of the company, to apply the money in accordance with this deed and otherwise effectively and properly to carry out his or her duties as administrator;</w:t>
      </w:r>
    </w:p>
    <w:p w:rsidR="002A22A4" w:rsidRPr="006E709F" w:rsidRDefault="002A22A4" w:rsidP="00A801D0">
      <w:pPr>
        <w:pStyle w:val="paragraph"/>
      </w:pPr>
      <w:r w:rsidRPr="006E709F">
        <w:tab/>
        <w:t>(t)</w:t>
      </w:r>
      <w:r w:rsidRPr="006E709F">
        <w:tab/>
        <w:t>to do all acts and execute in the name and on behalf of the company all deeds, receipts and other documents, using the company’s common or official seal when necessary;</w:t>
      </w:r>
    </w:p>
    <w:p w:rsidR="002A22A4" w:rsidRPr="006E709F" w:rsidRDefault="002A22A4" w:rsidP="00A801D0">
      <w:pPr>
        <w:pStyle w:val="paragraph"/>
      </w:pPr>
      <w:r w:rsidRPr="006E709F">
        <w:tab/>
        <w:t>(u)</w:t>
      </w:r>
      <w:r w:rsidRPr="006E709F">
        <w:tab/>
        <w:t xml:space="preserve">subject to the </w:t>
      </w:r>
      <w:r w:rsidRPr="006E709F">
        <w:rPr>
          <w:i/>
        </w:rPr>
        <w:t>Bankruptcy Act 1966</w:t>
      </w:r>
      <w:r w:rsidRPr="006E709F">
        <w:t>, to prove in the bankruptcy of any contributory or debtor of the company or under any deed executed under that Act;</w:t>
      </w:r>
    </w:p>
    <w:p w:rsidR="002A22A4" w:rsidRPr="006E709F" w:rsidRDefault="002A22A4" w:rsidP="00A801D0">
      <w:pPr>
        <w:pStyle w:val="paragraph"/>
      </w:pPr>
      <w:r w:rsidRPr="006E709F">
        <w:tab/>
        <w:t>(v)</w:t>
      </w:r>
      <w:r w:rsidRPr="006E709F">
        <w:tab/>
        <w:t>subject to the Act, to prove in the winding up of any contributory or debtor of the company or under any scheme of arrangement entered into, or deed of company arrangement executed, under the Act;</w:t>
      </w:r>
    </w:p>
    <w:p w:rsidR="002A22A4" w:rsidRPr="006E709F" w:rsidRDefault="002A22A4" w:rsidP="00A801D0">
      <w:pPr>
        <w:pStyle w:val="paragraph"/>
      </w:pPr>
      <w:r w:rsidRPr="006E709F">
        <w:tab/>
        <w:t>(w)</w:t>
      </w:r>
      <w:r w:rsidRPr="006E709F">
        <w:tab/>
        <w:t>to draw, accept, make or endorse any bill of exchange or promissory note in the name and on behalf of the company;</w:t>
      </w:r>
    </w:p>
    <w:p w:rsidR="002A22A4" w:rsidRPr="006E709F" w:rsidRDefault="002A22A4" w:rsidP="00A801D0">
      <w:pPr>
        <w:pStyle w:val="paragraph"/>
      </w:pPr>
      <w:r w:rsidRPr="006E709F">
        <w:tab/>
        <w:t>(x)</w:t>
      </w:r>
      <w:r w:rsidRPr="006E709F">
        <w:tab/>
        <w:t>to take out letters of administration of the estate of a deceased contributory or debtor, and do any other act necessary for obtaining payment of any money due from a contributory or debtor, or the estate of a contributory or debtor, that cannot be conveniently done in the name of the company;</w:t>
      </w:r>
    </w:p>
    <w:p w:rsidR="002A22A4" w:rsidRPr="006E709F" w:rsidRDefault="002A22A4" w:rsidP="00A801D0">
      <w:pPr>
        <w:pStyle w:val="paragraph"/>
      </w:pPr>
      <w:r w:rsidRPr="006E709F">
        <w:tab/>
        <w:t>(y)</w:t>
      </w:r>
      <w:r w:rsidRPr="006E709F">
        <w:tab/>
        <w:t>to bring or defend an application for the winding up of the company;</w:t>
      </w:r>
    </w:p>
    <w:p w:rsidR="002A22A4" w:rsidRPr="006E709F" w:rsidRDefault="002A22A4" w:rsidP="00A801D0">
      <w:pPr>
        <w:pStyle w:val="paragraph"/>
      </w:pPr>
      <w:r w:rsidRPr="006E709F">
        <w:tab/>
        <w:t>(z)</w:t>
      </w:r>
      <w:r w:rsidRPr="006E709F">
        <w:tab/>
        <w:t>to carry on the business of the company on such terms and conditions and for such purposes and times and in such manner as the administrator thinks fit subject only to the limitations imposed by this deed;</w:t>
      </w:r>
    </w:p>
    <w:p w:rsidR="002A22A4" w:rsidRPr="006E709F" w:rsidRDefault="002A22A4" w:rsidP="00A801D0">
      <w:pPr>
        <w:pStyle w:val="paragraph"/>
      </w:pPr>
      <w:r w:rsidRPr="006E709F">
        <w:tab/>
        <w:t>(za)</w:t>
      </w:r>
      <w:r w:rsidRPr="006E709F">
        <w:tab/>
        <w:t>to sell any or all of the property of the company including the whole of the business or undertaking of the company at any time the administrator thinks fit, either by public auction or by private contract and either for a lump sum or for a sum payable by instalments or for a sum on account and to obtain a mortgage charge or encumbrance for the balance or otherwise;</w:t>
      </w:r>
    </w:p>
    <w:p w:rsidR="002A22A4" w:rsidRPr="006E709F" w:rsidRDefault="002A22A4" w:rsidP="00A801D0">
      <w:pPr>
        <w:pStyle w:val="paragraph"/>
      </w:pPr>
      <w:r w:rsidRPr="006E709F">
        <w:tab/>
        <w:t>(zb)</w:t>
      </w:r>
      <w:r w:rsidRPr="006E709F">
        <w:tab/>
        <w:t>to close down the whole or any part of any business of the company;</w:t>
      </w:r>
    </w:p>
    <w:p w:rsidR="002A22A4" w:rsidRPr="006E709F" w:rsidRDefault="002A22A4" w:rsidP="00A801D0">
      <w:pPr>
        <w:pStyle w:val="paragraph"/>
      </w:pPr>
      <w:r w:rsidRPr="006E709F">
        <w:tab/>
        <w:t>(zc)</w:t>
      </w:r>
      <w:r w:rsidRPr="006E709F">
        <w:tab/>
        <w:t>to enter into and complete any contract for the sale of shares in the company;</w:t>
      </w:r>
    </w:p>
    <w:p w:rsidR="002A22A4" w:rsidRPr="006E709F" w:rsidRDefault="002A22A4" w:rsidP="00A801D0">
      <w:pPr>
        <w:pStyle w:val="paragraph"/>
      </w:pPr>
      <w:r w:rsidRPr="006E709F">
        <w:tab/>
        <w:t>(zd)</w:t>
      </w:r>
      <w:r w:rsidRPr="006E709F">
        <w:tab/>
        <w:t>to compromise any debts or claims brought by or against the company on such terms as the administrator thinks fit and to take security for the discharge of any debt forming part of the property of the company;</w:t>
      </w:r>
    </w:p>
    <w:p w:rsidR="002A22A4" w:rsidRPr="006E709F" w:rsidRDefault="002A22A4" w:rsidP="00A801D0">
      <w:pPr>
        <w:pStyle w:val="paragraph"/>
      </w:pPr>
      <w:r w:rsidRPr="006E709F">
        <w:tab/>
        <w:t>(ze)</w:t>
      </w:r>
      <w:r w:rsidRPr="006E709F">
        <w:tab/>
        <w:t xml:space="preserve">to pay any class of creditors in full, subject to </w:t>
      </w:r>
      <w:r w:rsidR="00A801D0" w:rsidRPr="006E709F">
        <w:t>Subdivision</w:t>
      </w:r>
      <w:r w:rsidR="00E376FA" w:rsidRPr="006E709F">
        <w:t xml:space="preserve"> </w:t>
      </w:r>
      <w:r w:rsidRPr="006E709F">
        <w:t xml:space="preserve">D of </w:t>
      </w:r>
      <w:r w:rsidR="00A801D0" w:rsidRPr="006E709F">
        <w:t>Division</w:t>
      </w:r>
      <w:r w:rsidR="00DA13DE" w:rsidRPr="006E709F">
        <w:t> </w:t>
      </w:r>
      <w:r w:rsidRPr="006E709F">
        <w:t xml:space="preserve">6 of </w:t>
      </w:r>
      <w:r w:rsidR="00A801D0" w:rsidRPr="006E709F">
        <w:t>Part</w:t>
      </w:r>
      <w:r w:rsidR="00DA13DE" w:rsidRPr="006E709F">
        <w:t> </w:t>
      </w:r>
      <w:r w:rsidRPr="006E709F">
        <w:t>5.6 of the Act;</w:t>
      </w:r>
    </w:p>
    <w:p w:rsidR="002A22A4" w:rsidRPr="006E709F" w:rsidRDefault="002A22A4" w:rsidP="00A801D0">
      <w:pPr>
        <w:pStyle w:val="paragraph"/>
      </w:pPr>
      <w:r w:rsidRPr="006E709F">
        <w:tab/>
        <w:t>(zf)</w:t>
      </w:r>
      <w:r w:rsidRPr="006E709F">
        <w:tab/>
        <w:t>to do anything that is incidental to exercising a power set out in this clause;</w:t>
      </w:r>
    </w:p>
    <w:p w:rsidR="002A22A4" w:rsidRPr="006E709F" w:rsidRDefault="002A22A4" w:rsidP="00A801D0">
      <w:pPr>
        <w:pStyle w:val="paragraph"/>
      </w:pPr>
      <w:r w:rsidRPr="006E709F">
        <w:tab/>
        <w:t>(zg)</w:t>
      </w:r>
      <w:r w:rsidRPr="006E709F">
        <w:tab/>
        <w:t>to do anything else that is necessary or convenient for the purpose of administering this deed.</w:t>
      </w:r>
    </w:p>
    <w:p w:rsidR="002A22A4" w:rsidRPr="006E709F" w:rsidRDefault="00C44525" w:rsidP="00221306">
      <w:pPr>
        <w:pStyle w:val="ActHead5"/>
      </w:pPr>
      <w:bookmarkStart w:id="33" w:name="_Toc160609725"/>
      <w:r w:rsidRPr="000C4237">
        <w:rPr>
          <w:rStyle w:val="CharSectno"/>
        </w:rPr>
        <w:t>3</w:t>
      </w:r>
      <w:r w:rsidRPr="006E709F">
        <w:t xml:space="preserve">  </w:t>
      </w:r>
      <w:r w:rsidR="002A22A4" w:rsidRPr="006E709F">
        <w:t>Termination of deed where arrangement fails</w:t>
      </w:r>
      <w:bookmarkEnd w:id="33"/>
    </w:p>
    <w:p w:rsidR="002A22A4" w:rsidRPr="006E709F" w:rsidRDefault="002A22A4" w:rsidP="00221306">
      <w:pPr>
        <w:pStyle w:val="subsection"/>
        <w:keepNext/>
        <w:keepLines/>
      </w:pPr>
      <w:r w:rsidRPr="006E709F">
        <w:tab/>
      </w:r>
      <w:r w:rsidRPr="006E709F">
        <w:tab/>
        <w:t>If the administrator or the committee of inspection determines that it is no longer practicable or desirable either to continue to carry on the business of the company or to implement this deed, the administrator:</w:t>
      </w:r>
    </w:p>
    <w:p w:rsidR="002A22A4" w:rsidRPr="006E709F" w:rsidRDefault="002A22A4" w:rsidP="00221306">
      <w:pPr>
        <w:pStyle w:val="paragraph"/>
        <w:keepNext/>
        <w:keepLines/>
      </w:pPr>
      <w:r w:rsidRPr="006E709F">
        <w:tab/>
        <w:t>(a)</w:t>
      </w:r>
      <w:r w:rsidRPr="006E709F">
        <w:tab/>
        <w:t>may cease to carry on the business of the company except so far as is necessary for the beneficial winding up of the company;</w:t>
      </w:r>
    </w:p>
    <w:p w:rsidR="002A22A4" w:rsidRPr="006E709F" w:rsidRDefault="002A22A4" w:rsidP="00A801D0">
      <w:pPr>
        <w:pStyle w:val="paragraph"/>
      </w:pPr>
      <w:r w:rsidRPr="006E709F">
        <w:tab/>
        <w:t>(b)</w:t>
      </w:r>
      <w:r w:rsidRPr="006E709F">
        <w:tab/>
        <w:t>must summon a meeting of creditors for the purpose of passing a resolution under section</w:t>
      </w:r>
      <w:r w:rsidR="00DA13DE" w:rsidRPr="006E709F">
        <w:t> </w:t>
      </w:r>
      <w:r w:rsidRPr="006E709F">
        <w:t>445C(b) of the Act; and</w:t>
      </w:r>
    </w:p>
    <w:p w:rsidR="002A22A4" w:rsidRPr="006E709F" w:rsidRDefault="002A22A4" w:rsidP="00A801D0">
      <w:pPr>
        <w:pStyle w:val="paragraph"/>
      </w:pPr>
      <w:r w:rsidRPr="006E709F">
        <w:tab/>
        <w:t>(c)</w:t>
      </w:r>
      <w:r w:rsidRPr="006E709F">
        <w:tab/>
        <w:t>must forward to each creditor not less than 14 days prior to the meeting an up</w:t>
      </w:r>
      <w:r w:rsidR="000C4237">
        <w:noBreakHyphen/>
      </w:r>
      <w:r w:rsidRPr="006E709F">
        <w:t>to</w:t>
      </w:r>
      <w:r w:rsidR="000C4237">
        <w:noBreakHyphen/>
      </w:r>
      <w:r w:rsidRPr="006E709F">
        <w:t>date report as to the position of the company accompanied by such financial statements as the administrator thinks fit, together with a statement that he or she does not think it practicable or desirable to carry on the business of the company or to continue this deed and that this deed will be terminated if the company’s creditors resolve.</w:t>
      </w:r>
    </w:p>
    <w:p w:rsidR="002A22A4" w:rsidRPr="006E709F" w:rsidRDefault="00C44525" w:rsidP="00A801D0">
      <w:pPr>
        <w:pStyle w:val="ActHead5"/>
      </w:pPr>
      <w:bookmarkStart w:id="34" w:name="_Toc160609726"/>
      <w:r w:rsidRPr="000C4237">
        <w:rPr>
          <w:rStyle w:val="CharSectno"/>
        </w:rPr>
        <w:t>4</w:t>
      </w:r>
      <w:r w:rsidRPr="006E709F">
        <w:t xml:space="preserve">  </w:t>
      </w:r>
      <w:r w:rsidR="002A22A4" w:rsidRPr="006E709F">
        <w:t>Priority</w:t>
      </w:r>
      <w:bookmarkEnd w:id="34"/>
    </w:p>
    <w:p w:rsidR="002A22A4" w:rsidRPr="006E709F" w:rsidRDefault="002A22A4" w:rsidP="00A801D0">
      <w:pPr>
        <w:pStyle w:val="subsection"/>
      </w:pPr>
      <w:r w:rsidRPr="006E709F">
        <w:tab/>
      </w:r>
      <w:r w:rsidRPr="006E709F">
        <w:tab/>
        <w:t>The administrator must apply the property of the company coming under his or her control under this deed in the order of priority specified in section</w:t>
      </w:r>
      <w:r w:rsidR="00DA13DE" w:rsidRPr="006E709F">
        <w:t> </w:t>
      </w:r>
      <w:r w:rsidRPr="006E709F">
        <w:t>556</w:t>
      </w:r>
      <w:r w:rsidR="00B62049" w:rsidRPr="006E709F">
        <w:t>, 560 or 561</w:t>
      </w:r>
      <w:r w:rsidRPr="006E709F">
        <w:t xml:space="preserve"> of the Act.</w:t>
      </w:r>
    </w:p>
    <w:p w:rsidR="002A22A4" w:rsidRPr="006E709F" w:rsidRDefault="00C44525" w:rsidP="00A801D0">
      <w:pPr>
        <w:pStyle w:val="ActHead5"/>
      </w:pPr>
      <w:bookmarkStart w:id="35" w:name="_Toc160609727"/>
      <w:r w:rsidRPr="000C4237">
        <w:rPr>
          <w:rStyle w:val="CharSectno"/>
        </w:rPr>
        <w:t>5</w:t>
      </w:r>
      <w:r w:rsidRPr="006E709F">
        <w:t xml:space="preserve">  </w:t>
      </w:r>
      <w:r w:rsidR="002A22A4" w:rsidRPr="006E709F">
        <w:t>Discharge of debts</w:t>
      </w:r>
      <w:bookmarkEnd w:id="35"/>
    </w:p>
    <w:p w:rsidR="002A22A4" w:rsidRPr="006E709F" w:rsidRDefault="002A22A4" w:rsidP="00A801D0">
      <w:pPr>
        <w:pStyle w:val="subsection"/>
      </w:pPr>
      <w:r w:rsidRPr="006E709F">
        <w:tab/>
      </w:r>
      <w:r w:rsidRPr="006E709F">
        <w:tab/>
        <w:t>The creditors must accept their entitlements under this deed in full satisfaction and complete discharge of all debts or claims which they have or claim to have against the company as at the day when the administration began and each of them will, if called upon to do so, execute and deliver to the company such forms of release of any such claim as the administrator requires.</w:t>
      </w:r>
    </w:p>
    <w:p w:rsidR="002A22A4" w:rsidRPr="006E709F" w:rsidRDefault="00C44525" w:rsidP="00A801D0">
      <w:pPr>
        <w:pStyle w:val="ActHead5"/>
      </w:pPr>
      <w:bookmarkStart w:id="36" w:name="_Toc160609728"/>
      <w:r w:rsidRPr="000C4237">
        <w:rPr>
          <w:rStyle w:val="CharSectno"/>
        </w:rPr>
        <w:t>6</w:t>
      </w:r>
      <w:r w:rsidRPr="006E709F">
        <w:t xml:space="preserve">  </w:t>
      </w:r>
      <w:r w:rsidR="002A22A4" w:rsidRPr="006E709F">
        <w:t>Claims extinguished</w:t>
      </w:r>
      <w:bookmarkEnd w:id="36"/>
    </w:p>
    <w:p w:rsidR="002A22A4" w:rsidRPr="006E709F" w:rsidRDefault="002A22A4" w:rsidP="00A801D0">
      <w:pPr>
        <w:pStyle w:val="subsection"/>
      </w:pPr>
      <w:r w:rsidRPr="006E709F">
        <w:tab/>
      </w:r>
      <w:r w:rsidRPr="006E709F">
        <w:tab/>
        <w:t>If the administrator has paid to the creditors their full entitlements under this deed, all debts or claims, present or future, actual or contingent, due or which may become due by the company as a result of anything done or omitted by or on behalf of the company before the day when the administration began and each claim against the company as a result of anything done or omitted by or on behalf of the company before the day when the administration began is extinguished.</w:t>
      </w:r>
    </w:p>
    <w:p w:rsidR="002A22A4" w:rsidRPr="006E709F" w:rsidRDefault="00C44525" w:rsidP="00A801D0">
      <w:pPr>
        <w:pStyle w:val="ActHead5"/>
      </w:pPr>
      <w:bookmarkStart w:id="37" w:name="_Toc160609729"/>
      <w:r w:rsidRPr="000C4237">
        <w:rPr>
          <w:rStyle w:val="CharSectno"/>
        </w:rPr>
        <w:t>7</w:t>
      </w:r>
      <w:r w:rsidRPr="006E709F">
        <w:t xml:space="preserve">  </w:t>
      </w:r>
      <w:r w:rsidR="002A22A4" w:rsidRPr="006E709F">
        <w:t>Bar to creditors’ claims</w:t>
      </w:r>
      <w:bookmarkEnd w:id="37"/>
    </w:p>
    <w:p w:rsidR="002A22A4" w:rsidRPr="006E709F" w:rsidRDefault="002A22A4" w:rsidP="00A801D0">
      <w:pPr>
        <w:pStyle w:val="subsection"/>
      </w:pPr>
      <w:r w:rsidRPr="006E709F">
        <w:tab/>
      </w:r>
      <w:r w:rsidRPr="006E709F">
        <w:tab/>
        <w:t>Subject to section</w:t>
      </w:r>
      <w:r w:rsidR="00DA13DE" w:rsidRPr="006E709F">
        <w:t> </w:t>
      </w:r>
      <w:r w:rsidRPr="006E709F">
        <w:t>444D of the Act this deed may be pleaded by the company against any creditor in bar of any debt or claim that is admissible under this deed and a creditor (whether the creditor’s debt or claim is or is not admitted or established under this deed) must not, before the termination of this deed:</w:t>
      </w:r>
    </w:p>
    <w:p w:rsidR="002A22A4" w:rsidRPr="006E709F" w:rsidRDefault="002A22A4" w:rsidP="00A801D0">
      <w:pPr>
        <w:pStyle w:val="paragraph"/>
      </w:pPr>
      <w:r w:rsidRPr="006E709F">
        <w:tab/>
        <w:t>(a)</w:t>
      </w:r>
      <w:r w:rsidRPr="006E709F">
        <w:tab/>
        <w:t>take or concur in the taking of any step to wind up the company; or</w:t>
      </w:r>
    </w:p>
    <w:p w:rsidR="002A22A4" w:rsidRPr="006E709F" w:rsidRDefault="002A22A4" w:rsidP="00A801D0">
      <w:pPr>
        <w:pStyle w:val="paragraph"/>
      </w:pPr>
      <w:r w:rsidRPr="006E709F">
        <w:tab/>
        <w:t>(b)</w:t>
      </w:r>
      <w:r w:rsidRPr="006E709F">
        <w:tab/>
        <w:t>except for the purpose and to the extent provided in this deed, institute or prosecute any legal proceedings in relation to any debt incurred or alleged to have been incurred by the company before the day when the administration began; or</w:t>
      </w:r>
    </w:p>
    <w:p w:rsidR="002A22A4" w:rsidRPr="006E709F" w:rsidRDefault="002A22A4" w:rsidP="00A801D0">
      <w:pPr>
        <w:pStyle w:val="paragraph"/>
      </w:pPr>
      <w:r w:rsidRPr="006E709F">
        <w:tab/>
        <w:t>(c)</w:t>
      </w:r>
      <w:r w:rsidRPr="006E709F">
        <w:tab/>
        <w:t>take any further step (including any step by way of legal or equitable execution) in any proceedings pending against or in relation to the company at the day when the administration began; or</w:t>
      </w:r>
    </w:p>
    <w:p w:rsidR="002A22A4" w:rsidRPr="006E709F" w:rsidRDefault="002A22A4" w:rsidP="00A801D0">
      <w:pPr>
        <w:pStyle w:val="paragraph"/>
      </w:pPr>
      <w:r w:rsidRPr="006E709F">
        <w:tab/>
        <w:t>(d)</w:t>
      </w:r>
      <w:r w:rsidRPr="006E709F">
        <w:tab/>
        <w:t>exercise any right of set</w:t>
      </w:r>
      <w:r w:rsidR="000C4237">
        <w:noBreakHyphen/>
      </w:r>
      <w:r w:rsidRPr="006E709F">
        <w:t>off or cross</w:t>
      </w:r>
      <w:r w:rsidR="000C4237">
        <w:noBreakHyphen/>
      </w:r>
      <w:r w:rsidRPr="006E709F">
        <w:t>action to which the creditor would not have been entitled had the company been wound up at the day when the administration began; or</w:t>
      </w:r>
    </w:p>
    <w:p w:rsidR="002A22A4" w:rsidRPr="006E709F" w:rsidRDefault="002A22A4" w:rsidP="00A801D0">
      <w:pPr>
        <w:pStyle w:val="paragraph"/>
      </w:pPr>
      <w:r w:rsidRPr="006E709F">
        <w:tab/>
        <w:t>(e)</w:t>
      </w:r>
      <w:r w:rsidRPr="006E709F">
        <w:tab/>
        <w:t>commence or take any further step in any arbitration against the company or to which the company is a party.</w:t>
      </w:r>
    </w:p>
    <w:p w:rsidR="00B62049" w:rsidRPr="006E709F" w:rsidRDefault="00C44525" w:rsidP="00A801D0">
      <w:pPr>
        <w:pStyle w:val="ActHead5"/>
      </w:pPr>
      <w:bookmarkStart w:id="38" w:name="_Toc160609730"/>
      <w:r w:rsidRPr="000C4237">
        <w:rPr>
          <w:rStyle w:val="CharSectno"/>
        </w:rPr>
        <w:t>8</w:t>
      </w:r>
      <w:r w:rsidRPr="006E709F">
        <w:t xml:space="preserve">  </w:t>
      </w:r>
      <w:r w:rsidR="00B62049" w:rsidRPr="006E709F">
        <w:t>Making claims</w:t>
      </w:r>
      <w:bookmarkEnd w:id="38"/>
    </w:p>
    <w:p w:rsidR="00B62049" w:rsidRPr="006E709F" w:rsidRDefault="00B62049" w:rsidP="00A801D0">
      <w:pPr>
        <w:pStyle w:val="subsection"/>
      </w:pPr>
      <w:r w:rsidRPr="006E709F">
        <w:tab/>
        <w:t>(1)</w:t>
      </w:r>
      <w:r w:rsidRPr="006E709F">
        <w:tab/>
        <w:t xml:space="preserve">Subdivisions A, B, C and E of </w:t>
      </w:r>
      <w:r w:rsidR="00A801D0" w:rsidRPr="006E709F">
        <w:t>Division</w:t>
      </w:r>
      <w:r w:rsidR="00DA13DE" w:rsidRPr="006E709F">
        <w:t> </w:t>
      </w:r>
      <w:r w:rsidRPr="006E709F">
        <w:t xml:space="preserve">6 of </w:t>
      </w:r>
      <w:r w:rsidR="00A801D0" w:rsidRPr="006E709F">
        <w:t>Part</w:t>
      </w:r>
      <w:r w:rsidR="00DA13DE" w:rsidRPr="006E709F">
        <w:t> </w:t>
      </w:r>
      <w:r w:rsidRPr="006E709F">
        <w:t xml:space="preserve">5.6 of the </w:t>
      </w:r>
      <w:r w:rsidRPr="006E709F">
        <w:rPr>
          <w:i/>
        </w:rPr>
        <w:t>Corporations Act 2001</w:t>
      </w:r>
      <w:r w:rsidRPr="006E709F">
        <w:t xml:space="preserve"> apply to claims made under this deed as if the references to the liquidator were references to the administrator of this deed.</w:t>
      </w:r>
    </w:p>
    <w:p w:rsidR="00B62049" w:rsidRPr="006E709F" w:rsidRDefault="00B62049" w:rsidP="00A801D0">
      <w:pPr>
        <w:pStyle w:val="subsection"/>
      </w:pPr>
      <w:r w:rsidRPr="006E709F">
        <w:tab/>
        <w:t>(2)</w:t>
      </w:r>
      <w:r w:rsidRPr="006E709F">
        <w:tab/>
        <w:t xml:space="preserve">For </w:t>
      </w:r>
      <w:r w:rsidR="00DA13DE" w:rsidRPr="006E709F">
        <w:t>subclause (</w:t>
      </w:r>
      <w:r w:rsidRPr="006E709F">
        <w:t xml:space="preserve">1), the remainder of that Act, and the </w:t>
      </w:r>
      <w:r w:rsidRPr="006E709F">
        <w:rPr>
          <w:i/>
        </w:rPr>
        <w:t xml:space="preserve">Corporations </w:t>
      </w:r>
      <w:r w:rsidR="000C4237">
        <w:rPr>
          <w:i/>
        </w:rPr>
        <w:t>Regulations 2</w:t>
      </w:r>
      <w:r w:rsidRPr="006E709F">
        <w:rPr>
          <w:i/>
        </w:rPr>
        <w:t>001</w:t>
      </w:r>
      <w:r w:rsidRPr="006E709F">
        <w:t>, are taken to apply, as far as practicable, as if:</w:t>
      </w:r>
    </w:p>
    <w:p w:rsidR="00B62049" w:rsidRPr="006E709F" w:rsidRDefault="00B62049" w:rsidP="00A801D0">
      <w:pPr>
        <w:pStyle w:val="paragraph"/>
      </w:pPr>
      <w:r w:rsidRPr="006E709F">
        <w:tab/>
        <w:t>(a)</w:t>
      </w:r>
      <w:r w:rsidRPr="006E709F">
        <w:tab/>
        <w:t>a reference that is relevant to the liquidator were a reference in a form that is applicable to the administrator; and</w:t>
      </w:r>
    </w:p>
    <w:p w:rsidR="00B62049" w:rsidRPr="006E709F" w:rsidRDefault="00B62049" w:rsidP="00A801D0">
      <w:pPr>
        <w:pStyle w:val="paragraph"/>
      </w:pPr>
      <w:r w:rsidRPr="006E709F">
        <w:tab/>
        <w:t>(b)</w:t>
      </w:r>
      <w:r w:rsidRPr="006E709F">
        <w:tab/>
        <w:t>a reference that is relevant to any other matter relating to liquidation were a reference in a form that is applicable to the administration of this deed; and</w:t>
      </w:r>
    </w:p>
    <w:p w:rsidR="00B62049" w:rsidRPr="006E709F" w:rsidRDefault="00B62049" w:rsidP="00A801D0">
      <w:pPr>
        <w:pStyle w:val="paragraph"/>
      </w:pPr>
      <w:r w:rsidRPr="006E709F">
        <w:tab/>
        <w:t>(c)</w:t>
      </w:r>
      <w:r w:rsidRPr="006E709F">
        <w:tab/>
        <w:t xml:space="preserve">a reference to a </w:t>
      </w:r>
      <w:r w:rsidRPr="006E709F">
        <w:rPr>
          <w:b/>
          <w:i/>
        </w:rPr>
        <w:t xml:space="preserve">relevant date </w:t>
      </w:r>
      <w:r w:rsidRPr="006E709F">
        <w:t xml:space="preserve">were a reference to </w:t>
      </w:r>
      <w:r w:rsidRPr="006E709F">
        <w:rPr>
          <w:color w:val="000000"/>
        </w:rPr>
        <w:t>the date of the administrator’s appointment .</w:t>
      </w:r>
    </w:p>
    <w:p w:rsidR="002A22A4" w:rsidRPr="006E709F" w:rsidRDefault="00C44525" w:rsidP="00A801D0">
      <w:pPr>
        <w:pStyle w:val="ActHead5"/>
      </w:pPr>
      <w:bookmarkStart w:id="39" w:name="_Toc160609731"/>
      <w:r w:rsidRPr="000C4237">
        <w:rPr>
          <w:rStyle w:val="CharSectno"/>
        </w:rPr>
        <w:t>10</w:t>
      </w:r>
      <w:r w:rsidRPr="006E709F">
        <w:t xml:space="preserve">  </w:t>
      </w:r>
      <w:r w:rsidR="002A22A4" w:rsidRPr="006E709F">
        <w:t>Lodging of accounts</w:t>
      </w:r>
      <w:bookmarkEnd w:id="39"/>
    </w:p>
    <w:p w:rsidR="0048795D" w:rsidRPr="006E709F" w:rsidRDefault="002A22A4" w:rsidP="00A801D0">
      <w:pPr>
        <w:pStyle w:val="subsection"/>
      </w:pPr>
      <w:r w:rsidRPr="006E709F">
        <w:tab/>
      </w:r>
      <w:r w:rsidRPr="006E709F">
        <w:tab/>
      </w:r>
      <w:r w:rsidR="00B62049" w:rsidRPr="006E709F">
        <w:t>Section</w:t>
      </w:r>
      <w:r w:rsidR="00DA13DE" w:rsidRPr="006E709F">
        <w:t> </w:t>
      </w:r>
      <w:r w:rsidR="00B62049" w:rsidRPr="006E709F">
        <w:t>434 of the Act applies</w:t>
      </w:r>
      <w:r w:rsidRPr="006E709F">
        <w:t xml:space="preserve"> to the administrator as if the reference to a controller were a reference to the administrator of this deed.</w:t>
      </w:r>
    </w:p>
    <w:p w:rsidR="002A22A4" w:rsidRPr="006E709F" w:rsidRDefault="00C44525" w:rsidP="00A801D0">
      <w:pPr>
        <w:pStyle w:val="ActHead5"/>
      </w:pPr>
      <w:bookmarkStart w:id="40" w:name="_Toc160609732"/>
      <w:r w:rsidRPr="000C4237">
        <w:rPr>
          <w:rStyle w:val="CharSectno"/>
        </w:rPr>
        <w:t>11</w:t>
      </w:r>
      <w:r w:rsidRPr="006E709F">
        <w:t xml:space="preserve">  </w:t>
      </w:r>
      <w:r w:rsidR="002A22A4" w:rsidRPr="006E709F">
        <w:t>Committee of inspection</w:t>
      </w:r>
      <w:bookmarkEnd w:id="40"/>
    </w:p>
    <w:p w:rsidR="002A22A4" w:rsidRPr="006E709F" w:rsidRDefault="002A22A4" w:rsidP="00A801D0">
      <w:pPr>
        <w:pStyle w:val="subsection"/>
      </w:pPr>
      <w:r w:rsidRPr="006E709F">
        <w:tab/>
      </w:r>
      <w:r w:rsidRPr="006E709F">
        <w:tab/>
        <w:t xml:space="preserve">For the purpose of advising and assisting the administrator of this deed, </w:t>
      </w:r>
      <w:r w:rsidR="00B62049" w:rsidRPr="006E709F">
        <w:t>there may be</w:t>
      </w:r>
      <w:r w:rsidRPr="006E709F">
        <w:t xml:space="preserve"> a committee of inspection (the</w:t>
      </w:r>
      <w:r w:rsidRPr="006E709F">
        <w:rPr>
          <w:b/>
          <w:i/>
        </w:rPr>
        <w:t xml:space="preserve"> committee</w:t>
      </w:r>
      <w:r w:rsidRPr="006E709F">
        <w:t>) to which the following rules apply:</w:t>
      </w:r>
    </w:p>
    <w:p w:rsidR="002A22A4" w:rsidRPr="006E709F" w:rsidRDefault="002A22A4" w:rsidP="00A801D0">
      <w:pPr>
        <w:pStyle w:val="paragraph"/>
      </w:pPr>
      <w:r w:rsidRPr="006E709F">
        <w:tab/>
        <w:t>(a)</w:t>
      </w:r>
      <w:r w:rsidRPr="006E709F">
        <w:tab/>
        <w:t>the committee must consist of at least 3 and not more than 5 members;</w:t>
      </w:r>
    </w:p>
    <w:p w:rsidR="002A22A4" w:rsidRPr="006E709F" w:rsidRDefault="002A22A4" w:rsidP="00A801D0">
      <w:pPr>
        <w:pStyle w:val="paragraph"/>
      </w:pPr>
      <w:r w:rsidRPr="006E709F">
        <w:tab/>
        <w:t>(b)</w:t>
      </w:r>
      <w:r w:rsidRPr="006E709F">
        <w:tab/>
        <w:t>the creditors must appoint the members in a general meeting;</w:t>
      </w:r>
    </w:p>
    <w:p w:rsidR="002A22A4" w:rsidRPr="006E709F" w:rsidRDefault="002A22A4" w:rsidP="00A801D0">
      <w:pPr>
        <w:pStyle w:val="paragraph"/>
      </w:pPr>
      <w:r w:rsidRPr="006E709F">
        <w:tab/>
        <w:t>(c)</w:t>
      </w:r>
      <w:r w:rsidRPr="006E709F">
        <w:tab/>
        <w:t>a creditor is not entitled to have more than one representative (including the creditor himself or herself, if a natural person) on the committee;</w:t>
      </w:r>
    </w:p>
    <w:p w:rsidR="002A22A4" w:rsidRPr="006E709F" w:rsidRDefault="002A22A4" w:rsidP="00A801D0">
      <w:pPr>
        <w:pStyle w:val="paragraph"/>
      </w:pPr>
      <w:r w:rsidRPr="006E709F">
        <w:tab/>
        <w:t>(d)</w:t>
      </w:r>
      <w:r w:rsidRPr="006E709F">
        <w:tab/>
        <w:t>minutes of all resolutions and proceedings of each meeting of the committee must be made and duly entered in books to be provided from time to time for that purpose by the administrator under this deed;</w:t>
      </w:r>
    </w:p>
    <w:p w:rsidR="002A22A4" w:rsidRPr="006E709F" w:rsidRDefault="002A22A4" w:rsidP="00A801D0">
      <w:pPr>
        <w:pStyle w:val="paragraph"/>
      </w:pPr>
      <w:r w:rsidRPr="006E709F">
        <w:tab/>
        <w:t>(e)</w:t>
      </w:r>
      <w:r w:rsidRPr="006E709F">
        <w:tab/>
        <w:t xml:space="preserve">if the minutes of a meeting purport to be signed by the chairperson of the meeting at which the resolutions were passed or proceedings taken or by the chairperson of the next meeting of the committee, the minutes are </w:t>
      </w:r>
      <w:r w:rsidRPr="006E709F">
        <w:rPr>
          <w:i/>
        </w:rPr>
        <w:t xml:space="preserve">prima facie </w:t>
      </w:r>
      <w:r w:rsidRPr="006E709F">
        <w:t>evidence of the matters contained in them;</w:t>
      </w:r>
    </w:p>
    <w:p w:rsidR="002A22A4" w:rsidRPr="006E709F" w:rsidRDefault="002A22A4" w:rsidP="00A801D0">
      <w:pPr>
        <w:pStyle w:val="paragraph"/>
      </w:pPr>
      <w:r w:rsidRPr="006E709F">
        <w:tab/>
        <w:t>(f)</w:t>
      </w:r>
      <w:r w:rsidRPr="006E709F">
        <w:tab/>
        <w:t>unless the contrary is proved, the meeting is taken to have been duly had and convened and all resolutions passed and proceedings taken at the meeting are taken to have been duly passed and taken;</w:t>
      </w:r>
    </w:p>
    <w:p w:rsidR="002A22A4" w:rsidRPr="006E709F" w:rsidRDefault="002A22A4" w:rsidP="00A801D0">
      <w:pPr>
        <w:pStyle w:val="paragraph"/>
      </w:pPr>
      <w:r w:rsidRPr="006E709F">
        <w:tab/>
        <w:t>(g)</w:t>
      </w:r>
      <w:r w:rsidRPr="006E709F">
        <w:tab/>
        <w:t>a corporation (being otherwise qualified for membership of the committee) is not entitled to be a member of the committee but may appoint a person to represent it on the committee;</w:t>
      </w:r>
    </w:p>
    <w:p w:rsidR="002A22A4" w:rsidRPr="006E709F" w:rsidRDefault="002A22A4" w:rsidP="00A801D0">
      <w:pPr>
        <w:pStyle w:val="paragraph"/>
      </w:pPr>
      <w:r w:rsidRPr="006E709F">
        <w:tab/>
        <w:t>(h)</w:t>
      </w:r>
      <w:r w:rsidRPr="006E709F">
        <w:tab/>
        <w:t>subsection</w:t>
      </w:r>
      <w:r w:rsidR="00DA13DE" w:rsidRPr="006E709F">
        <w:t> </w:t>
      </w:r>
      <w:r w:rsidRPr="006E709F">
        <w:t>548(3) and sections</w:t>
      </w:r>
      <w:r w:rsidR="00DA13DE" w:rsidRPr="006E709F">
        <w:t> </w:t>
      </w:r>
      <w:r w:rsidRPr="006E709F">
        <w:t>549, 550 and 551 of the Act apply, with such modifications as are necessary, to a committee of inspection established under this deed as if the references to the liquidator were references to the administrator of this deed and the references to contributories were deleted.</w:t>
      </w:r>
    </w:p>
    <w:p w:rsidR="002A22A4" w:rsidRPr="006E709F" w:rsidRDefault="00C44525" w:rsidP="00A801D0">
      <w:pPr>
        <w:pStyle w:val="ActHead5"/>
      </w:pPr>
      <w:bookmarkStart w:id="41" w:name="_Toc160609733"/>
      <w:r w:rsidRPr="000C4237">
        <w:rPr>
          <w:rStyle w:val="CharSectno"/>
        </w:rPr>
        <w:t>12</w:t>
      </w:r>
      <w:r w:rsidRPr="006E709F">
        <w:t xml:space="preserve">  </w:t>
      </w:r>
      <w:r w:rsidR="002A22A4" w:rsidRPr="006E709F">
        <w:t>Termination of deed where arrangement achieves purpose</w:t>
      </w:r>
      <w:bookmarkEnd w:id="41"/>
    </w:p>
    <w:p w:rsidR="002A22A4" w:rsidRPr="006E709F" w:rsidRDefault="002A22A4" w:rsidP="00A801D0">
      <w:pPr>
        <w:pStyle w:val="subsection"/>
      </w:pPr>
      <w:r w:rsidRPr="006E709F">
        <w:tab/>
      </w:r>
      <w:r w:rsidRPr="006E709F">
        <w:tab/>
        <w:t>If the administrator has applied all of the proceeds of the realisation of the assets available for the payment of creditors or has paid to the creditors the sum of 100 cents in the dollar or any lesser sum determined by the creditors at a general meeting, the administrator must certify to that effect in writing and must within 28 days lodge with ASIC a notice of termination of this deed in the following form:</w:t>
      </w:r>
    </w:p>
    <w:p w:rsidR="002A22A4" w:rsidRPr="006E709F" w:rsidRDefault="002A22A4" w:rsidP="00E376FA">
      <w:pPr>
        <w:spacing w:before="400"/>
        <w:jc w:val="center"/>
        <w:rPr>
          <w:rFonts w:cs="Times New Roman"/>
        </w:rPr>
      </w:pPr>
      <w:r w:rsidRPr="006E709F">
        <w:rPr>
          <w:rFonts w:cs="Times New Roman"/>
        </w:rPr>
        <w:t>‘X PTY LIMITED</w:t>
      </w:r>
    </w:p>
    <w:p w:rsidR="002A22A4" w:rsidRPr="006E709F" w:rsidRDefault="002A22A4" w:rsidP="00A801D0">
      <w:pPr>
        <w:pStyle w:val="subsection"/>
      </w:pPr>
      <w:r w:rsidRPr="006E709F">
        <w:tab/>
      </w:r>
      <w:r w:rsidRPr="006E709F">
        <w:tab/>
        <w:t>I, (</w:t>
      </w:r>
      <w:r w:rsidRPr="006E709F">
        <w:rPr>
          <w:i/>
        </w:rPr>
        <w:t>insert name and address</w:t>
      </w:r>
      <w:r w:rsidRPr="006E709F">
        <w:t>) as administrator of the deed of company arrangement executed on (</w:t>
      </w:r>
      <w:r w:rsidRPr="006E709F">
        <w:rPr>
          <w:i/>
        </w:rPr>
        <w:t>insert date</w:t>
      </w:r>
      <w:r w:rsidRPr="006E709F">
        <w:t xml:space="preserve">), </w:t>
      </w:r>
      <w:r w:rsidRPr="006E709F">
        <w:rPr>
          <w:u w:val="single"/>
        </w:rPr>
        <w:t>CERTIFY</w:t>
      </w:r>
      <w:r w:rsidRPr="006E709F">
        <w:t xml:space="preserve"> that the deed has been wholly effectuated.’,</w:t>
      </w:r>
    </w:p>
    <w:p w:rsidR="002A22A4" w:rsidRPr="006E709F" w:rsidRDefault="002A22A4" w:rsidP="00A801D0">
      <w:pPr>
        <w:pStyle w:val="subsection"/>
      </w:pPr>
      <w:r w:rsidRPr="006E709F">
        <w:tab/>
      </w:r>
      <w:r w:rsidRPr="006E709F">
        <w:tab/>
        <w:t>and the execution of the notice terminates this deed, but nothing in this clause relieves the administrator of his or her obligations under clause</w:t>
      </w:r>
      <w:r w:rsidR="00DA13DE" w:rsidRPr="006E709F">
        <w:t> </w:t>
      </w:r>
      <w:r w:rsidRPr="006E709F">
        <w:t>10 of this deed.</w:t>
      </w:r>
    </w:p>
    <w:p w:rsidR="00FF337F" w:rsidRPr="006E709F" w:rsidRDefault="00FF337F" w:rsidP="00FF337F">
      <w:pPr>
        <w:sectPr w:rsidR="00FF337F" w:rsidRPr="006E709F" w:rsidSect="0052661F">
          <w:headerReference w:type="even" r:id="rId39"/>
          <w:headerReference w:type="default" r:id="rId40"/>
          <w:footerReference w:type="even" r:id="rId41"/>
          <w:footerReference w:type="default" r:id="rId42"/>
          <w:headerReference w:type="first" r:id="rId43"/>
          <w:footerReference w:type="first" r:id="rId44"/>
          <w:pgSz w:w="11907" w:h="16839" w:code="9"/>
          <w:pgMar w:top="2325" w:right="1797" w:bottom="1440" w:left="1797" w:header="720" w:footer="709" w:gutter="0"/>
          <w:cols w:space="720"/>
          <w:docGrid w:linePitch="299"/>
        </w:sectPr>
      </w:pPr>
    </w:p>
    <w:p w:rsidR="00BB28C2" w:rsidRPr="006E709F" w:rsidRDefault="00A801D0" w:rsidP="00A801D0">
      <w:pPr>
        <w:pStyle w:val="ActHead1"/>
        <w:pageBreakBefore/>
      </w:pPr>
      <w:bookmarkStart w:id="42" w:name="_Toc160609734"/>
      <w:r w:rsidRPr="000C4237">
        <w:rPr>
          <w:rStyle w:val="CharChapNo"/>
        </w:rPr>
        <w:t>Schedule</w:t>
      </w:r>
      <w:r w:rsidR="00DA13DE" w:rsidRPr="000C4237">
        <w:rPr>
          <w:rStyle w:val="CharChapNo"/>
        </w:rPr>
        <w:t> </w:t>
      </w:r>
      <w:r w:rsidR="00BB28C2" w:rsidRPr="000C4237">
        <w:rPr>
          <w:rStyle w:val="CharChapNo"/>
        </w:rPr>
        <w:t>8AA</w:t>
      </w:r>
      <w:r w:rsidRPr="006E709F">
        <w:t>—</w:t>
      </w:r>
      <w:r w:rsidR="00BB28C2" w:rsidRPr="000C4237">
        <w:rPr>
          <w:rStyle w:val="CharChapText"/>
        </w:rPr>
        <w:t>Trustee companies</w:t>
      </w:r>
      <w:bookmarkEnd w:id="42"/>
    </w:p>
    <w:p w:rsidR="005A7F57" w:rsidRPr="006E709F" w:rsidRDefault="005A7F57" w:rsidP="005A7F57">
      <w:pPr>
        <w:pStyle w:val="notemargin"/>
      </w:pPr>
      <w:r w:rsidRPr="006E709F">
        <w:t>(regulation 5D.1.01A)</w:t>
      </w:r>
    </w:p>
    <w:p w:rsidR="00B13146" w:rsidRPr="006E709F" w:rsidRDefault="00B13146" w:rsidP="00B13146">
      <w:pPr>
        <w:pStyle w:val="Header"/>
      </w:pPr>
      <w:r w:rsidRPr="000C4237">
        <w:rPr>
          <w:rStyle w:val="CharPartNo"/>
        </w:rPr>
        <w:t xml:space="preserve"> </w:t>
      </w:r>
      <w:r w:rsidRPr="000C4237">
        <w:rPr>
          <w:rStyle w:val="CharPartText"/>
        </w:rPr>
        <w:t xml:space="preserve"> </w:t>
      </w:r>
    </w:p>
    <w:p w:rsidR="005133DE" w:rsidRPr="006E709F" w:rsidRDefault="005133DE" w:rsidP="005133DE">
      <w:pPr>
        <w:pStyle w:val="Tabletext"/>
        <w:rPr>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64"/>
        <w:gridCol w:w="7565"/>
      </w:tblGrid>
      <w:tr w:rsidR="00BB28C2" w:rsidRPr="006E709F" w:rsidTr="00E118FA">
        <w:trPr>
          <w:tblHeader/>
        </w:trPr>
        <w:tc>
          <w:tcPr>
            <w:tcW w:w="565" w:type="pct"/>
            <w:tcBorders>
              <w:top w:val="single" w:sz="12" w:space="0" w:color="auto"/>
              <w:bottom w:val="single" w:sz="12" w:space="0" w:color="auto"/>
            </w:tcBorders>
            <w:shd w:val="clear" w:color="auto" w:fill="auto"/>
          </w:tcPr>
          <w:p w:rsidR="00BB28C2" w:rsidRPr="006E709F" w:rsidRDefault="00BB28C2" w:rsidP="008C457C">
            <w:pPr>
              <w:pStyle w:val="TableHeading"/>
            </w:pPr>
            <w:r w:rsidRPr="006E709F">
              <w:t>Item</w:t>
            </w:r>
          </w:p>
        </w:tc>
        <w:tc>
          <w:tcPr>
            <w:tcW w:w="4435" w:type="pct"/>
            <w:tcBorders>
              <w:top w:val="single" w:sz="12" w:space="0" w:color="auto"/>
              <w:bottom w:val="single" w:sz="12" w:space="0" w:color="auto"/>
            </w:tcBorders>
            <w:shd w:val="clear" w:color="auto" w:fill="auto"/>
          </w:tcPr>
          <w:p w:rsidR="00BB28C2" w:rsidRPr="006E709F" w:rsidRDefault="00BB28C2" w:rsidP="008C457C">
            <w:pPr>
              <w:pStyle w:val="TableHeading"/>
            </w:pPr>
            <w:r w:rsidRPr="006E709F">
              <w:t>Trustee companies</w:t>
            </w:r>
          </w:p>
        </w:tc>
      </w:tr>
      <w:tr w:rsidR="00BB28C2" w:rsidRPr="006E709F" w:rsidTr="00E118FA">
        <w:tc>
          <w:tcPr>
            <w:tcW w:w="565" w:type="pct"/>
            <w:tcBorders>
              <w:top w:val="single" w:sz="12" w:space="0" w:color="auto"/>
            </w:tcBorders>
            <w:shd w:val="clear" w:color="auto" w:fill="auto"/>
          </w:tcPr>
          <w:p w:rsidR="00BB28C2" w:rsidRPr="006E709F" w:rsidRDefault="00BB28C2" w:rsidP="00A801D0">
            <w:pPr>
              <w:pStyle w:val="Tabletext"/>
            </w:pPr>
            <w:r w:rsidRPr="006E709F">
              <w:t>1</w:t>
            </w:r>
          </w:p>
        </w:tc>
        <w:tc>
          <w:tcPr>
            <w:tcW w:w="4435" w:type="pct"/>
            <w:tcBorders>
              <w:top w:val="single" w:sz="12" w:space="0" w:color="auto"/>
            </w:tcBorders>
            <w:shd w:val="clear" w:color="auto" w:fill="auto"/>
          </w:tcPr>
          <w:p w:rsidR="00BB28C2" w:rsidRPr="006E709F" w:rsidRDefault="00BB28C2" w:rsidP="00A801D0">
            <w:pPr>
              <w:pStyle w:val="Tabletext"/>
            </w:pPr>
            <w:r w:rsidRPr="006E709F">
              <w:t>ANZ Trustees (Canberra) Limited</w:t>
            </w:r>
          </w:p>
        </w:tc>
      </w:tr>
      <w:tr w:rsidR="00BB28C2" w:rsidRPr="006E709F" w:rsidTr="00E118FA">
        <w:tc>
          <w:tcPr>
            <w:tcW w:w="565" w:type="pct"/>
            <w:shd w:val="clear" w:color="auto" w:fill="auto"/>
          </w:tcPr>
          <w:p w:rsidR="00BB28C2" w:rsidRPr="006E709F" w:rsidRDefault="00BB28C2" w:rsidP="00A801D0">
            <w:pPr>
              <w:pStyle w:val="Tabletext"/>
            </w:pPr>
            <w:r w:rsidRPr="006E709F">
              <w:t>2</w:t>
            </w:r>
          </w:p>
        </w:tc>
        <w:tc>
          <w:tcPr>
            <w:tcW w:w="4435" w:type="pct"/>
            <w:shd w:val="clear" w:color="auto" w:fill="auto"/>
          </w:tcPr>
          <w:p w:rsidR="00BB28C2" w:rsidRPr="006E709F" w:rsidRDefault="00BB28C2" w:rsidP="00A801D0">
            <w:pPr>
              <w:pStyle w:val="Tabletext"/>
            </w:pPr>
            <w:r w:rsidRPr="006E709F">
              <w:t>ANZ Trustees Limited</w:t>
            </w:r>
          </w:p>
        </w:tc>
      </w:tr>
      <w:tr w:rsidR="00BB28C2" w:rsidRPr="006E709F" w:rsidTr="00E118FA">
        <w:tc>
          <w:tcPr>
            <w:tcW w:w="565" w:type="pct"/>
            <w:shd w:val="clear" w:color="auto" w:fill="auto"/>
          </w:tcPr>
          <w:p w:rsidR="00BB28C2" w:rsidRPr="006E709F" w:rsidRDefault="00BB28C2" w:rsidP="00A801D0">
            <w:pPr>
              <w:pStyle w:val="Tabletext"/>
            </w:pPr>
            <w:r w:rsidRPr="006E709F">
              <w:t>3</w:t>
            </w:r>
          </w:p>
        </w:tc>
        <w:tc>
          <w:tcPr>
            <w:tcW w:w="4435" w:type="pct"/>
            <w:shd w:val="clear" w:color="auto" w:fill="auto"/>
          </w:tcPr>
          <w:p w:rsidR="00BB28C2" w:rsidRPr="006E709F" w:rsidRDefault="00BB28C2" w:rsidP="00A801D0">
            <w:pPr>
              <w:pStyle w:val="Tabletext"/>
            </w:pPr>
            <w:r w:rsidRPr="006E709F">
              <w:t>Australian Executor Trustees Limited</w:t>
            </w:r>
          </w:p>
        </w:tc>
      </w:tr>
      <w:tr w:rsidR="00BB28C2" w:rsidRPr="006E709F" w:rsidTr="00E118FA">
        <w:tc>
          <w:tcPr>
            <w:tcW w:w="565" w:type="pct"/>
            <w:shd w:val="clear" w:color="auto" w:fill="auto"/>
          </w:tcPr>
          <w:p w:rsidR="00BB28C2" w:rsidRPr="006E709F" w:rsidRDefault="00BB28C2" w:rsidP="00A801D0">
            <w:pPr>
              <w:pStyle w:val="Tabletext"/>
            </w:pPr>
            <w:r w:rsidRPr="006E709F">
              <w:t>4</w:t>
            </w:r>
          </w:p>
        </w:tc>
        <w:tc>
          <w:tcPr>
            <w:tcW w:w="4435" w:type="pct"/>
            <w:shd w:val="clear" w:color="auto" w:fill="auto"/>
          </w:tcPr>
          <w:p w:rsidR="00BB28C2" w:rsidRPr="006E709F" w:rsidRDefault="00BB28C2" w:rsidP="00A801D0">
            <w:pPr>
              <w:pStyle w:val="Tabletext"/>
            </w:pPr>
            <w:r w:rsidRPr="006E709F">
              <w:t>Australian Executor Trustees (Canberra) Limited</w:t>
            </w:r>
          </w:p>
        </w:tc>
      </w:tr>
      <w:tr w:rsidR="00BB28C2" w:rsidRPr="006E709F" w:rsidTr="00E118FA">
        <w:tc>
          <w:tcPr>
            <w:tcW w:w="565" w:type="pct"/>
            <w:shd w:val="clear" w:color="auto" w:fill="auto"/>
          </w:tcPr>
          <w:p w:rsidR="00BB28C2" w:rsidRPr="006E709F" w:rsidRDefault="00BB28C2" w:rsidP="00A801D0">
            <w:pPr>
              <w:pStyle w:val="Tabletext"/>
            </w:pPr>
            <w:r w:rsidRPr="006E709F">
              <w:t>5</w:t>
            </w:r>
          </w:p>
        </w:tc>
        <w:tc>
          <w:tcPr>
            <w:tcW w:w="4435" w:type="pct"/>
            <w:shd w:val="clear" w:color="auto" w:fill="auto"/>
          </w:tcPr>
          <w:p w:rsidR="00BB28C2" w:rsidRPr="006E709F" w:rsidRDefault="00BB28C2" w:rsidP="00A801D0">
            <w:pPr>
              <w:pStyle w:val="Tabletext"/>
            </w:pPr>
            <w:r w:rsidRPr="006E709F">
              <w:t>Australian Executor Trustees (NSW) Limited</w:t>
            </w:r>
          </w:p>
        </w:tc>
      </w:tr>
      <w:tr w:rsidR="00BB28C2" w:rsidRPr="006E709F" w:rsidTr="00E118FA">
        <w:tc>
          <w:tcPr>
            <w:tcW w:w="565" w:type="pct"/>
            <w:shd w:val="clear" w:color="auto" w:fill="auto"/>
          </w:tcPr>
          <w:p w:rsidR="00BB28C2" w:rsidRPr="006E709F" w:rsidRDefault="00BB28C2" w:rsidP="00A801D0">
            <w:pPr>
              <w:pStyle w:val="Tabletext"/>
            </w:pPr>
            <w:r w:rsidRPr="006E709F">
              <w:t>6</w:t>
            </w:r>
          </w:p>
        </w:tc>
        <w:tc>
          <w:tcPr>
            <w:tcW w:w="4435" w:type="pct"/>
            <w:shd w:val="clear" w:color="auto" w:fill="auto"/>
          </w:tcPr>
          <w:p w:rsidR="00BB28C2" w:rsidRPr="006E709F" w:rsidRDefault="00BB28C2" w:rsidP="00A801D0">
            <w:pPr>
              <w:pStyle w:val="Tabletext"/>
            </w:pPr>
            <w:r w:rsidRPr="006E709F">
              <w:t>Australian Executor Trustees (SA) Limited</w:t>
            </w:r>
          </w:p>
        </w:tc>
      </w:tr>
      <w:tr w:rsidR="00AB05FF" w:rsidRPr="006E709F" w:rsidTr="00E118FA">
        <w:tc>
          <w:tcPr>
            <w:tcW w:w="565" w:type="pct"/>
            <w:shd w:val="clear" w:color="auto" w:fill="auto"/>
          </w:tcPr>
          <w:p w:rsidR="00AB05FF" w:rsidRPr="006E709F" w:rsidRDefault="00AB05FF" w:rsidP="00A801D0">
            <w:pPr>
              <w:pStyle w:val="Tabletext"/>
            </w:pPr>
            <w:r w:rsidRPr="006E709F">
              <w:t>6A</w:t>
            </w:r>
          </w:p>
        </w:tc>
        <w:tc>
          <w:tcPr>
            <w:tcW w:w="4435" w:type="pct"/>
            <w:shd w:val="clear" w:color="auto" w:fill="auto"/>
          </w:tcPr>
          <w:p w:rsidR="00AB05FF" w:rsidRPr="006E709F" w:rsidRDefault="00AB05FF" w:rsidP="00A801D0">
            <w:pPr>
              <w:pStyle w:val="Tabletext"/>
            </w:pPr>
            <w:r w:rsidRPr="006E709F">
              <w:t>Australian Unity Trustees Limited</w:t>
            </w:r>
          </w:p>
        </w:tc>
      </w:tr>
      <w:tr w:rsidR="00AB05FF" w:rsidRPr="006E709F" w:rsidTr="00E118FA">
        <w:tc>
          <w:tcPr>
            <w:tcW w:w="565" w:type="pct"/>
            <w:shd w:val="clear" w:color="auto" w:fill="auto"/>
          </w:tcPr>
          <w:p w:rsidR="00AB05FF" w:rsidRPr="006E709F" w:rsidRDefault="00AB05FF" w:rsidP="00A801D0">
            <w:pPr>
              <w:pStyle w:val="Tabletext"/>
            </w:pPr>
            <w:r w:rsidRPr="006E709F">
              <w:t>7</w:t>
            </w:r>
          </w:p>
        </w:tc>
        <w:tc>
          <w:tcPr>
            <w:tcW w:w="4435" w:type="pct"/>
            <w:shd w:val="clear" w:color="auto" w:fill="auto"/>
          </w:tcPr>
          <w:p w:rsidR="00AB05FF" w:rsidRPr="006E709F" w:rsidRDefault="00AB05FF" w:rsidP="00A801D0">
            <w:pPr>
              <w:pStyle w:val="Tabletext"/>
            </w:pPr>
            <w:r w:rsidRPr="006E709F">
              <w:t>Bagot’s Executor and Trustee Company Limited</w:t>
            </w:r>
          </w:p>
        </w:tc>
      </w:tr>
      <w:tr w:rsidR="00AB05FF" w:rsidRPr="006E709F" w:rsidTr="00E118FA">
        <w:tc>
          <w:tcPr>
            <w:tcW w:w="565" w:type="pct"/>
            <w:shd w:val="clear" w:color="auto" w:fill="auto"/>
          </w:tcPr>
          <w:p w:rsidR="00AB05FF" w:rsidRPr="006E709F" w:rsidRDefault="00AB05FF" w:rsidP="00A801D0">
            <w:pPr>
              <w:pStyle w:val="Tabletext"/>
            </w:pPr>
            <w:r w:rsidRPr="006E709F">
              <w:t>8</w:t>
            </w:r>
          </w:p>
        </w:tc>
        <w:tc>
          <w:tcPr>
            <w:tcW w:w="4435" w:type="pct"/>
            <w:shd w:val="clear" w:color="auto" w:fill="auto"/>
          </w:tcPr>
          <w:p w:rsidR="00AB05FF" w:rsidRPr="006E709F" w:rsidRDefault="00AB05FF" w:rsidP="00A801D0">
            <w:pPr>
              <w:pStyle w:val="Tabletext"/>
            </w:pPr>
            <w:r w:rsidRPr="006E709F">
              <w:t>Elders Trustees Limited</w:t>
            </w:r>
          </w:p>
        </w:tc>
      </w:tr>
      <w:tr w:rsidR="00AB05FF" w:rsidRPr="006E709F" w:rsidTr="00E118FA">
        <w:tc>
          <w:tcPr>
            <w:tcW w:w="565" w:type="pct"/>
            <w:shd w:val="clear" w:color="auto" w:fill="auto"/>
          </w:tcPr>
          <w:p w:rsidR="00AB05FF" w:rsidRPr="006E709F" w:rsidRDefault="00AB05FF" w:rsidP="00A801D0">
            <w:pPr>
              <w:pStyle w:val="Tabletext"/>
            </w:pPr>
            <w:r w:rsidRPr="006E709F">
              <w:t>9</w:t>
            </w:r>
          </w:p>
        </w:tc>
        <w:tc>
          <w:tcPr>
            <w:tcW w:w="4435" w:type="pct"/>
            <w:shd w:val="clear" w:color="auto" w:fill="auto"/>
          </w:tcPr>
          <w:p w:rsidR="00AB05FF" w:rsidRPr="006E709F" w:rsidRDefault="00AB05FF" w:rsidP="00A801D0">
            <w:pPr>
              <w:pStyle w:val="Tabletext"/>
            </w:pPr>
            <w:r w:rsidRPr="006E709F">
              <w:t>Equity Trustees Limited</w:t>
            </w:r>
          </w:p>
        </w:tc>
      </w:tr>
      <w:tr w:rsidR="00AB05FF" w:rsidRPr="006E709F" w:rsidTr="00E118FA">
        <w:tc>
          <w:tcPr>
            <w:tcW w:w="565" w:type="pct"/>
            <w:shd w:val="clear" w:color="auto" w:fill="auto"/>
          </w:tcPr>
          <w:p w:rsidR="00AB05FF" w:rsidRPr="006E709F" w:rsidRDefault="00AB05FF" w:rsidP="00A801D0">
            <w:pPr>
              <w:pStyle w:val="Tabletext"/>
            </w:pPr>
            <w:r w:rsidRPr="006E709F">
              <w:t>10</w:t>
            </w:r>
          </w:p>
        </w:tc>
        <w:tc>
          <w:tcPr>
            <w:tcW w:w="4435" w:type="pct"/>
            <w:shd w:val="clear" w:color="auto" w:fill="auto"/>
          </w:tcPr>
          <w:p w:rsidR="00AB05FF" w:rsidRPr="006E709F" w:rsidRDefault="00AB05FF" w:rsidP="00A801D0">
            <w:pPr>
              <w:pStyle w:val="Tabletext"/>
            </w:pPr>
            <w:r w:rsidRPr="006E709F">
              <w:t>Executor Trustee Australia Limited</w:t>
            </w:r>
          </w:p>
        </w:tc>
      </w:tr>
      <w:tr w:rsidR="00AB05FF" w:rsidRPr="006E709F" w:rsidDel="00260E53" w:rsidTr="00E118FA">
        <w:tc>
          <w:tcPr>
            <w:tcW w:w="565" w:type="pct"/>
            <w:shd w:val="clear" w:color="auto" w:fill="auto"/>
          </w:tcPr>
          <w:p w:rsidR="00AB05FF" w:rsidRPr="006E709F" w:rsidDel="00260E53" w:rsidRDefault="00AB05FF" w:rsidP="00A801D0">
            <w:pPr>
              <w:pStyle w:val="Tabletext"/>
            </w:pPr>
            <w:r w:rsidRPr="006E709F">
              <w:t>11</w:t>
            </w:r>
          </w:p>
        </w:tc>
        <w:tc>
          <w:tcPr>
            <w:tcW w:w="4435" w:type="pct"/>
            <w:shd w:val="clear" w:color="auto" w:fill="auto"/>
          </w:tcPr>
          <w:p w:rsidR="00AB05FF" w:rsidRPr="006E709F" w:rsidDel="00260E53" w:rsidRDefault="00AB05FF" w:rsidP="00A801D0">
            <w:pPr>
              <w:pStyle w:val="Tabletext"/>
            </w:pPr>
            <w:r w:rsidRPr="006E709F">
              <w:t>Mutual Trust Pty Ltd</w:t>
            </w:r>
          </w:p>
        </w:tc>
      </w:tr>
      <w:tr w:rsidR="00AB05FF" w:rsidRPr="006E709F" w:rsidTr="00E118FA">
        <w:tc>
          <w:tcPr>
            <w:tcW w:w="565" w:type="pct"/>
            <w:shd w:val="clear" w:color="auto" w:fill="auto"/>
          </w:tcPr>
          <w:p w:rsidR="00AB05FF" w:rsidRPr="006E709F" w:rsidRDefault="00AB05FF" w:rsidP="00A801D0">
            <w:pPr>
              <w:pStyle w:val="Tabletext"/>
            </w:pPr>
            <w:r w:rsidRPr="006E709F">
              <w:t>12</w:t>
            </w:r>
          </w:p>
        </w:tc>
        <w:tc>
          <w:tcPr>
            <w:tcW w:w="4435" w:type="pct"/>
            <w:shd w:val="clear" w:color="auto" w:fill="auto"/>
          </w:tcPr>
          <w:p w:rsidR="00AB05FF" w:rsidRPr="006E709F" w:rsidRDefault="00AB05FF" w:rsidP="00A801D0">
            <w:pPr>
              <w:pStyle w:val="Tabletext"/>
            </w:pPr>
            <w:r w:rsidRPr="006E709F">
              <w:t>National Australia Trustees Limited</w:t>
            </w:r>
          </w:p>
        </w:tc>
      </w:tr>
      <w:tr w:rsidR="00AB05FF" w:rsidRPr="006E709F" w:rsidTr="00E118FA">
        <w:tc>
          <w:tcPr>
            <w:tcW w:w="565" w:type="pct"/>
            <w:shd w:val="clear" w:color="auto" w:fill="auto"/>
          </w:tcPr>
          <w:p w:rsidR="00AB05FF" w:rsidRPr="006E709F" w:rsidRDefault="00AB05FF" w:rsidP="00A801D0">
            <w:pPr>
              <w:pStyle w:val="Tabletext"/>
            </w:pPr>
            <w:r w:rsidRPr="006E709F">
              <w:t>14</w:t>
            </w:r>
          </w:p>
        </w:tc>
        <w:tc>
          <w:tcPr>
            <w:tcW w:w="4435" w:type="pct"/>
            <w:shd w:val="clear" w:color="auto" w:fill="auto"/>
          </w:tcPr>
          <w:p w:rsidR="00AB05FF" w:rsidRPr="006E709F" w:rsidRDefault="00AB05FF" w:rsidP="00A801D0">
            <w:pPr>
              <w:pStyle w:val="Tabletext"/>
            </w:pPr>
            <w:r w:rsidRPr="006E709F">
              <w:t>Perpetual Limited</w:t>
            </w:r>
          </w:p>
        </w:tc>
      </w:tr>
      <w:tr w:rsidR="00AB05FF" w:rsidRPr="006E709F" w:rsidTr="00E118FA">
        <w:tc>
          <w:tcPr>
            <w:tcW w:w="565" w:type="pct"/>
            <w:shd w:val="clear" w:color="auto" w:fill="auto"/>
          </w:tcPr>
          <w:p w:rsidR="00AB05FF" w:rsidRPr="006E709F" w:rsidRDefault="00AB05FF" w:rsidP="00A801D0">
            <w:pPr>
              <w:pStyle w:val="Tabletext"/>
            </w:pPr>
            <w:r w:rsidRPr="006E709F">
              <w:t>15</w:t>
            </w:r>
          </w:p>
        </w:tc>
        <w:tc>
          <w:tcPr>
            <w:tcW w:w="4435" w:type="pct"/>
            <w:shd w:val="clear" w:color="auto" w:fill="auto"/>
          </w:tcPr>
          <w:p w:rsidR="00AB05FF" w:rsidRPr="006E709F" w:rsidRDefault="00AB05FF" w:rsidP="00A801D0">
            <w:pPr>
              <w:pStyle w:val="Tabletext"/>
            </w:pPr>
            <w:r w:rsidRPr="006E709F">
              <w:t>Perpetual Trustee Company (Canberra) Limited</w:t>
            </w:r>
          </w:p>
        </w:tc>
      </w:tr>
      <w:tr w:rsidR="00AB05FF" w:rsidRPr="006E709F" w:rsidTr="00E118FA">
        <w:tc>
          <w:tcPr>
            <w:tcW w:w="565" w:type="pct"/>
            <w:shd w:val="clear" w:color="auto" w:fill="auto"/>
          </w:tcPr>
          <w:p w:rsidR="00AB05FF" w:rsidRPr="006E709F" w:rsidRDefault="00AB05FF" w:rsidP="00A801D0">
            <w:pPr>
              <w:pStyle w:val="Tabletext"/>
            </w:pPr>
            <w:r w:rsidRPr="006E709F">
              <w:t>16</w:t>
            </w:r>
          </w:p>
        </w:tc>
        <w:tc>
          <w:tcPr>
            <w:tcW w:w="4435" w:type="pct"/>
            <w:shd w:val="clear" w:color="auto" w:fill="auto"/>
          </w:tcPr>
          <w:p w:rsidR="00AB05FF" w:rsidRPr="006E709F" w:rsidRDefault="00AB05FF" w:rsidP="00A801D0">
            <w:pPr>
              <w:pStyle w:val="Tabletext"/>
            </w:pPr>
            <w:r w:rsidRPr="006E709F">
              <w:t>Perpetual Trustee Company Limited</w:t>
            </w:r>
          </w:p>
        </w:tc>
      </w:tr>
      <w:tr w:rsidR="00AB05FF" w:rsidRPr="006E709F" w:rsidTr="00E118FA">
        <w:tc>
          <w:tcPr>
            <w:tcW w:w="565" w:type="pct"/>
            <w:shd w:val="clear" w:color="auto" w:fill="auto"/>
          </w:tcPr>
          <w:p w:rsidR="00AB05FF" w:rsidRPr="006E709F" w:rsidRDefault="00AB05FF" w:rsidP="00A801D0">
            <w:pPr>
              <w:pStyle w:val="Tabletext"/>
            </w:pPr>
            <w:r w:rsidRPr="006E709F">
              <w:t>17</w:t>
            </w:r>
          </w:p>
        </w:tc>
        <w:tc>
          <w:tcPr>
            <w:tcW w:w="4435" w:type="pct"/>
            <w:shd w:val="clear" w:color="auto" w:fill="auto"/>
          </w:tcPr>
          <w:p w:rsidR="00AB05FF" w:rsidRPr="006E709F" w:rsidRDefault="00AB05FF" w:rsidP="00A801D0">
            <w:pPr>
              <w:pStyle w:val="Tabletext"/>
            </w:pPr>
            <w:r w:rsidRPr="006E709F">
              <w:t>Perpetual Trustees Consolidated Limited</w:t>
            </w:r>
          </w:p>
        </w:tc>
      </w:tr>
      <w:tr w:rsidR="00AB05FF" w:rsidRPr="006E709F" w:rsidTr="00E118FA">
        <w:tc>
          <w:tcPr>
            <w:tcW w:w="565" w:type="pct"/>
            <w:shd w:val="clear" w:color="auto" w:fill="auto"/>
          </w:tcPr>
          <w:p w:rsidR="00AB05FF" w:rsidRPr="006E709F" w:rsidRDefault="00AB05FF" w:rsidP="00A801D0">
            <w:pPr>
              <w:pStyle w:val="Tabletext"/>
            </w:pPr>
            <w:r w:rsidRPr="006E709F">
              <w:t>18</w:t>
            </w:r>
          </w:p>
        </w:tc>
        <w:tc>
          <w:tcPr>
            <w:tcW w:w="4435" w:type="pct"/>
            <w:shd w:val="clear" w:color="auto" w:fill="auto"/>
          </w:tcPr>
          <w:p w:rsidR="00AB05FF" w:rsidRPr="006E709F" w:rsidRDefault="00AB05FF" w:rsidP="00A801D0">
            <w:pPr>
              <w:pStyle w:val="Tabletext"/>
            </w:pPr>
            <w:r w:rsidRPr="006E709F">
              <w:t>Perpetual Trustees Queensland Limited</w:t>
            </w:r>
          </w:p>
        </w:tc>
      </w:tr>
      <w:tr w:rsidR="00AB05FF" w:rsidRPr="006E709F" w:rsidTr="00E118FA">
        <w:tc>
          <w:tcPr>
            <w:tcW w:w="565" w:type="pct"/>
            <w:shd w:val="clear" w:color="auto" w:fill="auto"/>
          </w:tcPr>
          <w:p w:rsidR="00AB05FF" w:rsidRPr="006E709F" w:rsidRDefault="00AB05FF" w:rsidP="00A801D0">
            <w:pPr>
              <w:pStyle w:val="Tabletext"/>
            </w:pPr>
            <w:r w:rsidRPr="006E709F">
              <w:t>19</w:t>
            </w:r>
          </w:p>
        </w:tc>
        <w:tc>
          <w:tcPr>
            <w:tcW w:w="4435" w:type="pct"/>
            <w:shd w:val="clear" w:color="auto" w:fill="auto"/>
          </w:tcPr>
          <w:p w:rsidR="00AB05FF" w:rsidRPr="006E709F" w:rsidRDefault="00AB05FF" w:rsidP="00A801D0">
            <w:pPr>
              <w:pStyle w:val="Tabletext"/>
            </w:pPr>
            <w:r w:rsidRPr="006E709F">
              <w:t>Perpetual Trustees S.A. Limited</w:t>
            </w:r>
          </w:p>
        </w:tc>
      </w:tr>
      <w:tr w:rsidR="00AB05FF" w:rsidRPr="006E709F" w:rsidTr="00E118FA">
        <w:tc>
          <w:tcPr>
            <w:tcW w:w="565" w:type="pct"/>
            <w:shd w:val="clear" w:color="auto" w:fill="auto"/>
          </w:tcPr>
          <w:p w:rsidR="00AB05FF" w:rsidRPr="006E709F" w:rsidRDefault="00AB05FF" w:rsidP="00A801D0">
            <w:pPr>
              <w:pStyle w:val="Tabletext"/>
            </w:pPr>
            <w:r w:rsidRPr="006E709F">
              <w:t>20</w:t>
            </w:r>
          </w:p>
        </w:tc>
        <w:tc>
          <w:tcPr>
            <w:tcW w:w="4435" w:type="pct"/>
            <w:shd w:val="clear" w:color="auto" w:fill="auto"/>
          </w:tcPr>
          <w:p w:rsidR="00AB05FF" w:rsidRPr="006E709F" w:rsidRDefault="00AB05FF" w:rsidP="00A801D0">
            <w:pPr>
              <w:pStyle w:val="Tabletext"/>
            </w:pPr>
            <w:r w:rsidRPr="006E709F">
              <w:t>Perpetual Trustees Victoria Limited</w:t>
            </w:r>
          </w:p>
        </w:tc>
      </w:tr>
      <w:tr w:rsidR="00AB05FF" w:rsidRPr="006E709F" w:rsidTr="00E118FA">
        <w:tc>
          <w:tcPr>
            <w:tcW w:w="565" w:type="pct"/>
            <w:shd w:val="clear" w:color="auto" w:fill="auto"/>
          </w:tcPr>
          <w:p w:rsidR="00AB05FF" w:rsidRPr="006E709F" w:rsidRDefault="00AB05FF" w:rsidP="00A801D0">
            <w:pPr>
              <w:pStyle w:val="Tabletext"/>
            </w:pPr>
            <w:r w:rsidRPr="006E709F">
              <w:t>21</w:t>
            </w:r>
          </w:p>
        </w:tc>
        <w:tc>
          <w:tcPr>
            <w:tcW w:w="4435" w:type="pct"/>
            <w:shd w:val="clear" w:color="auto" w:fill="auto"/>
          </w:tcPr>
          <w:p w:rsidR="00AB05FF" w:rsidRPr="006E709F" w:rsidRDefault="00AB05FF" w:rsidP="00A801D0">
            <w:pPr>
              <w:pStyle w:val="Tabletext"/>
            </w:pPr>
            <w:r w:rsidRPr="006E709F">
              <w:t>Perpetual Trustees W.A. Limited</w:t>
            </w:r>
          </w:p>
        </w:tc>
      </w:tr>
      <w:tr w:rsidR="00AB05FF" w:rsidRPr="006E709F" w:rsidTr="00E118FA">
        <w:tc>
          <w:tcPr>
            <w:tcW w:w="565" w:type="pct"/>
            <w:shd w:val="clear" w:color="auto" w:fill="auto"/>
          </w:tcPr>
          <w:p w:rsidR="00AB05FF" w:rsidRPr="006E709F" w:rsidRDefault="00AB05FF" w:rsidP="00A801D0">
            <w:pPr>
              <w:pStyle w:val="Tabletext"/>
            </w:pPr>
            <w:r w:rsidRPr="006E709F">
              <w:t>22</w:t>
            </w:r>
          </w:p>
        </w:tc>
        <w:tc>
          <w:tcPr>
            <w:tcW w:w="4435" w:type="pct"/>
            <w:shd w:val="clear" w:color="auto" w:fill="auto"/>
          </w:tcPr>
          <w:p w:rsidR="00AB05FF" w:rsidRPr="006E709F" w:rsidRDefault="00AB05FF" w:rsidP="00A801D0">
            <w:pPr>
              <w:pStyle w:val="Tabletext"/>
            </w:pPr>
            <w:r w:rsidRPr="006E709F">
              <w:t>Plan B Trustees Limited</w:t>
            </w:r>
          </w:p>
        </w:tc>
      </w:tr>
      <w:tr w:rsidR="00AB05FF" w:rsidRPr="006E709F" w:rsidTr="00E118FA">
        <w:tc>
          <w:tcPr>
            <w:tcW w:w="565" w:type="pct"/>
            <w:shd w:val="clear" w:color="auto" w:fill="auto"/>
          </w:tcPr>
          <w:p w:rsidR="00AB05FF" w:rsidRPr="006E709F" w:rsidRDefault="00AB05FF" w:rsidP="00A801D0">
            <w:pPr>
              <w:pStyle w:val="Tabletext"/>
            </w:pPr>
            <w:r w:rsidRPr="006E709F">
              <w:t>23</w:t>
            </w:r>
          </w:p>
        </w:tc>
        <w:tc>
          <w:tcPr>
            <w:tcW w:w="4435" w:type="pct"/>
            <w:shd w:val="clear" w:color="auto" w:fill="auto"/>
          </w:tcPr>
          <w:p w:rsidR="00AB05FF" w:rsidRPr="006E709F" w:rsidRDefault="00AB05FF" w:rsidP="00A801D0">
            <w:pPr>
              <w:pStyle w:val="Tabletext"/>
            </w:pPr>
            <w:r w:rsidRPr="006E709F">
              <w:t>Sandhurst Trustees Limited</w:t>
            </w:r>
          </w:p>
        </w:tc>
      </w:tr>
      <w:tr w:rsidR="00AB05FF" w:rsidRPr="006E709F" w:rsidTr="00E118FA">
        <w:tc>
          <w:tcPr>
            <w:tcW w:w="565" w:type="pct"/>
            <w:shd w:val="clear" w:color="auto" w:fill="auto"/>
          </w:tcPr>
          <w:p w:rsidR="00AB05FF" w:rsidRPr="006E709F" w:rsidRDefault="00AB05FF" w:rsidP="00A801D0">
            <w:pPr>
              <w:pStyle w:val="Tabletext"/>
            </w:pPr>
            <w:r w:rsidRPr="006E709F">
              <w:t>24</w:t>
            </w:r>
          </w:p>
        </w:tc>
        <w:tc>
          <w:tcPr>
            <w:tcW w:w="4435" w:type="pct"/>
            <w:shd w:val="clear" w:color="auto" w:fill="auto"/>
          </w:tcPr>
          <w:p w:rsidR="00AB05FF" w:rsidRPr="006E709F" w:rsidRDefault="00AB05FF" w:rsidP="00A801D0">
            <w:pPr>
              <w:pStyle w:val="Tabletext"/>
            </w:pPr>
            <w:r w:rsidRPr="006E709F">
              <w:t>Tasmanian Perpetual Trustees Limited</w:t>
            </w:r>
          </w:p>
        </w:tc>
      </w:tr>
      <w:tr w:rsidR="00AB05FF" w:rsidRPr="006E709F" w:rsidDel="00260E53" w:rsidTr="00E118FA">
        <w:tc>
          <w:tcPr>
            <w:tcW w:w="565" w:type="pct"/>
            <w:shd w:val="clear" w:color="auto" w:fill="auto"/>
          </w:tcPr>
          <w:p w:rsidR="00AB05FF" w:rsidRPr="006E709F" w:rsidDel="00260E53" w:rsidRDefault="00AB05FF" w:rsidP="00A801D0">
            <w:pPr>
              <w:pStyle w:val="Tabletext"/>
            </w:pPr>
            <w:r w:rsidRPr="006E709F">
              <w:t>25</w:t>
            </w:r>
          </w:p>
        </w:tc>
        <w:tc>
          <w:tcPr>
            <w:tcW w:w="4435" w:type="pct"/>
            <w:shd w:val="clear" w:color="auto" w:fill="auto"/>
          </w:tcPr>
          <w:p w:rsidR="00AB05FF" w:rsidRPr="006E709F" w:rsidDel="00260E53" w:rsidRDefault="00AB05FF" w:rsidP="00A801D0">
            <w:pPr>
              <w:pStyle w:val="Tabletext"/>
            </w:pPr>
            <w:r w:rsidRPr="006E709F">
              <w:t>The Myer Family Company Ltd</w:t>
            </w:r>
          </w:p>
        </w:tc>
      </w:tr>
      <w:tr w:rsidR="00AB05FF" w:rsidRPr="006E709F" w:rsidDel="00260E53" w:rsidTr="00E118FA">
        <w:tc>
          <w:tcPr>
            <w:tcW w:w="565" w:type="pct"/>
            <w:shd w:val="clear" w:color="auto" w:fill="auto"/>
          </w:tcPr>
          <w:p w:rsidR="00AB05FF" w:rsidRPr="006E709F" w:rsidDel="00260E53" w:rsidRDefault="00AB05FF" w:rsidP="00A801D0">
            <w:pPr>
              <w:pStyle w:val="Tabletext"/>
            </w:pPr>
            <w:r w:rsidRPr="006E709F">
              <w:t>26</w:t>
            </w:r>
          </w:p>
        </w:tc>
        <w:tc>
          <w:tcPr>
            <w:tcW w:w="4435" w:type="pct"/>
            <w:shd w:val="clear" w:color="auto" w:fill="auto"/>
          </w:tcPr>
          <w:p w:rsidR="00AB05FF" w:rsidRPr="006E709F" w:rsidDel="00260E53" w:rsidRDefault="00AB05FF" w:rsidP="00A801D0">
            <w:pPr>
              <w:pStyle w:val="Tabletext"/>
            </w:pPr>
            <w:r w:rsidRPr="006E709F">
              <w:t>The Trust Company Limited</w:t>
            </w:r>
          </w:p>
        </w:tc>
      </w:tr>
      <w:tr w:rsidR="00AB05FF" w:rsidRPr="006E709F" w:rsidDel="00260E53" w:rsidTr="00E118FA">
        <w:tc>
          <w:tcPr>
            <w:tcW w:w="565" w:type="pct"/>
            <w:shd w:val="clear" w:color="auto" w:fill="auto"/>
          </w:tcPr>
          <w:p w:rsidR="00AB05FF" w:rsidRPr="006E709F" w:rsidDel="00260E53" w:rsidRDefault="00AB05FF" w:rsidP="00A801D0">
            <w:pPr>
              <w:pStyle w:val="Tabletext"/>
            </w:pPr>
            <w:r w:rsidRPr="006E709F">
              <w:t>27</w:t>
            </w:r>
          </w:p>
        </w:tc>
        <w:tc>
          <w:tcPr>
            <w:tcW w:w="4435" w:type="pct"/>
            <w:shd w:val="clear" w:color="auto" w:fill="auto"/>
          </w:tcPr>
          <w:p w:rsidR="00AB05FF" w:rsidRPr="006E709F" w:rsidDel="00260E53" w:rsidRDefault="00AB05FF" w:rsidP="00A801D0">
            <w:pPr>
              <w:pStyle w:val="Tabletext"/>
            </w:pPr>
            <w:r w:rsidRPr="006E709F">
              <w:t>The Trust Company (Australia) Limited</w:t>
            </w:r>
          </w:p>
        </w:tc>
      </w:tr>
      <w:tr w:rsidR="00AB05FF" w:rsidRPr="006E709F" w:rsidDel="00260E53" w:rsidTr="00E118FA">
        <w:tc>
          <w:tcPr>
            <w:tcW w:w="565" w:type="pct"/>
            <w:tcBorders>
              <w:bottom w:val="single" w:sz="4" w:space="0" w:color="auto"/>
            </w:tcBorders>
            <w:shd w:val="clear" w:color="auto" w:fill="auto"/>
          </w:tcPr>
          <w:p w:rsidR="00AB05FF" w:rsidRPr="006E709F" w:rsidDel="00260E53" w:rsidRDefault="00AB05FF" w:rsidP="00A801D0">
            <w:pPr>
              <w:pStyle w:val="Tabletext"/>
            </w:pPr>
            <w:r w:rsidRPr="006E709F">
              <w:t>27A</w:t>
            </w:r>
          </w:p>
        </w:tc>
        <w:tc>
          <w:tcPr>
            <w:tcW w:w="4435" w:type="pct"/>
            <w:tcBorders>
              <w:bottom w:val="single" w:sz="4" w:space="0" w:color="auto"/>
            </w:tcBorders>
            <w:shd w:val="clear" w:color="auto" w:fill="auto"/>
          </w:tcPr>
          <w:p w:rsidR="00AB05FF" w:rsidRPr="006E709F" w:rsidDel="00260E53" w:rsidRDefault="00AB05FF" w:rsidP="00A801D0">
            <w:pPr>
              <w:pStyle w:val="Tabletext"/>
            </w:pPr>
            <w:r w:rsidRPr="006E709F">
              <w:t>The Trust Company (PTCCL) Limited</w:t>
            </w:r>
          </w:p>
        </w:tc>
      </w:tr>
      <w:tr w:rsidR="00AB05FF" w:rsidRPr="006E709F" w:rsidDel="00260E53" w:rsidTr="00E118FA">
        <w:tc>
          <w:tcPr>
            <w:tcW w:w="565" w:type="pct"/>
            <w:tcBorders>
              <w:bottom w:val="single" w:sz="12" w:space="0" w:color="auto"/>
            </w:tcBorders>
            <w:shd w:val="clear" w:color="auto" w:fill="auto"/>
          </w:tcPr>
          <w:p w:rsidR="00AB05FF" w:rsidRPr="006E709F" w:rsidDel="00260E53" w:rsidRDefault="00AB05FF" w:rsidP="00A801D0">
            <w:pPr>
              <w:pStyle w:val="Tabletext"/>
            </w:pPr>
            <w:r w:rsidRPr="006E709F">
              <w:t>28</w:t>
            </w:r>
          </w:p>
        </w:tc>
        <w:tc>
          <w:tcPr>
            <w:tcW w:w="4435" w:type="pct"/>
            <w:tcBorders>
              <w:bottom w:val="single" w:sz="12" w:space="0" w:color="auto"/>
            </w:tcBorders>
            <w:shd w:val="clear" w:color="auto" w:fill="auto"/>
          </w:tcPr>
          <w:p w:rsidR="00AB05FF" w:rsidRPr="006E709F" w:rsidDel="00260E53" w:rsidRDefault="00AB05FF" w:rsidP="00A801D0">
            <w:pPr>
              <w:pStyle w:val="Tabletext"/>
            </w:pPr>
            <w:r w:rsidRPr="006E709F">
              <w:t>The Trust Company (UTCCL) Limited</w:t>
            </w:r>
          </w:p>
        </w:tc>
      </w:tr>
    </w:tbl>
    <w:p w:rsidR="00BB28C2" w:rsidRPr="006E709F" w:rsidRDefault="00A801D0" w:rsidP="00065887">
      <w:pPr>
        <w:pStyle w:val="ActHead1"/>
        <w:pageBreakBefore/>
        <w:spacing w:before="120"/>
      </w:pPr>
      <w:bookmarkStart w:id="43" w:name="_Toc160609735"/>
      <w:r w:rsidRPr="000C4237">
        <w:rPr>
          <w:rStyle w:val="CharChapNo"/>
        </w:rPr>
        <w:t>Schedule</w:t>
      </w:r>
      <w:r w:rsidR="00DA13DE" w:rsidRPr="000C4237">
        <w:rPr>
          <w:rStyle w:val="CharChapNo"/>
        </w:rPr>
        <w:t> </w:t>
      </w:r>
      <w:r w:rsidR="00BB28C2" w:rsidRPr="000C4237">
        <w:rPr>
          <w:rStyle w:val="CharChapNo"/>
        </w:rPr>
        <w:t>8AB</w:t>
      </w:r>
      <w:r w:rsidRPr="006E709F">
        <w:t>—</w:t>
      </w:r>
      <w:r w:rsidR="00BB28C2" w:rsidRPr="000C4237">
        <w:rPr>
          <w:rStyle w:val="CharChapText"/>
        </w:rPr>
        <w:t>Prescribed State and Territory provisions for paragraph</w:t>
      </w:r>
      <w:r w:rsidR="00DA13DE" w:rsidRPr="000C4237">
        <w:rPr>
          <w:rStyle w:val="CharChapText"/>
        </w:rPr>
        <w:t> </w:t>
      </w:r>
      <w:r w:rsidR="00BB28C2" w:rsidRPr="000C4237">
        <w:rPr>
          <w:rStyle w:val="CharChapText"/>
        </w:rPr>
        <w:t>601RAE(4</w:t>
      </w:r>
      <w:r w:rsidRPr="000C4237">
        <w:rPr>
          <w:rStyle w:val="CharChapText"/>
        </w:rPr>
        <w:t>)(</w:t>
      </w:r>
      <w:r w:rsidR="00BB28C2" w:rsidRPr="000C4237">
        <w:rPr>
          <w:rStyle w:val="CharChapText"/>
        </w:rPr>
        <w:t>a) of the Act</w:t>
      </w:r>
      <w:bookmarkEnd w:id="43"/>
    </w:p>
    <w:p w:rsidR="00BB28C2" w:rsidRPr="006E709F" w:rsidRDefault="00BB28C2" w:rsidP="00A801D0">
      <w:pPr>
        <w:pStyle w:val="notemargin"/>
      </w:pPr>
      <w:r w:rsidRPr="006E709F">
        <w:t>(subregulation</w:t>
      </w:r>
      <w:r w:rsidR="00DA13DE" w:rsidRPr="006E709F">
        <w:t> </w:t>
      </w:r>
      <w:r w:rsidRPr="006E709F">
        <w:t>5D.1.04(1))</w:t>
      </w:r>
    </w:p>
    <w:p w:rsidR="00BB28C2" w:rsidRPr="006E709F" w:rsidRDefault="00A801D0" w:rsidP="00BB28C2">
      <w:pPr>
        <w:pStyle w:val="Header"/>
      </w:pPr>
      <w:r w:rsidRPr="000C4237">
        <w:rPr>
          <w:rStyle w:val="CharPartNo"/>
        </w:rPr>
        <w:t xml:space="preserve"> </w:t>
      </w:r>
      <w:r w:rsidRPr="000C4237">
        <w:rPr>
          <w:rStyle w:val="CharPartText"/>
        </w:rPr>
        <w:t xml:space="preserve"> </w:t>
      </w:r>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64"/>
        <w:gridCol w:w="7565"/>
      </w:tblGrid>
      <w:tr w:rsidR="00BB28C2" w:rsidRPr="006E709F" w:rsidTr="00E118FA">
        <w:trPr>
          <w:tblHeader/>
        </w:trPr>
        <w:tc>
          <w:tcPr>
            <w:tcW w:w="565" w:type="pct"/>
            <w:tcBorders>
              <w:top w:val="single" w:sz="12" w:space="0" w:color="auto"/>
              <w:bottom w:val="single" w:sz="12" w:space="0" w:color="auto"/>
            </w:tcBorders>
            <w:shd w:val="clear" w:color="auto" w:fill="auto"/>
          </w:tcPr>
          <w:p w:rsidR="00BB28C2" w:rsidRPr="006E709F" w:rsidRDefault="00BB28C2" w:rsidP="007678F7">
            <w:pPr>
              <w:pStyle w:val="TableHeading"/>
            </w:pPr>
            <w:r w:rsidRPr="006E709F">
              <w:t>Item</w:t>
            </w:r>
          </w:p>
        </w:tc>
        <w:tc>
          <w:tcPr>
            <w:tcW w:w="4435" w:type="pct"/>
            <w:tcBorders>
              <w:top w:val="single" w:sz="12" w:space="0" w:color="auto"/>
              <w:bottom w:val="single" w:sz="12" w:space="0" w:color="auto"/>
            </w:tcBorders>
            <w:shd w:val="clear" w:color="auto" w:fill="auto"/>
          </w:tcPr>
          <w:p w:rsidR="00BB28C2" w:rsidRPr="006E709F" w:rsidRDefault="00BB28C2" w:rsidP="007678F7">
            <w:pPr>
              <w:pStyle w:val="TableHeading"/>
            </w:pPr>
            <w:r w:rsidRPr="006E709F">
              <w:t>State or Territory law and provisions</w:t>
            </w:r>
          </w:p>
        </w:tc>
      </w:tr>
      <w:tr w:rsidR="00BB28C2" w:rsidRPr="006E709F" w:rsidTr="00E118FA">
        <w:tc>
          <w:tcPr>
            <w:tcW w:w="565" w:type="pct"/>
            <w:tcBorders>
              <w:top w:val="single" w:sz="12" w:space="0" w:color="auto"/>
            </w:tcBorders>
            <w:shd w:val="clear" w:color="auto" w:fill="auto"/>
          </w:tcPr>
          <w:p w:rsidR="00BB28C2" w:rsidRPr="006E709F" w:rsidRDefault="00BB28C2" w:rsidP="00A801D0">
            <w:pPr>
              <w:pStyle w:val="Tabletext"/>
            </w:pPr>
            <w:r w:rsidRPr="006E709F">
              <w:t>1</w:t>
            </w:r>
          </w:p>
        </w:tc>
        <w:tc>
          <w:tcPr>
            <w:tcW w:w="4435" w:type="pct"/>
            <w:tcBorders>
              <w:top w:val="single" w:sz="12" w:space="0" w:color="auto"/>
            </w:tcBorders>
            <w:shd w:val="clear" w:color="auto" w:fill="auto"/>
          </w:tcPr>
          <w:p w:rsidR="00BB28C2" w:rsidRPr="006E709F" w:rsidRDefault="00BB28C2" w:rsidP="00A801D0">
            <w:pPr>
              <w:pStyle w:val="Tabletext"/>
            </w:pPr>
            <w:r w:rsidRPr="006E709F">
              <w:rPr>
                <w:b/>
              </w:rPr>
              <w:t xml:space="preserve">Trustee Companies Act 1984 </w:t>
            </w:r>
            <w:r w:rsidRPr="006E709F">
              <w:t>(Vic), sections</w:t>
            </w:r>
            <w:r w:rsidR="00DA13DE" w:rsidRPr="006E709F">
              <w:t> </w:t>
            </w:r>
            <w:r w:rsidRPr="006E709F">
              <w:t>40–42</w:t>
            </w:r>
          </w:p>
        </w:tc>
      </w:tr>
      <w:tr w:rsidR="00BB28C2" w:rsidRPr="006E709F" w:rsidTr="00E118FA">
        <w:tc>
          <w:tcPr>
            <w:tcW w:w="565" w:type="pct"/>
            <w:shd w:val="clear" w:color="auto" w:fill="auto"/>
          </w:tcPr>
          <w:p w:rsidR="00BB28C2" w:rsidRPr="006E709F" w:rsidRDefault="00BB28C2" w:rsidP="00A801D0">
            <w:pPr>
              <w:pStyle w:val="Tabletext"/>
            </w:pPr>
            <w:r w:rsidRPr="006E709F">
              <w:t>2</w:t>
            </w:r>
          </w:p>
        </w:tc>
        <w:tc>
          <w:tcPr>
            <w:tcW w:w="4435" w:type="pct"/>
            <w:shd w:val="clear" w:color="auto" w:fill="auto"/>
          </w:tcPr>
          <w:p w:rsidR="00BB28C2" w:rsidRPr="006E709F" w:rsidRDefault="00BB28C2" w:rsidP="00A801D0">
            <w:pPr>
              <w:pStyle w:val="Tabletext"/>
            </w:pPr>
            <w:r w:rsidRPr="006E709F">
              <w:rPr>
                <w:i/>
              </w:rPr>
              <w:t>Trustee Companies Act 1987</w:t>
            </w:r>
            <w:r w:rsidRPr="006E709F">
              <w:t xml:space="preserve"> (WA), </w:t>
            </w:r>
            <w:r w:rsidR="00A801D0" w:rsidRPr="006E709F">
              <w:t>Part</w:t>
            </w:r>
            <w:r w:rsidR="00E376FA" w:rsidRPr="006E709F">
              <w:t> </w:t>
            </w:r>
            <w:r w:rsidRPr="006E709F">
              <w:t>IV and section</w:t>
            </w:r>
            <w:r w:rsidR="00DA13DE" w:rsidRPr="006E709F">
              <w:t> </w:t>
            </w:r>
            <w:r w:rsidRPr="006E709F">
              <w:t>34</w:t>
            </w:r>
          </w:p>
        </w:tc>
      </w:tr>
      <w:tr w:rsidR="00BB28C2" w:rsidRPr="006E709F" w:rsidTr="00E118FA">
        <w:tc>
          <w:tcPr>
            <w:tcW w:w="565" w:type="pct"/>
            <w:shd w:val="clear" w:color="auto" w:fill="auto"/>
          </w:tcPr>
          <w:p w:rsidR="00BB28C2" w:rsidRPr="006E709F" w:rsidRDefault="00BB28C2" w:rsidP="00A801D0">
            <w:pPr>
              <w:pStyle w:val="Tabletext"/>
            </w:pPr>
            <w:r w:rsidRPr="006E709F">
              <w:t>3</w:t>
            </w:r>
          </w:p>
        </w:tc>
        <w:tc>
          <w:tcPr>
            <w:tcW w:w="4435" w:type="pct"/>
            <w:shd w:val="clear" w:color="auto" w:fill="auto"/>
          </w:tcPr>
          <w:p w:rsidR="00BB28C2" w:rsidRPr="006E709F" w:rsidRDefault="00BB28C2" w:rsidP="00105963">
            <w:pPr>
              <w:pStyle w:val="Tabletext"/>
            </w:pPr>
            <w:r w:rsidRPr="006E709F">
              <w:rPr>
                <w:i/>
              </w:rPr>
              <w:t xml:space="preserve">Trustee Companies Act 1988 </w:t>
            </w:r>
            <w:r w:rsidRPr="006E709F">
              <w:t>(SA), sections</w:t>
            </w:r>
            <w:r w:rsidR="00DA13DE" w:rsidRPr="006E709F">
              <w:t> </w:t>
            </w:r>
            <w:r w:rsidRPr="006E709F">
              <w:t>15–15B and 19–21</w:t>
            </w:r>
          </w:p>
        </w:tc>
      </w:tr>
      <w:tr w:rsidR="00BB28C2" w:rsidRPr="006E709F" w:rsidTr="00E118FA">
        <w:tc>
          <w:tcPr>
            <w:tcW w:w="565" w:type="pct"/>
            <w:tcBorders>
              <w:bottom w:val="single" w:sz="4" w:space="0" w:color="auto"/>
            </w:tcBorders>
            <w:shd w:val="clear" w:color="auto" w:fill="auto"/>
          </w:tcPr>
          <w:p w:rsidR="00BB28C2" w:rsidRPr="006E709F" w:rsidRDefault="00BB28C2" w:rsidP="00A801D0">
            <w:pPr>
              <w:pStyle w:val="Tabletext"/>
            </w:pPr>
            <w:r w:rsidRPr="006E709F">
              <w:t>4</w:t>
            </w:r>
          </w:p>
        </w:tc>
        <w:tc>
          <w:tcPr>
            <w:tcW w:w="4435" w:type="pct"/>
            <w:tcBorders>
              <w:bottom w:val="single" w:sz="4" w:space="0" w:color="auto"/>
            </w:tcBorders>
            <w:shd w:val="clear" w:color="auto" w:fill="auto"/>
          </w:tcPr>
          <w:p w:rsidR="00BB28C2" w:rsidRPr="006E709F" w:rsidRDefault="00BB28C2" w:rsidP="00452F6B">
            <w:pPr>
              <w:pStyle w:val="Tabletext"/>
            </w:pPr>
            <w:r w:rsidRPr="006E709F">
              <w:rPr>
                <w:i/>
              </w:rPr>
              <w:t>Trustee Companies Act 1953</w:t>
            </w:r>
            <w:r w:rsidRPr="006E709F">
              <w:t xml:space="preserve"> (Tas), subsections</w:t>
            </w:r>
            <w:r w:rsidR="00DA13DE" w:rsidRPr="006E709F">
              <w:t> </w:t>
            </w:r>
            <w:r w:rsidRPr="006E709F">
              <w:t>18C(1), (3)–(13)</w:t>
            </w:r>
          </w:p>
        </w:tc>
      </w:tr>
      <w:tr w:rsidR="00BB28C2" w:rsidRPr="006E709F" w:rsidTr="00E118FA">
        <w:tc>
          <w:tcPr>
            <w:tcW w:w="565" w:type="pct"/>
            <w:tcBorders>
              <w:bottom w:val="single" w:sz="12" w:space="0" w:color="auto"/>
            </w:tcBorders>
            <w:shd w:val="clear" w:color="auto" w:fill="auto"/>
          </w:tcPr>
          <w:p w:rsidR="00BB28C2" w:rsidRPr="006E709F" w:rsidRDefault="00BB28C2" w:rsidP="00A801D0">
            <w:pPr>
              <w:pStyle w:val="Tabletext"/>
            </w:pPr>
            <w:r w:rsidRPr="006E709F">
              <w:t>5</w:t>
            </w:r>
          </w:p>
        </w:tc>
        <w:tc>
          <w:tcPr>
            <w:tcW w:w="4435" w:type="pct"/>
            <w:tcBorders>
              <w:bottom w:val="single" w:sz="12" w:space="0" w:color="auto"/>
            </w:tcBorders>
            <w:shd w:val="clear" w:color="auto" w:fill="auto"/>
          </w:tcPr>
          <w:p w:rsidR="00BB28C2" w:rsidRPr="006E709F" w:rsidRDefault="00BB28C2" w:rsidP="00105963">
            <w:pPr>
              <w:pStyle w:val="Tabletext"/>
            </w:pPr>
            <w:r w:rsidRPr="006E709F">
              <w:rPr>
                <w:i/>
              </w:rPr>
              <w:t>Companies (Trustees and Personal Representatives) Act</w:t>
            </w:r>
            <w:r w:rsidRPr="006E709F">
              <w:t xml:space="preserve"> (NT), section</w:t>
            </w:r>
            <w:r w:rsidR="00DA13DE" w:rsidRPr="006E709F">
              <w:t> </w:t>
            </w:r>
            <w:r w:rsidRPr="006E709F">
              <w:t>25</w:t>
            </w:r>
          </w:p>
        </w:tc>
      </w:tr>
    </w:tbl>
    <w:p w:rsidR="00BB28C2" w:rsidRPr="006E709F" w:rsidRDefault="00A801D0" w:rsidP="00065887">
      <w:pPr>
        <w:pStyle w:val="ActHead1"/>
        <w:pageBreakBefore/>
        <w:spacing w:before="120"/>
      </w:pPr>
      <w:bookmarkStart w:id="44" w:name="_Toc160609736"/>
      <w:r w:rsidRPr="000C4237">
        <w:rPr>
          <w:rStyle w:val="CharChapNo"/>
        </w:rPr>
        <w:t>Schedule</w:t>
      </w:r>
      <w:r w:rsidR="00DA13DE" w:rsidRPr="000C4237">
        <w:rPr>
          <w:rStyle w:val="CharChapNo"/>
        </w:rPr>
        <w:t> </w:t>
      </w:r>
      <w:r w:rsidR="00BB28C2" w:rsidRPr="000C4237">
        <w:rPr>
          <w:rStyle w:val="CharChapNo"/>
        </w:rPr>
        <w:t>8AC</w:t>
      </w:r>
      <w:r w:rsidRPr="006E709F">
        <w:t>—</w:t>
      </w:r>
      <w:r w:rsidR="00BB28C2" w:rsidRPr="000C4237">
        <w:rPr>
          <w:rStyle w:val="CharChapText"/>
        </w:rPr>
        <w:t>Prescribed State and Territory laws and provisions for paragraph</w:t>
      </w:r>
      <w:r w:rsidR="00DA13DE" w:rsidRPr="000C4237">
        <w:rPr>
          <w:rStyle w:val="CharChapText"/>
        </w:rPr>
        <w:t> </w:t>
      </w:r>
      <w:r w:rsidR="00BB28C2" w:rsidRPr="000C4237">
        <w:rPr>
          <w:rStyle w:val="CharChapText"/>
        </w:rPr>
        <w:t>601RAE(4</w:t>
      </w:r>
      <w:r w:rsidRPr="000C4237">
        <w:rPr>
          <w:rStyle w:val="CharChapText"/>
        </w:rPr>
        <w:t>)(</w:t>
      </w:r>
      <w:r w:rsidR="00BB28C2" w:rsidRPr="000C4237">
        <w:rPr>
          <w:rStyle w:val="CharChapText"/>
        </w:rPr>
        <w:t>b) of the Act</w:t>
      </w:r>
      <w:r w:rsidRPr="000C4237">
        <w:rPr>
          <w:rStyle w:val="CharChapText"/>
        </w:rPr>
        <w:t>—</w:t>
      </w:r>
      <w:r w:rsidR="00BB28C2" w:rsidRPr="000C4237">
        <w:rPr>
          <w:rStyle w:val="CharChapText"/>
        </w:rPr>
        <w:t>estate administration</w:t>
      </w:r>
      <w:bookmarkEnd w:id="44"/>
    </w:p>
    <w:p w:rsidR="00BB28C2" w:rsidRPr="006E709F" w:rsidRDefault="00BB28C2" w:rsidP="00A801D0">
      <w:pPr>
        <w:pStyle w:val="notemargin"/>
      </w:pPr>
      <w:r w:rsidRPr="006E709F">
        <w:t>(subregulation</w:t>
      </w:r>
      <w:r w:rsidR="00DA13DE" w:rsidRPr="006E709F">
        <w:t> </w:t>
      </w:r>
      <w:r w:rsidRPr="006E709F">
        <w:t>5D.1.04(2) and sub</w:t>
      </w:r>
      <w:r w:rsidR="005378CE" w:rsidRPr="006E709F">
        <w:t>regulation 7</w:t>
      </w:r>
      <w:r w:rsidRPr="006E709F">
        <w:t>.6.02(6))</w:t>
      </w:r>
    </w:p>
    <w:p w:rsidR="00BB28C2" w:rsidRPr="006E709F" w:rsidRDefault="00A801D0" w:rsidP="00BB28C2">
      <w:pPr>
        <w:pStyle w:val="Header"/>
      </w:pPr>
      <w:r w:rsidRPr="000C4237">
        <w:rPr>
          <w:rStyle w:val="CharPartNo"/>
        </w:rPr>
        <w:t xml:space="preserve"> </w:t>
      </w:r>
      <w:r w:rsidRPr="000C4237">
        <w:rPr>
          <w:rStyle w:val="CharPartText"/>
        </w:rPr>
        <w:t xml:space="preserve"> </w:t>
      </w:r>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64"/>
        <w:gridCol w:w="7565"/>
      </w:tblGrid>
      <w:tr w:rsidR="00BB28C2" w:rsidRPr="006E709F" w:rsidTr="00E118FA">
        <w:trPr>
          <w:tblHeader/>
        </w:trPr>
        <w:tc>
          <w:tcPr>
            <w:tcW w:w="565" w:type="pct"/>
            <w:tcBorders>
              <w:top w:val="single" w:sz="12" w:space="0" w:color="auto"/>
              <w:bottom w:val="single" w:sz="12" w:space="0" w:color="auto"/>
            </w:tcBorders>
            <w:shd w:val="clear" w:color="auto" w:fill="auto"/>
          </w:tcPr>
          <w:p w:rsidR="00BB28C2" w:rsidRPr="006E709F" w:rsidRDefault="00BB28C2" w:rsidP="007678F7">
            <w:pPr>
              <w:pStyle w:val="TableHeading"/>
            </w:pPr>
            <w:r w:rsidRPr="006E709F">
              <w:t>Item</w:t>
            </w:r>
          </w:p>
        </w:tc>
        <w:tc>
          <w:tcPr>
            <w:tcW w:w="4435" w:type="pct"/>
            <w:tcBorders>
              <w:top w:val="single" w:sz="12" w:space="0" w:color="auto"/>
              <w:bottom w:val="single" w:sz="12" w:space="0" w:color="auto"/>
            </w:tcBorders>
            <w:shd w:val="clear" w:color="auto" w:fill="auto"/>
          </w:tcPr>
          <w:p w:rsidR="00BB28C2" w:rsidRPr="006E709F" w:rsidRDefault="00BB28C2" w:rsidP="007678F7">
            <w:pPr>
              <w:pStyle w:val="TableHeading"/>
            </w:pPr>
            <w:r w:rsidRPr="006E709F">
              <w:t>State or Territory law and provisions</w:t>
            </w:r>
          </w:p>
        </w:tc>
      </w:tr>
      <w:tr w:rsidR="00BB28C2" w:rsidRPr="006E709F" w:rsidTr="00E118FA">
        <w:tc>
          <w:tcPr>
            <w:tcW w:w="565" w:type="pct"/>
            <w:tcBorders>
              <w:top w:val="single" w:sz="12" w:space="0" w:color="auto"/>
            </w:tcBorders>
            <w:shd w:val="clear" w:color="auto" w:fill="auto"/>
          </w:tcPr>
          <w:p w:rsidR="00BB28C2" w:rsidRPr="006E709F" w:rsidRDefault="00BB28C2" w:rsidP="00A801D0">
            <w:pPr>
              <w:pStyle w:val="Tabletext"/>
            </w:pPr>
            <w:r w:rsidRPr="006E709F">
              <w:t>1</w:t>
            </w:r>
          </w:p>
        </w:tc>
        <w:tc>
          <w:tcPr>
            <w:tcW w:w="4435" w:type="pct"/>
            <w:tcBorders>
              <w:top w:val="single" w:sz="12" w:space="0" w:color="auto"/>
            </w:tcBorders>
            <w:shd w:val="clear" w:color="auto" w:fill="auto"/>
          </w:tcPr>
          <w:p w:rsidR="00BB28C2" w:rsidRPr="006E709F" w:rsidRDefault="00BB28C2" w:rsidP="00A801D0">
            <w:pPr>
              <w:pStyle w:val="Tabletext"/>
            </w:pPr>
            <w:r w:rsidRPr="006E709F">
              <w:rPr>
                <w:i/>
              </w:rPr>
              <w:t>Children and Young Persons (Care and Protection) Act 1998</w:t>
            </w:r>
            <w:r w:rsidRPr="006E709F">
              <w:t xml:space="preserve"> (NSW)</w:t>
            </w:r>
          </w:p>
        </w:tc>
      </w:tr>
      <w:tr w:rsidR="00BB28C2" w:rsidRPr="006E709F" w:rsidTr="00E118FA">
        <w:tc>
          <w:tcPr>
            <w:tcW w:w="565" w:type="pct"/>
            <w:shd w:val="clear" w:color="auto" w:fill="auto"/>
          </w:tcPr>
          <w:p w:rsidR="00BB28C2" w:rsidRPr="006E709F" w:rsidRDefault="00BB28C2" w:rsidP="00A801D0">
            <w:pPr>
              <w:pStyle w:val="Tabletext"/>
            </w:pPr>
            <w:r w:rsidRPr="006E709F">
              <w:t>2</w:t>
            </w:r>
          </w:p>
        </w:tc>
        <w:tc>
          <w:tcPr>
            <w:tcW w:w="4435" w:type="pct"/>
            <w:shd w:val="clear" w:color="auto" w:fill="auto"/>
          </w:tcPr>
          <w:p w:rsidR="00BB28C2" w:rsidRPr="006E709F" w:rsidRDefault="00BB28C2" w:rsidP="00A801D0">
            <w:pPr>
              <w:pStyle w:val="Tabletext"/>
            </w:pPr>
            <w:r w:rsidRPr="006E709F">
              <w:rPr>
                <w:i/>
              </w:rPr>
              <w:t>Guardianship Act 1987</w:t>
            </w:r>
            <w:r w:rsidRPr="006E709F">
              <w:t xml:space="preserve"> (NSW)</w:t>
            </w:r>
          </w:p>
        </w:tc>
      </w:tr>
      <w:tr w:rsidR="00BB28C2" w:rsidRPr="006E709F" w:rsidTr="00E118FA">
        <w:tc>
          <w:tcPr>
            <w:tcW w:w="565" w:type="pct"/>
            <w:shd w:val="clear" w:color="auto" w:fill="auto"/>
          </w:tcPr>
          <w:p w:rsidR="00BB28C2" w:rsidRPr="006E709F" w:rsidRDefault="00BB28C2" w:rsidP="00A801D0">
            <w:pPr>
              <w:pStyle w:val="Tabletext"/>
            </w:pPr>
            <w:r w:rsidRPr="006E709F">
              <w:t>3</w:t>
            </w:r>
          </w:p>
        </w:tc>
        <w:tc>
          <w:tcPr>
            <w:tcW w:w="4435" w:type="pct"/>
            <w:shd w:val="clear" w:color="auto" w:fill="auto"/>
          </w:tcPr>
          <w:p w:rsidR="00BB28C2" w:rsidRPr="006E709F" w:rsidRDefault="00BB28C2" w:rsidP="00A801D0">
            <w:pPr>
              <w:pStyle w:val="Tabletext"/>
            </w:pPr>
            <w:r w:rsidRPr="006E709F">
              <w:rPr>
                <w:i/>
              </w:rPr>
              <w:t xml:space="preserve">NSW Trustee and Guardian Act 2009 </w:t>
            </w:r>
            <w:r w:rsidRPr="006E709F">
              <w:t>(NSW)</w:t>
            </w:r>
          </w:p>
        </w:tc>
      </w:tr>
      <w:tr w:rsidR="00BB28C2" w:rsidRPr="006E709F" w:rsidTr="00E118FA">
        <w:tc>
          <w:tcPr>
            <w:tcW w:w="565" w:type="pct"/>
            <w:shd w:val="clear" w:color="auto" w:fill="auto"/>
          </w:tcPr>
          <w:p w:rsidR="00BB28C2" w:rsidRPr="006E709F" w:rsidRDefault="00BB28C2" w:rsidP="00A801D0">
            <w:pPr>
              <w:pStyle w:val="Tabletext"/>
            </w:pPr>
            <w:r w:rsidRPr="006E709F">
              <w:t>4</w:t>
            </w:r>
          </w:p>
        </w:tc>
        <w:tc>
          <w:tcPr>
            <w:tcW w:w="4435" w:type="pct"/>
            <w:shd w:val="clear" w:color="auto" w:fill="auto"/>
          </w:tcPr>
          <w:p w:rsidR="00BB28C2" w:rsidRPr="006E709F" w:rsidRDefault="00BB28C2" w:rsidP="00A801D0">
            <w:pPr>
              <w:pStyle w:val="Tabletext"/>
            </w:pPr>
            <w:r w:rsidRPr="006E709F">
              <w:rPr>
                <w:b/>
              </w:rPr>
              <w:t xml:space="preserve">Victorian Civil and Administrative Tribunal Act 1998 </w:t>
            </w:r>
            <w:r w:rsidRPr="006E709F">
              <w:t>(Vic), Part</w:t>
            </w:r>
            <w:r w:rsidR="00DA13DE" w:rsidRPr="006E709F">
              <w:t> </w:t>
            </w:r>
            <w:r w:rsidRPr="006E709F">
              <w:t xml:space="preserve">9 of </w:t>
            </w:r>
            <w:r w:rsidR="00A801D0" w:rsidRPr="006E709F">
              <w:t>Schedule</w:t>
            </w:r>
            <w:r w:rsidR="00DA13DE" w:rsidRPr="006E709F">
              <w:t> </w:t>
            </w:r>
            <w:r w:rsidRPr="006E709F">
              <w:t>1</w:t>
            </w:r>
          </w:p>
        </w:tc>
      </w:tr>
      <w:tr w:rsidR="00BB28C2" w:rsidRPr="006E709F" w:rsidTr="00E118FA">
        <w:tc>
          <w:tcPr>
            <w:tcW w:w="565" w:type="pct"/>
            <w:shd w:val="clear" w:color="auto" w:fill="auto"/>
          </w:tcPr>
          <w:p w:rsidR="00BB28C2" w:rsidRPr="006E709F" w:rsidRDefault="00BB28C2" w:rsidP="00A801D0">
            <w:pPr>
              <w:pStyle w:val="Tabletext"/>
            </w:pPr>
            <w:r w:rsidRPr="006E709F">
              <w:t>5</w:t>
            </w:r>
          </w:p>
        </w:tc>
        <w:tc>
          <w:tcPr>
            <w:tcW w:w="4435" w:type="pct"/>
            <w:shd w:val="clear" w:color="auto" w:fill="auto"/>
          </w:tcPr>
          <w:p w:rsidR="00BB28C2" w:rsidRPr="006E709F" w:rsidRDefault="00BB28C2" w:rsidP="00A801D0">
            <w:pPr>
              <w:pStyle w:val="Tabletext"/>
            </w:pPr>
            <w:r w:rsidRPr="006E709F">
              <w:rPr>
                <w:b/>
              </w:rPr>
              <w:t xml:space="preserve">Guardianship and Administration Act 1986 </w:t>
            </w:r>
            <w:r w:rsidRPr="006E709F">
              <w:t>(Vic)</w:t>
            </w:r>
          </w:p>
        </w:tc>
      </w:tr>
      <w:tr w:rsidR="00BB28C2" w:rsidRPr="006E709F" w:rsidTr="00E118FA">
        <w:tc>
          <w:tcPr>
            <w:tcW w:w="565" w:type="pct"/>
            <w:shd w:val="clear" w:color="auto" w:fill="auto"/>
          </w:tcPr>
          <w:p w:rsidR="00BB28C2" w:rsidRPr="006E709F" w:rsidRDefault="00BB28C2" w:rsidP="00A801D0">
            <w:pPr>
              <w:pStyle w:val="Tabletext"/>
            </w:pPr>
            <w:r w:rsidRPr="006E709F">
              <w:t>6</w:t>
            </w:r>
          </w:p>
        </w:tc>
        <w:tc>
          <w:tcPr>
            <w:tcW w:w="4435" w:type="pct"/>
            <w:shd w:val="clear" w:color="auto" w:fill="auto"/>
          </w:tcPr>
          <w:p w:rsidR="00BB28C2" w:rsidRPr="006E709F" w:rsidRDefault="00BB28C2" w:rsidP="00A801D0">
            <w:pPr>
              <w:pStyle w:val="Tabletext"/>
            </w:pPr>
            <w:r w:rsidRPr="006E709F">
              <w:rPr>
                <w:i/>
              </w:rPr>
              <w:t xml:space="preserve">Guardianship and Administration Act 2000 </w:t>
            </w:r>
            <w:r w:rsidRPr="006E709F">
              <w:t>(Qld)</w:t>
            </w:r>
          </w:p>
        </w:tc>
      </w:tr>
      <w:tr w:rsidR="00BB28C2" w:rsidRPr="006E709F" w:rsidTr="00E118FA">
        <w:tc>
          <w:tcPr>
            <w:tcW w:w="565" w:type="pct"/>
            <w:shd w:val="clear" w:color="auto" w:fill="auto"/>
          </w:tcPr>
          <w:p w:rsidR="00BB28C2" w:rsidRPr="006E709F" w:rsidRDefault="00BB28C2" w:rsidP="00A801D0">
            <w:pPr>
              <w:pStyle w:val="Tabletext"/>
            </w:pPr>
            <w:r w:rsidRPr="006E709F">
              <w:t>7</w:t>
            </w:r>
          </w:p>
        </w:tc>
        <w:tc>
          <w:tcPr>
            <w:tcW w:w="4435" w:type="pct"/>
            <w:shd w:val="clear" w:color="auto" w:fill="auto"/>
          </w:tcPr>
          <w:p w:rsidR="00BB28C2" w:rsidRPr="006E709F" w:rsidRDefault="00BB28C2" w:rsidP="00A801D0">
            <w:pPr>
              <w:pStyle w:val="Tabletext"/>
            </w:pPr>
            <w:r w:rsidRPr="006E709F">
              <w:rPr>
                <w:i/>
              </w:rPr>
              <w:t xml:space="preserve">Guardianship and Administration Act 1990 </w:t>
            </w:r>
            <w:r w:rsidRPr="006E709F">
              <w:t>(WA)</w:t>
            </w:r>
          </w:p>
        </w:tc>
      </w:tr>
      <w:tr w:rsidR="00BB28C2" w:rsidRPr="006E709F" w:rsidTr="00E118FA">
        <w:tc>
          <w:tcPr>
            <w:tcW w:w="565" w:type="pct"/>
            <w:shd w:val="clear" w:color="auto" w:fill="auto"/>
          </w:tcPr>
          <w:p w:rsidR="00BB28C2" w:rsidRPr="006E709F" w:rsidRDefault="00BB28C2" w:rsidP="00A801D0">
            <w:pPr>
              <w:pStyle w:val="Tabletext"/>
            </w:pPr>
            <w:r w:rsidRPr="006E709F">
              <w:t>8</w:t>
            </w:r>
          </w:p>
        </w:tc>
        <w:tc>
          <w:tcPr>
            <w:tcW w:w="4435" w:type="pct"/>
            <w:shd w:val="clear" w:color="auto" w:fill="auto"/>
          </w:tcPr>
          <w:p w:rsidR="00BB28C2" w:rsidRPr="006E709F" w:rsidRDefault="00BB28C2" w:rsidP="00A801D0">
            <w:pPr>
              <w:pStyle w:val="Tabletext"/>
            </w:pPr>
            <w:r w:rsidRPr="006E709F">
              <w:rPr>
                <w:i/>
              </w:rPr>
              <w:t>Guardianship and Administration Act 1993</w:t>
            </w:r>
            <w:r w:rsidRPr="006E709F">
              <w:t xml:space="preserve"> (SA)</w:t>
            </w:r>
          </w:p>
        </w:tc>
      </w:tr>
      <w:tr w:rsidR="00BB28C2" w:rsidRPr="006E709F" w:rsidTr="00E118FA">
        <w:tc>
          <w:tcPr>
            <w:tcW w:w="565" w:type="pct"/>
            <w:shd w:val="clear" w:color="auto" w:fill="auto"/>
          </w:tcPr>
          <w:p w:rsidR="00BB28C2" w:rsidRPr="006E709F" w:rsidRDefault="00BB28C2" w:rsidP="00A801D0">
            <w:pPr>
              <w:pStyle w:val="Tabletext"/>
            </w:pPr>
            <w:r w:rsidRPr="006E709F">
              <w:t>9</w:t>
            </w:r>
          </w:p>
        </w:tc>
        <w:tc>
          <w:tcPr>
            <w:tcW w:w="4435" w:type="pct"/>
            <w:shd w:val="clear" w:color="auto" w:fill="auto"/>
          </w:tcPr>
          <w:p w:rsidR="00BB28C2" w:rsidRPr="006E709F" w:rsidRDefault="00BB28C2" w:rsidP="00A801D0">
            <w:pPr>
              <w:pStyle w:val="Tabletext"/>
            </w:pPr>
            <w:r w:rsidRPr="006E709F">
              <w:rPr>
                <w:i/>
              </w:rPr>
              <w:t xml:space="preserve">Guardianship of Infants Act 1940 </w:t>
            </w:r>
            <w:r w:rsidRPr="006E709F">
              <w:t>(SA)</w:t>
            </w:r>
          </w:p>
        </w:tc>
      </w:tr>
      <w:tr w:rsidR="00BB28C2" w:rsidRPr="006E709F" w:rsidTr="00E118FA">
        <w:tc>
          <w:tcPr>
            <w:tcW w:w="565" w:type="pct"/>
            <w:shd w:val="clear" w:color="auto" w:fill="auto"/>
          </w:tcPr>
          <w:p w:rsidR="00BB28C2" w:rsidRPr="006E709F" w:rsidRDefault="00BB28C2" w:rsidP="00A801D0">
            <w:pPr>
              <w:pStyle w:val="Tabletext"/>
            </w:pPr>
            <w:r w:rsidRPr="006E709F">
              <w:t>10</w:t>
            </w:r>
          </w:p>
        </w:tc>
        <w:tc>
          <w:tcPr>
            <w:tcW w:w="4435" w:type="pct"/>
            <w:shd w:val="clear" w:color="auto" w:fill="auto"/>
          </w:tcPr>
          <w:p w:rsidR="00BB28C2" w:rsidRPr="006E709F" w:rsidRDefault="00BB28C2" w:rsidP="00A801D0">
            <w:pPr>
              <w:pStyle w:val="Tabletext"/>
            </w:pPr>
            <w:r w:rsidRPr="006E709F">
              <w:rPr>
                <w:i/>
              </w:rPr>
              <w:t xml:space="preserve">Guardianship and Administration Act 1995 </w:t>
            </w:r>
            <w:r w:rsidRPr="006E709F">
              <w:t>(Tas)</w:t>
            </w:r>
          </w:p>
        </w:tc>
      </w:tr>
      <w:tr w:rsidR="00BB28C2" w:rsidRPr="006E709F" w:rsidTr="00E118FA">
        <w:tc>
          <w:tcPr>
            <w:tcW w:w="565" w:type="pct"/>
            <w:shd w:val="clear" w:color="auto" w:fill="auto"/>
          </w:tcPr>
          <w:p w:rsidR="00BB28C2" w:rsidRPr="006E709F" w:rsidRDefault="00BB28C2" w:rsidP="00A801D0">
            <w:pPr>
              <w:pStyle w:val="Tabletext"/>
            </w:pPr>
            <w:r w:rsidRPr="006E709F">
              <w:t>11</w:t>
            </w:r>
          </w:p>
        </w:tc>
        <w:tc>
          <w:tcPr>
            <w:tcW w:w="4435" w:type="pct"/>
            <w:shd w:val="clear" w:color="auto" w:fill="auto"/>
          </w:tcPr>
          <w:p w:rsidR="00BB28C2" w:rsidRPr="006E709F" w:rsidRDefault="00BB28C2" w:rsidP="00A801D0">
            <w:pPr>
              <w:pStyle w:val="Tabletext"/>
            </w:pPr>
            <w:r w:rsidRPr="006E709F">
              <w:rPr>
                <w:i/>
              </w:rPr>
              <w:t xml:space="preserve">Guardianship and Custody of Infants Act 1934 </w:t>
            </w:r>
            <w:r w:rsidRPr="006E709F">
              <w:t>(Tas)</w:t>
            </w:r>
          </w:p>
        </w:tc>
      </w:tr>
      <w:tr w:rsidR="00BB28C2" w:rsidRPr="006E709F" w:rsidTr="00E118FA">
        <w:tc>
          <w:tcPr>
            <w:tcW w:w="565" w:type="pct"/>
            <w:shd w:val="clear" w:color="auto" w:fill="auto"/>
          </w:tcPr>
          <w:p w:rsidR="00BB28C2" w:rsidRPr="006E709F" w:rsidRDefault="00BB28C2" w:rsidP="00A801D0">
            <w:pPr>
              <w:pStyle w:val="Tabletext"/>
            </w:pPr>
            <w:r w:rsidRPr="006E709F">
              <w:t>12</w:t>
            </w:r>
          </w:p>
        </w:tc>
        <w:tc>
          <w:tcPr>
            <w:tcW w:w="4435" w:type="pct"/>
            <w:shd w:val="clear" w:color="auto" w:fill="auto"/>
          </w:tcPr>
          <w:p w:rsidR="00BB28C2" w:rsidRPr="006E709F" w:rsidRDefault="00BB28C2" w:rsidP="00A801D0">
            <w:pPr>
              <w:pStyle w:val="Tabletext"/>
            </w:pPr>
            <w:r w:rsidRPr="006E709F">
              <w:rPr>
                <w:i/>
              </w:rPr>
              <w:t>Guardianship and Management of Property Act 1991</w:t>
            </w:r>
            <w:r w:rsidRPr="006E709F">
              <w:t xml:space="preserve"> (ACT)</w:t>
            </w:r>
          </w:p>
        </w:tc>
      </w:tr>
      <w:tr w:rsidR="00BB28C2" w:rsidRPr="006E709F" w:rsidTr="00E118FA">
        <w:tc>
          <w:tcPr>
            <w:tcW w:w="565" w:type="pct"/>
            <w:shd w:val="clear" w:color="auto" w:fill="auto"/>
          </w:tcPr>
          <w:p w:rsidR="00BB28C2" w:rsidRPr="006E709F" w:rsidRDefault="00BB28C2" w:rsidP="00A801D0">
            <w:pPr>
              <w:pStyle w:val="Tabletext"/>
            </w:pPr>
            <w:r w:rsidRPr="006E709F">
              <w:t>13</w:t>
            </w:r>
          </w:p>
        </w:tc>
        <w:tc>
          <w:tcPr>
            <w:tcW w:w="4435" w:type="pct"/>
            <w:shd w:val="clear" w:color="auto" w:fill="auto"/>
          </w:tcPr>
          <w:p w:rsidR="00BB28C2" w:rsidRPr="006E709F" w:rsidRDefault="00BB28C2" w:rsidP="00A801D0">
            <w:pPr>
              <w:pStyle w:val="Tabletext"/>
            </w:pPr>
            <w:r w:rsidRPr="006E709F">
              <w:rPr>
                <w:i/>
              </w:rPr>
              <w:t xml:space="preserve">Testamentary Guardianship Act 1984 </w:t>
            </w:r>
            <w:r w:rsidRPr="006E709F">
              <w:t>(ACT)</w:t>
            </w:r>
          </w:p>
        </w:tc>
      </w:tr>
      <w:tr w:rsidR="00BB28C2" w:rsidRPr="006E709F" w:rsidTr="00E118FA">
        <w:tc>
          <w:tcPr>
            <w:tcW w:w="565" w:type="pct"/>
            <w:tcBorders>
              <w:bottom w:val="single" w:sz="4" w:space="0" w:color="auto"/>
            </w:tcBorders>
            <w:shd w:val="clear" w:color="auto" w:fill="auto"/>
          </w:tcPr>
          <w:p w:rsidR="00BB28C2" w:rsidRPr="006E709F" w:rsidRDefault="00BB28C2" w:rsidP="00A801D0">
            <w:pPr>
              <w:pStyle w:val="Tabletext"/>
            </w:pPr>
            <w:r w:rsidRPr="006E709F">
              <w:t>14</w:t>
            </w:r>
          </w:p>
        </w:tc>
        <w:tc>
          <w:tcPr>
            <w:tcW w:w="4435" w:type="pct"/>
            <w:tcBorders>
              <w:bottom w:val="single" w:sz="4" w:space="0" w:color="auto"/>
            </w:tcBorders>
            <w:shd w:val="clear" w:color="auto" w:fill="auto"/>
          </w:tcPr>
          <w:p w:rsidR="00BB28C2" w:rsidRPr="006E709F" w:rsidRDefault="00BB28C2" w:rsidP="00A801D0">
            <w:pPr>
              <w:pStyle w:val="Tabletext"/>
            </w:pPr>
            <w:r w:rsidRPr="006E709F">
              <w:rPr>
                <w:i/>
              </w:rPr>
              <w:t xml:space="preserve">Adult Guardianship Act </w:t>
            </w:r>
            <w:r w:rsidRPr="006E709F">
              <w:t>(NT)</w:t>
            </w:r>
          </w:p>
        </w:tc>
      </w:tr>
      <w:tr w:rsidR="00BB28C2" w:rsidRPr="006E709F" w:rsidTr="00E118FA">
        <w:tc>
          <w:tcPr>
            <w:tcW w:w="565" w:type="pct"/>
            <w:tcBorders>
              <w:bottom w:val="single" w:sz="12" w:space="0" w:color="auto"/>
            </w:tcBorders>
            <w:shd w:val="clear" w:color="auto" w:fill="auto"/>
          </w:tcPr>
          <w:p w:rsidR="00BB28C2" w:rsidRPr="006E709F" w:rsidRDefault="00BB28C2" w:rsidP="00A801D0">
            <w:pPr>
              <w:pStyle w:val="Tabletext"/>
            </w:pPr>
            <w:r w:rsidRPr="006E709F">
              <w:t>15</w:t>
            </w:r>
          </w:p>
        </w:tc>
        <w:tc>
          <w:tcPr>
            <w:tcW w:w="4435" w:type="pct"/>
            <w:tcBorders>
              <w:bottom w:val="single" w:sz="12" w:space="0" w:color="auto"/>
            </w:tcBorders>
            <w:shd w:val="clear" w:color="auto" w:fill="auto"/>
          </w:tcPr>
          <w:p w:rsidR="00BB28C2" w:rsidRPr="006E709F" w:rsidRDefault="00BB28C2" w:rsidP="00A801D0">
            <w:pPr>
              <w:pStyle w:val="Tabletext"/>
            </w:pPr>
            <w:r w:rsidRPr="006E709F">
              <w:rPr>
                <w:i/>
              </w:rPr>
              <w:t>Guardianship of Infants Act</w:t>
            </w:r>
            <w:r w:rsidRPr="006E709F">
              <w:t xml:space="preserve"> (NT)</w:t>
            </w:r>
          </w:p>
        </w:tc>
      </w:tr>
    </w:tbl>
    <w:p w:rsidR="00BB28C2" w:rsidRPr="006E709F" w:rsidRDefault="00A801D0" w:rsidP="00065887">
      <w:pPr>
        <w:pStyle w:val="ActHead1"/>
        <w:pageBreakBefore/>
        <w:spacing w:before="120"/>
      </w:pPr>
      <w:bookmarkStart w:id="45" w:name="_Toc160609737"/>
      <w:r w:rsidRPr="000C4237">
        <w:rPr>
          <w:rStyle w:val="CharChapNo"/>
        </w:rPr>
        <w:t>Schedule</w:t>
      </w:r>
      <w:r w:rsidR="00DA13DE" w:rsidRPr="000C4237">
        <w:rPr>
          <w:rStyle w:val="CharChapNo"/>
        </w:rPr>
        <w:t> </w:t>
      </w:r>
      <w:r w:rsidR="00BB28C2" w:rsidRPr="000C4237">
        <w:rPr>
          <w:rStyle w:val="CharChapNo"/>
        </w:rPr>
        <w:t>8AD</w:t>
      </w:r>
      <w:r w:rsidRPr="006E709F">
        <w:t>—</w:t>
      </w:r>
      <w:r w:rsidR="00BB28C2" w:rsidRPr="000C4237">
        <w:rPr>
          <w:rStyle w:val="CharChapText"/>
        </w:rPr>
        <w:t>Prescribed State and Territory laws and provisions for paragraph</w:t>
      </w:r>
      <w:r w:rsidR="00DA13DE" w:rsidRPr="000C4237">
        <w:rPr>
          <w:rStyle w:val="CharChapText"/>
        </w:rPr>
        <w:t> </w:t>
      </w:r>
      <w:r w:rsidR="00BB28C2" w:rsidRPr="000C4237">
        <w:rPr>
          <w:rStyle w:val="CharChapText"/>
        </w:rPr>
        <w:t>601RAE(4</w:t>
      </w:r>
      <w:r w:rsidRPr="000C4237">
        <w:rPr>
          <w:rStyle w:val="CharChapText"/>
        </w:rPr>
        <w:t>)(</w:t>
      </w:r>
      <w:r w:rsidR="00BB28C2" w:rsidRPr="000C4237">
        <w:rPr>
          <w:rStyle w:val="CharChapText"/>
        </w:rPr>
        <w:t>b) of the Act</w:t>
      </w:r>
      <w:bookmarkEnd w:id="45"/>
    </w:p>
    <w:p w:rsidR="00BB28C2" w:rsidRPr="006E709F" w:rsidRDefault="00BB28C2" w:rsidP="00A801D0">
      <w:pPr>
        <w:pStyle w:val="notemargin"/>
      </w:pPr>
      <w:r w:rsidRPr="006E709F">
        <w:t>(subregulation</w:t>
      </w:r>
      <w:r w:rsidR="00DA13DE" w:rsidRPr="006E709F">
        <w:t> </w:t>
      </w:r>
      <w:r w:rsidRPr="006E709F">
        <w:t>5D.1.04(3))</w:t>
      </w:r>
    </w:p>
    <w:p w:rsidR="00BB28C2" w:rsidRPr="006E709F" w:rsidRDefault="00A801D0" w:rsidP="00BB28C2">
      <w:pPr>
        <w:pStyle w:val="Header"/>
      </w:pPr>
      <w:r w:rsidRPr="000C4237">
        <w:rPr>
          <w:rStyle w:val="CharPartNo"/>
        </w:rPr>
        <w:t xml:space="preserve"> </w:t>
      </w:r>
      <w:r w:rsidRPr="000C4237">
        <w:rPr>
          <w:rStyle w:val="CharPartText"/>
        </w:rPr>
        <w:t xml:space="preserve"> </w:t>
      </w:r>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64"/>
        <w:gridCol w:w="7565"/>
      </w:tblGrid>
      <w:tr w:rsidR="00BB28C2" w:rsidRPr="006E709F" w:rsidTr="00E118FA">
        <w:trPr>
          <w:tblHeader/>
        </w:trPr>
        <w:tc>
          <w:tcPr>
            <w:tcW w:w="565" w:type="pct"/>
            <w:tcBorders>
              <w:top w:val="single" w:sz="12" w:space="0" w:color="auto"/>
              <w:bottom w:val="single" w:sz="12" w:space="0" w:color="auto"/>
            </w:tcBorders>
            <w:shd w:val="clear" w:color="auto" w:fill="auto"/>
          </w:tcPr>
          <w:p w:rsidR="00BB28C2" w:rsidRPr="006E709F" w:rsidRDefault="00BB28C2" w:rsidP="007678F7">
            <w:pPr>
              <w:pStyle w:val="TableHeading"/>
            </w:pPr>
            <w:r w:rsidRPr="006E709F">
              <w:t>Item</w:t>
            </w:r>
          </w:p>
        </w:tc>
        <w:tc>
          <w:tcPr>
            <w:tcW w:w="4435" w:type="pct"/>
            <w:tcBorders>
              <w:top w:val="single" w:sz="12" w:space="0" w:color="auto"/>
              <w:bottom w:val="single" w:sz="12" w:space="0" w:color="auto"/>
            </w:tcBorders>
            <w:shd w:val="clear" w:color="auto" w:fill="auto"/>
          </w:tcPr>
          <w:p w:rsidR="00BB28C2" w:rsidRPr="006E709F" w:rsidRDefault="00BB28C2" w:rsidP="007678F7">
            <w:pPr>
              <w:pStyle w:val="TableHeading"/>
            </w:pPr>
            <w:r w:rsidRPr="006E709F">
              <w:t>State or Territory law and provisions</w:t>
            </w:r>
          </w:p>
        </w:tc>
      </w:tr>
      <w:tr w:rsidR="00BB28C2" w:rsidRPr="006E709F" w:rsidTr="00E118FA">
        <w:tc>
          <w:tcPr>
            <w:tcW w:w="565" w:type="pct"/>
            <w:tcBorders>
              <w:top w:val="single" w:sz="12" w:space="0" w:color="auto"/>
            </w:tcBorders>
            <w:shd w:val="clear" w:color="auto" w:fill="auto"/>
          </w:tcPr>
          <w:p w:rsidR="00BB28C2" w:rsidRPr="006E709F" w:rsidRDefault="00BB28C2" w:rsidP="005133DE">
            <w:pPr>
              <w:pStyle w:val="Tabletext"/>
            </w:pPr>
          </w:p>
        </w:tc>
        <w:tc>
          <w:tcPr>
            <w:tcW w:w="4435" w:type="pct"/>
            <w:tcBorders>
              <w:top w:val="single" w:sz="12" w:space="0" w:color="auto"/>
            </w:tcBorders>
            <w:shd w:val="clear" w:color="auto" w:fill="auto"/>
          </w:tcPr>
          <w:p w:rsidR="00BB28C2" w:rsidRPr="006E709F" w:rsidRDefault="00BB28C2" w:rsidP="00A801D0">
            <w:pPr>
              <w:pStyle w:val="Tabletext"/>
            </w:pPr>
            <w:r w:rsidRPr="006E709F">
              <w:t>NEW SOUTH WALES</w:t>
            </w:r>
          </w:p>
        </w:tc>
      </w:tr>
      <w:tr w:rsidR="00260E53" w:rsidRPr="006E709F" w:rsidTr="00E118FA">
        <w:tc>
          <w:tcPr>
            <w:tcW w:w="565" w:type="pct"/>
            <w:shd w:val="clear" w:color="auto" w:fill="auto"/>
          </w:tcPr>
          <w:p w:rsidR="00260E53" w:rsidRPr="006E709F" w:rsidRDefault="00260E53" w:rsidP="00A801D0">
            <w:pPr>
              <w:pStyle w:val="Tabletext"/>
            </w:pPr>
            <w:r w:rsidRPr="006E709F">
              <w:t>1A</w:t>
            </w:r>
          </w:p>
        </w:tc>
        <w:tc>
          <w:tcPr>
            <w:tcW w:w="4435" w:type="pct"/>
            <w:shd w:val="clear" w:color="auto" w:fill="auto"/>
          </w:tcPr>
          <w:p w:rsidR="00260E53" w:rsidRPr="006E709F" w:rsidRDefault="00260E53" w:rsidP="00A801D0">
            <w:pPr>
              <w:pStyle w:val="Tabletext"/>
            </w:pPr>
            <w:r w:rsidRPr="006E709F">
              <w:rPr>
                <w:i/>
              </w:rPr>
              <w:t xml:space="preserve">Legal Profession Act 2004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1</w:t>
            </w:r>
          </w:p>
        </w:tc>
        <w:tc>
          <w:tcPr>
            <w:tcW w:w="4435" w:type="pct"/>
            <w:shd w:val="clear" w:color="auto" w:fill="auto"/>
          </w:tcPr>
          <w:p w:rsidR="00BB28C2" w:rsidRPr="006E709F" w:rsidRDefault="00BB28C2" w:rsidP="00A801D0">
            <w:pPr>
              <w:pStyle w:val="Tabletext"/>
            </w:pPr>
            <w:r w:rsidRPr="006E709F">
              <w:rPr>
                <w:i/>
              </w:rPr>
              <w:t xml:space="preserve">Probate and Administration Act 1898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2</w:t>
            </w:r>
          </w:p>
        </w:tc>
        <w:tc>
          <w:tcPr>
            <w:tcW w:w="4435" w:type="pct"/>
            <w:shd w:val="clear" w:color="auto" w:fill="auto"/>
          </w:tcPr>
          <w:p w:rsidR="00BB28C2" w:rsidRPr="006E709F" w:rsidRDefault="00BB28C2" w:rsidP="00A801D0">
            <w:pPr>
              <w:pStyle w:val="Tabletext"/>
            </w:pPr>
            <w:r w:rsidRPr="006E709F">
              <w:rPr>
                <w:i/>
              </w:rPr>
              <w:t xml:space="preserve">NSW Trustee and Guardian Act 2009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3</w:t>
            </w:r>
          </w:p>
        </w:tc>
        <w:tc>
          <w:tcPr>
            <w:tcW w:w="4435" w:type="pct"/>
            <w:shd w:val="clear" w:color="auto" w:fill="auto"/>
          </w:tcPr>
          <w:p w:rsidR="00BB28C2" w:rsidRPr="006E709F" w:rsidRDefault="00BB28C2" w:rsidP="00A801D0">
            <w:pPr>
              <w:pStyle w:val="Tabletext"/>
            </w:pPr>
            <w:r w:rsidRPr="006E709F">
              <w:rPr>
                <w:i/>
              </w:rPr>
              <w:t xml:space="preserve">Trustee Act 1925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4</w:t>
            </w:r>
          </w:p>
        </w:tc>
        <w:tc>
          <w:tcPr>
            <w:tcW w:w="4435" w:type="pct"/>
            <w:shd w:val="clear" w:color="auto" w:fill="auto"/>
          </w:tcPr>
          <w:p w:rsidR="00BB28C2" w:rsidRPr="006E709F" w:rsidRDefault="00BB28C2" w:rsidP="00A801D0">
            <w:pPr>
              <w:pStyle w:val="Tabletext"/>
            </w:pPr>
            <w:r w:rsidRPr="006E709F">
              <w:rPr>
                <w:i/>
              </w:rPr>
              <w:t xml:space="preserve">Trustee Companies Act 1964 </w:t>
            </w:r>
            <w:r w:rsidRPr="006E709F">
              <w:t>and any regulations made under that Act</w:t>
            </w:r>
          </w:p>
        </w:tc>
      </w:tr>
      <w:tr w:rsidR="00BB28C2" w:rsidRPr="006E709F" w:rsidTr="00E118FA">
        <w:tc>
          <w:tcPr>
            <w:tcW w:w="565" w:type="pct"/>
            <w:shd w:val="clear" w:color="auto" w:fill="auto"/>
          </w:tcPr>
          <w:p w:rsidR="00BB28C2" w:rsidRPr="006E709F" w:rsidRDefault="00BB28C2" w:rsidP="005133DE">
            <w:pPr>
              <w:pStyle w:val="Tabletext"/>
            </w:pPr>
          </w:p>
        </w:tc>
        <w:tc>
          <w:tcPr>
            <w:tcW w:w="4435" w:type="pct"/>
            <w:shd w:val="clear" w:color="auto" w:fill="auto"/>
          </w:tcPr>
          <w:p w:rsidR="00BB28C2" w:rsidRPr="006E709F" w:rsidRDefault="00BB28C2" w:rsidP="00A801D0">
            <w:pPr>
              <w:pStyle w:val="Tabletext"/>
            </w:pPr>
            <w:r w:rsidRPr="006E709F">
              <w:t>VICTORIA</w:t>
            </w:r>
          </w:p>
        </w:tc>
      </w:tr>
      <w:tr w:rsidR="00BB28C2" w:rsidRPr="006E709F" w:rsidTr="00E118FA">
        <w:tc>
          <w:tcPr>
            <w:tcW w:w="565" w:type="pct"/>
            <w:shd w:val="clear" w:color="auto" w:fill="auto"/>
          </w:tcPr>
          <w:p w:rsidR="00BB28C2" w:rsidRPr="006E709F" w:rsidRDefault="00BB28C2" w:rsidP="00A801D0">
            <w:pPr>
              <w:pStyle w:val="Tabletext"/>
            </w:pPr>
            <w:r w:rsidRPr="006E709F">
              <w:t>5</w:t>
            </w:r>
          </w:p>
        </w:tc>
        <w:tc>
          <w:tcPr>
            <w:tcW w:w="4435" w:type="pct"/>
            <w:shd w:val="clear" w:color="auto" w:fill="auto"/>
          </w:tcPr>
          <w:p w:rsidR="00BB28C2" w:rsidRPr="006E709F" w:rsidRDefault="00BB28C2" w:rsidP="00A801D0">
            <w:pPr>
              <w:pStyle w:val="Tabletext"/>
            </w:pPr>
            <w:r w:rsidRPr="006E709F">
              <w:rPr>
                <w:b/>
              </w:rPr>
              <w:t xml:space="preserve">Administration and Probate Act 1958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6</w:t>
            </w:r>
          </w:p>
        </w:tc>
        <w:tc>
          <w:tcPr>
            <w:tcW w:w="4435" w:type="pct"/>
            <w:shd w:val="clear" w:color="auto" w:fill="auto"/>
          </w:tcPr>
          <w:p w:rsidR="00BB28C2" w:rsidRPr="006E709F" w:rsidRDefault="00BB28C2" w:rsidP="00A801D0">
            <w:pPr>
              <w:pStyle w:val="Tabletext"/>
            </w:pPr>
            <w:r w:rsidRPr="006E709F">
              <w:rPr>
                <w:b/>
              </w:rPr>
              <w:t xml:space="preserve">Guardianship and Administration Act 1986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7</w:t>
            </w:r>
          </w:p>
        </w:tc>
        <w:tc>
          <w:tcPr>
            <w:tcW w:w="4435" w:type="pct"/>
            <w:shd w:val="clear" w:color="auto" w:fill="auto"/>
          </w:tcPr>
          <w:p w:rsidR="00BB28C2" w:rsidRPr="006E709F" w:rsidRDefault="00BB28C2" w:rsidP="00A801D0">
            <w:pPr>
              <w:pStyle w:val="Tabletext"/>
            </w:pPr>
            <w:r w:rsidRPr="006E709F">
              <w:rPr>
                <w:b/>
              </w:rPr>
              <w:t xml:space="preserve">Instruments Act 1958 </w:t>
            </w:r>
            <w:r w:rsidRPr="006E709F">
              <w:t>and any regulations made under that Act</w:t>
            </w:r>
          </w:p>
        </w:tc>
      </w:tr>
      <w:tr w:rsidR="00260E53" w:rsidRPr="006E709F" w:rsidTr="00E118FA">
        <w:tc>
          <w:tcPr>
            <w:tcW w:w="565" w:type="pct"/>
            <w:shd w:val="clear" w:color="auto" w:fill="auto"/>
          </w:tcPr>
          <w:p w:rsidR="00260E53" w:rsidRPr="006E709F" w:rsidRDefault="00260E53" w:rsidP="00A801D0">
            <w:pPr>
              <w:pStyle w:val="Tabletext"/>
            </w:pPr>
            <w:r w:rsidRPr="006E709F">
              <w:t>7A</w:t>
            </w:r>
          </w:p>
        </w:tc>
        <w:tc>
          <w:tcPr>
            <w:tcW w:w="4435" w:type="pct"/>
            <w:shd w:val="clear" w:color="auto" w:fill="auto"/>
          </w:tcPr>
          <w:p w:rsidR="00260E53" w:rsidRPr="006E709F" w:rsidRDefault="00260E53" w:rsidP="00A801D0">
            <w:pPr>
              <w:pStyle w:val="Tabletext"/>
            </w:pPr>
            <w:r w:rsidRPr="006E709F">
              <w:rPr>
                <w:b/>
              </w:rPr>
              <w:t>Legal Profession Act 2004</w:t>
            </w:r>
            <w:r w:rsidRPr="006E709F">
              <w:t xml:space="preserve"> 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8</w:t>
            </w:r>
          </w:p>
        </w:tc>
        <w:tc>
          <w:tcPr>
            <w:tcW w:w="4435" w:type="pct"/>
            <w:shd w:val="clear" w:color="auto" w:fill="auto"/>
          </w:tcPr>
          <w:p w:rsidR="00BB28C2" w:rsidRPr="006E709F" w:rsidRDefault="00BB28C2" w:rsidP="00A801D0">
            <w:pPr>
              <w:pStyle w:val="Tabletext"/>
            </w:pPr>
            <w:r w:rsidRPr="006E709F">
              <w:rPr>
                <w:b/>
              </w:rPr>
              <w:t xml:space="preserve">Medical Treatment Act 1988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9</w:t>
            </w:r>
          </w:p>
        </w:tc>
        <w:tc>
          <w:tcPr>
            <w:tcW w:w="4435" w:type="pct"/>
            <w:shd w:val="clear" w:color="auto" w:fill="auto"/>
          </w:tcPr>
          <w:p w:rsidR="00BB28C2" w:rsidRPr="006E709F" w:rsidRDefault="00BB28C2" w:rsidP="00A801D0">
            <w:pPr>
              <w:pStyle w:val="Tabletext"/>
            </w:pPr>
            <w:r w:rsidRPr="006E709F">
              <w:rPr>
                <w:b/>
              </w:rPr>
              <w:t xml:space="preserve">State Trustees (State Owned Company) Act 1994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10</w:t>
            </w:r>
          </w:p>
        </w:tc>
        <w:tc>
          <w:tcPr>
            <w:tcW w:w="4435" w:type="pct"/>
            <w:shd w:val="clear" w:color="auto" w:fill="auto"/>
          </w:tcPr>
          <w:p w:rsidR="00BB28C2" w:rsidRPr="006E709F" w:rsidRDefault="00BB28C2" w:rsidP="00A801D0">
            <w:pPr>
              <w:pStyle w:val="Tabletext"/>
            </w:pPr>
            <w:r w:rsidRPr="006E709F">
              <w:rPr>
                <w:b/>
              </w:rPr>
              <w:t xml:space="preserve">Trustee Act 1958 </w:t>
            </w:r>
            <w:r w:rsidRPr="006E709F">
              <w:t>and any regulations made under that Act</w:t>
            </w:r>
          </w:p>
        </w:tc>
      </w:tr>
      <w:tr w:rsidR="00BB28C2" w:rsidRPr="006E709F" w:rsidTr="00E118FA">
        <w:tc>
          <w:tcPr>
            <w:tcW w:w="565" w:type="pct"/>
            <w:shd w:val="clear" w:color="auto" w:fill="auto"/>
          </w:tcPr>
          <w:p w:rsidR="00BB28C2" w:rsidRPr="006E709F" w:rsidRDefault="00BB28C2" w:rsidP="005133DE">
            <w:pPr>
              <w:pStyle w:val="Tabletext"/>
            </w:pPr>
          </w:p>
        </w:tc>
        <w:tc>
          <w:tcPr>
            <w:tcW w:w="4435" w:type="pct"/>
            <w:shd w:val="clear" w:color="auto" w:fill="auto"/>
          </w:tcPr>
          <w:p w:rsidR="00BB28C2" w:rsidRPr="006E709F" w:rsidRDefault="00BB28C2" w:rsidP="00A801D0">
            <w:pPr>
              <w:pStyle w:val="Tabletext"/>
            </w:pPr>
            <w:r w:rsidRPr="006E709F">
              <w:t>QUEENSLAND</w:t>
            </w:r>
          </w:p>
        </w:tc>
      </w:tr>
      <w:tr w:rsidR="00BB28C2" w:rsidRPr="006E709F" w:rsidTr="00E118FA">
        <w:tc>
          <w:tcPr>
            <w:tcW w:w="565" w:type="pct"/>
            <w:shd w:val="clear" w:color="auto" w:fill="auto"/>
          </w:tcPr>
          <w:p w:rsidR="00BB28C2" w:rsidRPr="006E709F" w:rsidRDefault="00BB28C2" w:rsidP="00A801D0">
            <w:pPr>
              <w:pStyle w:val="Tabletext"/>
            </w:pPr>
            <w:r w:rsidRPr="006E709F">
              <w:t>11</w:t>
            </w:r>
          </w:p>
        </w:tc>
        <w:tc>
          <w:tcPr>
            <w:tcW w:w="4435" w:type="pct"/>
            <w:shd w:val="clear" w:color="auto" w:fill="auto"/>
          </w:tcPr>
          <w:p w:rsidR="00BB28C2" w:rsidRPr="006E709F" w:rsidRDefault="00BB28C2" w:rsidP="00A801D0">
            <w:pPr>
              <w:pStyle w:val="Tabletext"/>
            </w:pPr>
            <w:r w:rsidRPr="006E709F">
              <w:rPr>
                <w:i/>
              </w:rPr>
              <w:t xml:space="preserve">Guardianship and Administration Act 2000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12</w:t>
            </w:r>
          </w:p>
        </w:tc>
        <w:tc>
          <w:tcPr>
            <w:tcW w:w="4435" w:type="pct"/>
            <w:shd w:val="clear" w:color="auto" w:fill="auto"/>
          </w:tcPr>
          <w:p w:rsidR="00BB28C2" w:rsidRPr="006E709F" w:rsidRDefault="00BB28C2" w:rsidP="00A801D0">
            <w:pPr>
              <w:pStyle w:val="Tabletext"/>
            </w:pPr>
            <w:r w:rsidRPr="006E709F">
              <w:rPr>
                <w:i/>
              </w:rPr>
              <w:t xml:space="preserve">Legal Profession Act 2007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13</w:t>
            </w:r>
          </w:p>
        </w:tc>
        <w:tc>
          <w:tcPr>
            <w:tcW w:w="4435" w:type="pct"/>
            <w:shd w:val="clear" w:color="auto" w:fill="auto"/>
          </w:tcPr>
          <w:p w:rsidR="00BB28C2" w:rsidRPr="006E709F" w:rsidRDefault="00BB28C2" w:rsidP="00A801D0">
            <w:pPr>
              <w:pStyle w:val="Tabletext"/>
            </w:pPr>
            <w:r w:rsidRPr="006E709F">
              <w:rPr>
                <w:i/>
              </w:rPr>
              <w:t xml:space="preserve">Public Trustee Act 1978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14</w:t>
            </w:r>
          </w:p>
        </w:tc>
        <w:tc>
          <w:tcPr>
            <w:tcW w:w="4435" w:type="pct"/>
            <w:shd w:val="clear" w:color="auto" w:fill="auto"/>
          </w:tcPr>
          <w:p w:rsidR="00BB28C2" w:rsidRPr="006E709F" w:rsidRDefault="00BB28C2" w:rsidP="00A801D0">
            <w:pPr>
              <w:pStyle w:val="Tabletext"/>
            </w:pPr>
            <w:r w:rsidRPr="006E709F">
              <w:rPr>
                <w:i/>
              </w:rPr>
              <w:t xml:space="preserve">Succession Act 1981 </w:t>
            </w:r>
            <w:r w:rsidRPr="006E709F">
              <w:t>and any regulations made under that Act</w:t>
            </w:r>
          </w:p>
        </w:tc>
      </w:tr>
      <w:tr w:rsidR="00BB28C2" w:rsidRPr="006E709F" w:rsidTr="00E118FA">
        <w:tc>
          <w:tcPr>
            <w:tcW w:w="565" w:type="pct"/>
            <w:tcBorders>
              <w:bottom w:val="single" w:sz="4" w:space="0" w:color="auto"/>
            </w:tcBorders>
            <w:shd w:val="clear" w:color="auto" w:fill="auto"/>
          </w:tcPr>
          <w:p w:rsidR="00BB28C2" w:rsidRPr="006E709F" w:rsidRDefault="00BB28C2" w:rsidP="00A801D0">
            <w:pPr>
              <w:pStyle w:val="Tabletext"/>
            </w:pPr>
            <w:r w:rsidRPr="006E709F">
              <w:t>15</w:t>
            </w:r>
          </w:p>
        </w:tc>
        <w:tc>
          <w:tcPr>
            <w:tcW w:w="4435" w:type="pct"/>
            <w:tcBorders>
              <w:bottom w:val="single" w:sz="4" w:space="0" w:color="auto"/>
            </w:tcBorders>
            <w:shd w:val="clear" w:color="auto" w:fill="auto"/>
          </w:tcPr>
          <w:p w:rsidR="00BB28C2" w:rsidRPr="006E709F" w:rsidRDefault="00BB28C2" w:rsidP="00A801D0">
            <w:pPr>
              <w:pStyle w:val="Tabletext"/>
            </w:pPr>
            <w:r w:rsidRPr="006E709F">
              <w:rPr>
                <w:i/>
              </w:rPr>
              <w:t xml:space="preserve">Trustee Companies Act 1968 </w:t>
            </w:r>
            <w:r w:rsidRPr="006E709F">
              <w:t>and any regulations made under that Act</w:t>
            </w:r>
          </w:p>
        </w:tc>
      </w:tr>
      <w:tr w:rsidR="00BB28C2" w:rsidRPr="006E709F" w:rsidTr="00E118FA">
        <w:tc>
          <w:tcPr>
            <w:tcW w:w="565" w:type="pct"/>
            <w:tcBorders>
              <w:bottom w:val="single" w:sz="4" w:space="0" w:color="auto"/>
            </w:tcBorders>
            <w:shd w:val="clear" w:color="auto" w:fill="auto"/>
          </w:tcPr>
          <w:p w:rsidR="00BB28C2" w:rsidRPr="006E709F" w:rsidRDefault="00BB28C2" w:rsidP="00A801D0">
            <w:pPr>
              <w:pStyle w:val="Tabletext"/>
            </w:pPr>
            <w:r w:rsidRPr="006E709F">
              <w:t>16</w:t>
            </w:r>
          </w:p>
        </w:tc>
        <w:tc>
          <w:tcPr>
            <w:tcW w:w="4435" w:type="pct"/>
            <w:tcBorders>
              <w:bottom w:val="single" w:sz="4" w:space="0" w:color="auto"/>
            </w:tcBorders>
            <w:shd w:val="clear" w:color="auto" w:fill="auto"/>
          </w:tcPr>
          <w:p w:rsidR="00BB28C2" w:rsidRPr="006E709F" w:rsidRDefault="00BB28C2" w:rsidP="00A801D0">
            <w:pPr>
              <w:pStyle w:val="Tabletext"/>
            </w:pPr>
            <w:r w:rsidRPr="006E709F">
              <w:rPr>
                <w:i/>
              </w:rPr>
              <w:t xml:space="preserve">Trusts Act 1973 </w:t>
            </w:r>
            <w:r w:rsidRPr="006E709F">
              <w:t>and any regulations made under that Act</w:t>
            </w:r>
          </w:p>
        </w:tc>
      </w:tr>
      <w:tr w:rsidR="00BB28C2" w:rsidRPr="006E709F" w:rsidTr="00E118FA">
        <w:tc>
          <w:tcPr>
            <w:tcW w:w="565" w:type="pct"/>
            <w:tcBorders>
              <w:top w:val="single" w:sz="4" w:space="0" w:color="auto"/>
            </w:tcBorders>
            <w:shd w:val="clear" w:color="auto" w:fill="auto"/>
          </w:tcPr>
          <w:p w:rsidR="00BB28C2" w:rsidRPr="006E709F" w:rsidRDefault="00BB28C2" w:rsidP="00A801D0">
            <w:pPr>
              <w:pStyle w:val="Tabletext"/>
            </w:pPr>
            <w:r w:rsidRPr="006E709F">
              <w:t>17</w:t>
            </w:r>
          </w:p>
        </w:tc>
        <w:tc>
          <w:tcPr>
            <w:tcW w:w="4435" w:type="pct"/>
            <w:tcBorders>
              <w:top w:val="single" w:sz="4" w:space="0" w:color="auto"/>
            </w:tcBorders>
            <w:shd w:val="clear" w:color="auto" w:fill="auto"/>
          </w:tcPr>
          <w:p w:rsidR="00BB28C2" w:rsidRPr="006E709F" w:rsidRDefault="00BB28C2" w:rsidP="00A801D0">
            <w:pPr>
              <w:pStyle w:val="Tabletext"/>
            </w:pPr>
            <w:r w:rsidRPr="006E709F">
              <w:rPr>
                <w:i/>
              </w:rPr>
              <w:t>Uniform Civil Procedure Rules</w:t>
            </w:r>
            <w:r w:rsidR="00DA13DE" w:rsidRPr="006E709F">
              <w:rPr>
                <w:i/>
              </w:rPr>
              <w:t> </w:t>
            </w:r>
            <w:r w:rsidRPr="006E709F">
              <w:rPr>
                <w:i/>
              </w:rPr>
              <w:t>1999</w:t>
            </w:r>
            <w:r w:rsidRPr="006E709F">
              <w:t xml:space="preserve">, </w:t>
            </w:r>
            <w:r w:rsidR="00A801D0" w:rsidRPr="006E709F">
              <w:t>Chapter</w:t>
            </w:r>
            <w:r w:rsidR="00DA13DE" w:rsidRPr="006E709F">
              <w:t> </w:t>
            </w:r>
            <w:r w:rsidRPr="006E709F">
              <w:t>15 and rule</w:t>
            </w:r>
            <w:r w:rsidR="00DA13DE" w:rsidRPr="006E709F">
              <w:t> </w:t>
            </w:r>
            <w:r w:rsidRPr="006E709F">
              <w:t>94</w:t>
            </w:r>
          </w:p>
        </w:tc>
      </w:tr>
      <w:tr w:rsidR="00BB28C2" w:rsidRPr="006E709F" w:rsidTr="00E118FA">
        <w:tc>
          <w:tcPr>
            <w:tcW w:w="565" w:type="pct"/>
            <w:shd w:val="clear" w:color="auto" w:fill="auto"/>
          </w:tcPr>
          <w:p w:rsidR="00BB28C2" w:rsidRPr="006E709F" w:rsidRDefault="00BB28C2" w:rsidP="005133DE">
            <w:pPr>
              <w:pStyle w:val="Tabletext"/>
            </w:pPr>
          </w:p>
        </w:tc>
        <w:tc>
          <w:tcPr>
            <w:tcW w:w="4435" w:type="pct"/>
            <w:shd w:val="clear" w:color="auto" w:fill="auto"/>
          </w:tcPr>
          <w:p w:rsidR="00BB28C2" w:rsidRPr="006E709F" w:rsidRDefault="00BB28C2" w:rsidP="00A801D0">
            <w:pPr>
              <w:pStyle w:val="Tabletext"/>
            </w:pPr>
            <w:r w:rsidRPr="006E709F">
              <w:t>WESTERN AUSTRALIA</w:t>
            </w:r>
          </w:p>
        </w:tc>
      </w:tr>
      <w:tr w:rsidR="00BB28C2" w:rsidRPr="006E709F" w:rsidTr="00E118FA">
        <w:tc>
          <w:tcPr>
            <w:tcW w:w="565" w:type="pct"/>
            <w:shd w:val="clear" w:color="auto" w:fill="auto"/>
          </w:tcPr>
          <w:p w:rsidR="00BB28C2" w:rsidRPr="006E709F" w:rsidRDefault="00BB28C2" w:rsidP="00A801D0">
            <w:pPr>
              <w:pStyle w:val="Tabletext"/>
            </w:pPr>
            <w:r w:rsidRPr="006E709F">
              <w:t>18</w:t>
            </w:r>
          </w:p>
        </w:tc>
        <w:tc>
          <w:tcPr>
            <w:tcW w:w="4435" w:type="pct"/>
            <w:shd w:val="clear" w:color="auto" w:fill="auto"/>
          </w:tcPr>
          <w:p w:rsidR="00BB28C2" w:rsidRPr="006E709F" w:rsidRDefault="00BB28C2" w:rsidP="00A801D0">
            <w:pPr>
              <w:pStyle w:val="Tabletext"/>
            </w:pPr>
            <w:r w:rsidRPr="006E709F">
              <w:rPr>
                <w:i/>
              </w:rPr>
              <w:t xml:space="preserve">Guardianship and Administration Act 1990 </w:t>
            </w:r>
            <w:r w:rsidRPr="006E709F">
              <w:t>and any regulations made under that Act</w:t>
            </w:r>
          </w:p>
        </w:tc>
      </w:tr>
      <w:tr w:rsidR="00260E53" w:rsidRPr="006E709F" w:rsidTr="00E118FA">
        <w:tc>
          <w:tcPr>
            <w:tcW w:w="565" w:type="pct"/>
            <w:shd w:val="clear" w:color="auto" w:fill="auto"/>
          </w:tcPr>
          <w:p w:rsidR="00260E53" w:rsidRPr="006E709F" w:rsidRDefault="00260E53" w:rsidP="00A801D0">
            <w:pPr>
              <w:pStyle w:val="Tabletext"/>
            </w:pPr>
            <w:r w:rsidRPr="006E709F">
              <w:t>18A</w:t>
            </w:r>
          </w:p>
        </w:tc>
        <w:tc>
          <w:tcPr>
            <w:tcW w:w="4435" w:type="pct"/>
            <w:shd w:val="clear" w:color="auto" w:fill="auto"/>
          </w:tcPr>
          <w:p w:rsidR="00260E53" w:rsidRPr="006E709F" w:rsidRDefault="00260E53" w:rsidP="00A801D0">
            <w:pPr>
              <w:pStyle w:val="Tabletext"/>
            </w:pPr>
            <w:r w:rsidRPr="006E709F">
              <w:rPr>
                <w:i/>
              </w:rPr>
              <w:t xml:space="preserve">Legal Profession Act 2008 </w:t>
            </w:r>
            <w:r w:rsidRPr="006E709F">
              <w:t>and any regulations made under that Act</w:t>
            </w:r>
          </w:p>
        </w:tc>
      </w:tr>
      <w:tr w:rsidR="00260E53" w:rsidRPr="006E709F" w:rsidTr="00E118FA">
        <w:tc>
          <w:tcPr>
            <w:tcW w:w="565" w:type="pct"/>
            <w:shd w:val="clear" w:color="auto" w:fill="auto"/>
          </w:tcPr>
          <w:p w:rsidR="00260E53" w:rsidRPr="006E709F" w:rsidRDefault="00260E53" w:rsidP="00A801D0">
            <w:pPr>
              <w:pStyle w:val="Tabletext"/>
            </w:pPr>
            <w:r w:rsidRPr="006E709F">
              <w:t>18B</w:t>
            </w:r>
          </w:p>
        </w:tc>
        <w:tc>
          <w:tcPr>
            <w:tcW w:w="4435" w:type="pct"/>
            <w:shd w:val="clear" w:color="auto" w:fill="auto"/>
          </w:tcPr>
          <w:p w:rsidR="00260E53" w:rsidRPr="006E709F" w:rsidRDefault="00260E53" w:rsidP="00A801D0">
            <w:pPr>
              <w:pStyle w:val="Tabletext"/>
            </w:pPr>
            <w:r w:rsidRPr="006E709F">
              <w:rPr>
                <w:i/>
              </w:rPr>
              <w:t xml:space="preserve">Public Trustee Act 1941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19</w:t>
            </w:r>
          </w:p>
        </w:tc>
        <w:tc>
          <w:tcPr>
            <w:tcW w:w="4435" w:type="pct"/>
            <w:shd w:val="clear" w:color="auto" w:fill="auto"/>
          </w:tcPr>
          <w:p w:rsidR="00BB28C2" w:rsidRPr="006E709F" w:rsidRDefault="00BB28C2" w:rsidP="00A801D0">
            <w:pPr>
              <w:pStyle w:val="Tabletext"/>
            </w:pPr>
            <w:r w:rsidRPr="006E709F">
              <w:rPr>
                <w:i/>
              </w:rPr>
              <w:t xml:space="preserve">Trustees Act 1962 </w:t>
            </w:r>
            <w:r w:rsidRPr="006E709F">
              <w:t>and any regulations made under that Act</w:t>
            </w:r>
          </w:p>
        </w:tc>
      </w:tr>
      <w:tr w:rsidR="00BB28C2" w:rsidRPr="006E709F" w:rsidTr="00E118FA">
        <w:tc>
          <w:tcPr>
            <w:tcW w:w="565" w:type="pct"/>
            <w:shd w:val="clear" w:color="auto" w:fill="auto"/>
          </w:tcPr>
          <w:p w:rsidR="00BB28C2" w:rsidRPr="006E709F" w:rsidRDefault="00BB28C2" w:rsidP="005133DE">
            <w:pPr>
              <w:pStyle w:val="Tabletext"/>
            </w:pPr>
          </w:p>
        </w:tc>
        <w:tc>
          <w:tcPr>
            <w:tcW w:w="4435" w:type="pct"/>
            <w:shd w:val="clear" w:color="auto" w:fill="auto"/>
          </w:tcPr>
          <w:p w:rsidR="00BB28C2" w:rsidRPr="006E709F" w:rsidRDefault="00BB28C2" w:rsidP="00A801D0">
            <w:pPr>
              <w:pStyle w:val="Tabletext"/>
            </w:pPr>
            <w:r w:rsidRPr="006E709F">
              <w:t>SOUTH AUSTRALIA</w:t>
            </w:r>
          </w:p>
        </w:tc>
      </w:tr>
      <w:tr w:rsidR="00BB28C2" w:rsidRPr="006E709F" w:rsidTr="00E118FA">
        <w:tc>
          <w:tcPr>
            <w:tcW w:w="565" w:type="pct"/>
            <w:shd w:val="clear" w:color="auto" w:fill="auto"/>
          </w:tcPr>
          <w:p w:rsidR="00BB28C2" w:rsidRPr="006E709F" w:rsidRDefault="00BB28C2" w:rsidP="00A801D0">
            <w:pPr>
              <w:pStyle w:val="Tabletext"/>
            </w:pPr>
            <w:r w:rsidRPr="006E709F">
              <w:t>20</w:t>
            </w:r>
          </w:p>
        </w:tc>
        <w:tc>
          <w:tcPr>
            <w:tcW w:w="4435" w:type="pct"/>
            <w:shd w:val="clear" w:color="auto" w:fill="auto"/>
          </w:tcPr>
          <w:p w:rsidR="00BB28C2" w:rsidRPr="006E709F" w:rsidRDefault="00BB28C2" w:rsidP="00A801D0">
            <w:pPr>
              <w:pStyle w:val="Tabletext"/>
            </w:pPr>
            <w:r w:rsidRPr="006E709F">
              <w:rPr>
                <w:i/>
              </w:rPr>
              <w:t xml:space="preserve">Administration and Probate Act 1919 </w:t>
            </w:r>
            <w:r w:rsidRPr="006E709F">
              <w:t>and any regulations made under that Act</w:t>
            </w:r>
          </w:p>
        </w:tc>
      </w:tr>
      <w:tr w:rsidR="00260E53" w:rsidRPr="006E709F" w:rsidDel="00260E53" w:rsidTr="00E118FA">
        <w:tc>
          <w:tcPr>
            <w:tcW w:w="565" w:type="pct"/>
            <w:shd w:val="clear" w:color="auto" w:fill="auto"/>
          </w:tcPr>
          <w:p w:rsidR="00260E53" w:rsidRPr="006E709F" w:rsidDel="00260E53" w:rsidRDefault="00260E53" w:rsidP="00A801D0">
            <w:pPr>
              <w:pStyle w:val="Tabletext"/>
            </w:pPr>
            <w:r w:rsidRPr="006E709F">
              <w:t>21</w:t>
            </w:r>
          </w:p>
        </w:tc>
        <w:tc>
          <w:tcPr>
            <w:tcW w:w="4435" w:type="pct"/>
            <w:shd w:val="clear" w:color="auto" w:fill="auto"/>
          </w:tcPr>
          <w:p w:rsidR="00260E53" w:rsidRPr="006E709F" w:rsidDel="00260E53" w:rsidRDefault="00260E53" w:rsidP="00A801D0">
            <w:pPr>
              <w:pStyle w:val="Tabletext"/>
            </w:pPr>
            <w:r w:rsidRPr="006E709F">
              <w:rPr>
                <w:i/>
              </w:rPr>
              <w:t xml:space="preserve">Aged and Infirm Persons’ Property Act 1940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22</w:t>
            </w:r>
          </w:p>
        </w:tc>
        <w:tc>
          <w:tcPr>
            <w:tcW w:w="4435" w:type="pct"/>
            <w:shd w:val="clear" w:color="auto" w:fill="auto"/>
          </w:tcPr>
          <w:p w:rsidR="00BB28C2" w:rsidRPr="006E709F" w:rsidRDefault="00BB28C2" w:rsidP="00A801D0">
            <w:pPr>
              <w:pStyle w:val="Tabletext"/>
            </w:pPr>
            <w:r w:rsidRPr="006E709F">
              <w:rPr>
                <w:i/>
              </w:rPr>
              <w:t xml:space="preserve">Guardianship and Administration Act 1993 </w:t>
            </w:r>
            <w:r w:rsidRPr="006E709F">
              <w:t>and any regulations made under that Act</w:t>
            </w:r>
          </w:p>
        </w:tc>
      </w:tr>
      <w:tr w:rsidR="00260E53" w:rsidRPr="006E709F" w:rsidDel="00260E53" w:rsidTr="00E118FA">
        <w:tc>
          <w:tcPr>
            <w:tcW w:w="565" w:type="pct"/>
            <w:shd w:val="clear" w:color="auto" w:fill="auto"/>
          </w:tcPr>
          <w:p w:rsidR="00260E53" w:rsidRPr="006E709F" w:rsidDel="00260E53" w:rsidRDefault="00260E53" w:rsidP="00A801D0">
            <w:pPr>
              <w:pStyle w:val="Tabletext"/>
            </w:pPr>
            <w:r w:rsidRPr="006E709F">
              <w:t>23</w:t>
            </w:r>
          </w:p>
        </w:tc>
        <w:tc>
          <w:tcPr>
            <w:tcW w:w="4435" w:type="pct"/>
            <w:shd w:val="clear" w:color="auto" w:fill="auto"/>
          </w:tcPr>
          <w:p w:rsidR="00260E53" w:rsidRPr="006E709F" w:rsidDel="00260E53" w:rsidRDefault="00260E53" w:rsidP="00A801D0">
            <w:pPr>
              <w:pStyle w:val="Tabletext"/>
            </w:pPr>
            <w:r w:rsidRPr="006E709F">
              <w:rPr>
                <w:i/>
              </w:rPr>
              <w:t>Legal Practitioners Act 1981</w:t>
            </w:r>
            <w:r w:rsidRPr="006E709F">
              <w:t xml:space="preserve"> 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24</w:t>
            </w:r>
          </w:p>
        </w:tc>
        <w:tc>
          <w:tcPr>
            <w:tcW w:w="4435" w:type="pct"/>
            <w:shd w:val="clear" w:color="auto" w:fill="auto"/>
          </w:tcPr>
          <w:p w:rsidR="00BB28C2" w:rsidRPr="006E709F" w:rsidRDefault="00BB28C2" w:rsidP="00A801D0">
            <w:pPr>
              <w:pStyle w:val="Tabletext"/>
            </w:pPr>
            <w:r w:rsidRPr="006E709F">
              <w:rPr>
                <w:i/>
              </w:rPr>
              <w:t xml:space="preserve">Public Trustee Act 1995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25</w:t>
            </w:r>
          </w:p>
        </w:tc>
        <w:tc>
          <w:tcPr>
            <w:tcW w:w="4435" w:type="pct"/>
            <w:shd w:val="clear" w:color="auto" w:fill="auto"/>
          </w:tcPr>
          <w:p w:rsidR="00BB28C2" w:rsidRPr="006E709F" w:rsidRDefault="00BB28C2" w:rsidP="00A801D0">
            <w:pPr>
              <w:pStyle w:val="Tabletext"/>
            </w:pPr>
            <w:r w:rsidRPr="006E709F">
              <w:rPr>
                <w:i/>
              </w:rPr>
              <w:t xml:space="preserve">Trustee Act 1936 </w:t>
            </w:r>
            <w:r w:rsidRPr="006E709F">
              <w:t>and any regulations made under that Act</w:t>
            </w:r>
          </w:p>
        </w:tc>
      </w:tr>
      <w:tr w:rsidR="00260E53" w:rsidRPr="006E709F" w:rsidTr="00E118FA">
        <w:tc>
          <w:tcPr>
            <w:tcW w:w="565" w:type="pct"/>
            <w:shd w:val="clear" w:color="auto" w:fill="auto"/>
          </w:tcPr>
          <w:p w:rsidR="00260E53" w:rsidRPr="006E709F" w:rsidRDefault="00260E53" w:rsidP="00A801D0">
            <w:pPr>
              <w:pStyle w:val="Tabletext"/>
            </w:pPr>
            <w:r w:rsidRPr="006E709F">
              <w:t>25A</w:t>
            </w:r>
          </w:p>
        </w:tc>
        <w:tc>
          <w:tcPr>
            <w:tcW w:w="4435" w:type="pct"/>
            <w:shd w:val="clear" w:color="auto" w:fill="auto"/>
          </w:tcPr>
          <w:p w:rsidR="00260E53" w:rsidRPr="006E709F" w:rsidRDefault="00260E53" w:rsidP="00A801D0">
            <w:pPr>
              <w:pStyle w:val="Tabletext"/>
            </w:pPr>
            <w:r w:rsidRPr="006E709F">
              <w:rPr>
                <w:i/>
              </w:rPr>
              <w:t xml:space="preserve">Trustee Companies Act 1988 </w:t>
            </w:r>
            <w:r w:rsidRPr="006E709F">
              <w:t>and any regulations made under that Act</w:t>
            </w:r>
          </w:p>
        </w:tc>
      </w:tr>
      <w:tr w:rsidR="00BB28C2" w:rsidRPr="006E709F" w:rsidTr="00E118FA">
        <w:tc>
          <w:tcPr>
            <w:tcW w:w="565" w:type="pct"/>
            <w:shd w:val="clear" w:color="auto" w:fill="auto"/>
          </w:tcPr>
          <w:p w:rsidR="00BB28C2" w:rsidRPr="006E709F" w:rsidRDefault="00BB28C2" w:rsidP="005133DE">
            <w:pPr>
              <w:pStyle w:val="Tabletext"/>
            </w:pPr>
          </w:p>
        </w:tc>
        <w:tc>
          <w:tcPr>
            <w:tcW w:w="4435" w:type="pct"/>
            <w:shd w:val="clear" w:color="auto" w:fill="auto"/>
          </w:tcPr>
          <w:p w:rsidR="00BB28C2" w:rsidRPr="006E709F" w:rsidRDefault="00BB28C2" w:rsidP="00A801D0">
            <w:pPr>
              <w:pStyle w:val="Tabletext"/>
            </w:pPr>
            <w:r w:rsidRPr="006E709F">
              <w:t>TASMANIA</w:t>
            </w:r>
          </w:p>
        </w:tc>
      </w:tr>
      <w:tr w:rsidR="00BB28C2" w:rsidRPr="006E709F" w:rsidTr="00E118FA">
        <w:tc>
          <w:tcPr>
            <w:tcW w:w="565" w:type="pct"/>
            <w:shd w:val="clear" w:color="auto" w:fill="auto"/>
          </w:tcPr>
          <w:p w:rsidR="00BB28C2" w:rsidRPr="006E709F" w:rsidRDefault="00BB28C2" w:rsidP="00A801D0">
            <w:pPr>
              <w:pStyle w:val="Tabletext"/>
            </w:pPr>
            <w:r w:rsidRPr="006E709F">
              <w:t>26</w:t>
            </w:r>
          </w:p>
        </w:tc>
        <w:tc>
          <w:tcPr>
            <w:tcW w:w="4435" w:type="pct"/>
            <w:shd w:val="clear" w:color="auto" w:fill="auto"/>
          </w:tcPr>
          <w:p w:rsidR="00BB28C2" w:rsidRPr="006E709F" w:rsidRDefault="00BB28C2" w:rsidP="00A801D0">
            <w:pPr>
              <w:pStyle w:val="Tabletext"/>
            </w:pPr>
            <w:r w:rsidRPr="006E709F">
              <w:rPr>
                <w:i/>
              </w:rPr>
              <w:t xml:space="preserve">Administration and Probate Act 1935 </w:t>
            </w:r>
            <w:r w:rsidRPr="006E709F">
              <w:t>and any regulations made under that Act</w:t>
            </w:r>
          </w:p>
        </w:tc>
      </w:tr>
      <w:tr w:rsidR="00260E53" w:rsidRPr="006E709F" w:rsidTr="00E118FA">
        <w:tc>
          <w:tcPr>
            <w:tcW w:w="565" w:type="pct"/>
            <w:shd w:val="clear" w:color="auto" w:fill="auto"/>
          </w:tcPr>
          <w:p w:rsidR="00260E53" w:rsidRPr="006E709F" w:rsidRDefault="00260E53" w:rsidP="00A801D0">
            <w:pPr>
              <w:pStyle w:val="Tabletext"/>
            </w:pPr>
            <w:r w:rsidRPr="006E709F">
              <w:t>26A</w:t>
            </w:r>
          </w:p>
        </w:tc>
        <w:tc>
          <w:tcPr>
            <w:tcW w:w="4435" w:type="pct"/>
            <w:shd w:val="clear" w:color="auto" w:fill="auto"/>
          </w:tcPr>
          <w:p w:rsidR="00260E53" w:rsidRPr="006E709F" w:rsidRDefault="00260E53" w:rsidP="00A801D0">
            <w:pPr>
              <w:pStyle w:val="Tabletext"/>
            </w:pPr>
            <w:r w:rsidRPr="006E709F">
              <w:rPr>
                <w:i/>
              </w:rPr>
              <w:t xml:space="preserve">Legal Profession Act 2007 </w:t>
            </w:r>
            <w:r w:rsidRPr="006E709F">
              <w:t>and any regulations made under that Act</w:t>
            </w:r>
          </w:p>
        </w:tc>
      </w:tr>
      <w:tr w:rsidR="00260E53" w:rsidRPr="006E709F" w:rsidTr="00E118FA">
        <w:tc>
          <w:tcPr>
            <w:tcW w:w="565" w:type="pct"/>
            <w:shd w:val="clear" w:color="auto" w:fill="auto"/>
          </w:tcPr>
          <w:p w:rsidR="00260E53" w:rsidRPr="006E709F" w:rsidRDefault="00260E53" w:rsidP="00A801D0">
            <w:pPr>
              <w:pStyle w:val="Tabletext"/>
            </w:pPr>
            <w:r w:rsidRPr="006E709F">
              <w:t>26B</w:t>
            </w:r>
          </w:p>
        </w:tc>
        <w:tc>
          <w:tcPr>
            <w:tcW w:w="4435" w:type="pct"/>
            <w:shd w:val="clear" w:color="auto" w:fill="auto"/>
          </w:tcPr>
          <w:p w:rsidR="00260E53" w:rsidRPr="006E709F" w:rsidRDefault="00260E53" w:rsidP="00A801D0">
            <w:pPr>
              <w:pStyle w:val="Tabletext"/>
            </w:pPr>
            <w:r w:rsidRPr="006E709F">
              <w:rPr>
                <w:i/>
              </w:rPr>
              <w:t xml:space="preserve">Public Trustee Act 1930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27</w:t>
            </w:r>
          </w:p>
        </w:tc>
        <w:tc>
          <w:tcPr>
            <w:tcW w:w="4435" w:type="pct"/>
            <w:shd w:val="clear" w:color="auto" w:fill="auto"/>
          </w:tcPr>
          <w:p w:rsidR="00BB28C2" w:rsidRPr="006E709F" w:rsidRDefault="00BB28C2" w:rsidP="00A801D0">
            <w:pPr>
              <w:pStyle w:val="Tabletext"/>
            </w:pPr>
            <w:r w:rsidRPr="006E709F">
              <w:rPr>
                <w:i/>
              </w:rPr>
              <w:t xml:space="preserve">Supreme Court Civil Procedure Act 1932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28</w:t>
            </w:r>
          </w:p>
        </w:tc>
        <w:tc>
          <w:tcPr>
            <w:tcW w:w="4435" w:type="pct"/>
            <w:shd w:val="clear" w:color="auto" w:fill="auto"/>
          </w:tcPr>
          <w:p w:rsidR="00BB28C2" w:rsidRPr="006E709F" w:rsidRDefault="00BB28C2" w:rsidP="00A801D0">
            <w:pPr>
              <w:pStyle w:val="Tabletext"/>
            </w:pPr>
            <w:r w:rsidRPr="006E709F">
              <w:rPr>
                <w:i/>
              </w:rPr>
              <w:t xml:space="preserve">Trustee Act 1898 </w:t>
            </w:r>
            <w:r w:rsidRPr="006E709F">
              <w:t>and any regulations made under that Act</w:t>
            </w:r>
          </w:p>
        </w:tc>
      </w:tr>
      <w:tr w:rsidR="00BB28C2" w:rsidRPr="006E709F" w:rsidTr="00E118FA">
        <w:tc>
          <w:tcPr>
            <w:tcW w:w="565" w:type="pct"/>
            <w:shd w:val="clear" w:color="auto" w:fill="auto"/>
          </w:tcPr>
          <w:p w:rsidR="00BB28C2" w:rsidRPr="006E709F" w:rsidRDefault="00BB28C2" w:rsidP="005133DE">
            <w:pPr>
              <w:pStyle w:val="Tabletext"/>
            </w:pPr>
          </w:p>
        </w:tc>
        <w:tc>
          <w:tcPr>
            <w:tcW w:w="4435" w:type="pct"/>
            <w:shd w:val="clear" w:color="auto" w:fill="auto"/>
          </w:tcPr>
          <w:p w:rsidR="00BB28C2" w:rsidRPr="006E709F" w:rsidRDefault="00BB28C2" w:rsidP="00A801D0">
            <w:pPr>
              <w:pStyle w:val="Tabletext"/>
            </w:pPr>
            <w:r w:rsidRPr="006E709F">
              <w:t>AUSTRALIAN CAPITAL TERRITORY</w:t>
            </w:r>
          </w:p>
        </w:tc>
      </w:tr>
      <w:tr w:rsidR="00BB28C2" w:rsidRPr="006E709F" w:rsidTr="00E118FA">
        <w:tc>
          <w:tcPr>
            <w:tcW w:w="565" w:type="pct"/>
            <w:shd w:val="clear" w:color="auto" w:fill="auto"/>
          </w:tcPr>
          <w:p w:rsidR="00BB28C2" w:rsidRPr="006E709F" w:rsidRDefault="00BB28C2" w:rsidP="00A801D0">
            <w:pPr>
              <w:pStyle w:val="Tabletext"/>
            </w:pPr>
            <w:r w:rsidRPr="006E709F">
              <w:t>29</w:t>
            </w:r>
          </w:p>
        </w:tc>
        <w:tc>
          <w:tcPr>
            <w:tcW w:w="4435" w:type="pct"/>
            <w:shd w:val="clear" w:color="auto" w:fill="auto"/>
          </w:tcPr>
          <w:p w:rsidR="00BB28C2" w:rsidRPr="006E709F" w:rsidRDefault="00BB28C2" w:rsidP="00A801D0">
            <w:pPr>
              <w:pStyle w:val="Tabletext"/>
            </w:pPr>
            <w:r w:rsidRPr="006E709F">
              <w:rPr>
                <w:i/>
              </w:rPr>
              <w:t xml:space="preserve">Administration and Probate Act 1929 </w:t>
            </w:r>
            <w:r w:rsidRPr="006E709F">
              <w:t>and any regulations made under that Act</w:t>
            </w:r>
          </w:p>
        </w:tc>
      </w:tr>
      <w:tr w:rsidR="00BB28C2" w:rsidRPr="006E709F" w:rsidTr="00E118FA">
        <w:tc>
          <w:tcPr>
            <w:tcW w:w="565" w:type="pct"/>
            <w:shd w:val="clear" w:color="auto" w:fill="auto"/>
          </w:tcPr>
          <w:p w:rsidR="00BB28C2" w:rsidRPr="006E709F" w:rsidRDefault="00BB28C2" w:rsidP="00A801D0">
            <w:pPr>
              <w:pStyle w:val="Tabletext"/>
            </w:pPr>
            <w:r w:rsidRPr="006E709F">
              <w:t>30</w:t>
            </w:r>
          </w:p>
        </w:tc>
        <w:tc>
          <w:tcPr>
            <w:tcW w:w="4435" w:type="pct"/>
            <w:shd w:val="clear" w:color="auto" w:fill="auto"/>
          </w:tcPr>
          <w:p w:rsidR="00BB28C2" w:rsidRPr="006E709F" w:rsidRDefault="00BB28C2" w:rsidP="00A801D0">
            <w:pPr>
              <w:pStyle w:val="Tabletext"/>
            </w:pPr>
            <w:r w:rsidRPr="006E709F">
              <w:rPr>
                <w:i/>
              </w:rPr>
              <w:t xml:space="preserve">Court Procedures Act 2004 </w:t>
            </w:r>
            <w:r w:rsidRPr="006E709F">
              <w:t>and any regulations made under that Act</w:t>
            </w:r>
          </w:p>
        </w:tc>
      </w:tr>
      <w:tr w:rsidR="00BB28C2" w:rsidRPr="006E709F" w:rsidTr="00E118FA">
        <w:trPr>
          <w:cantSplit/>
        </w:trPr>
        <w:tc>
          <w:tcPr>
            <w:tcW w:w="565" w:type="pct"/>
            <w:shd w:val="clear" w:color="auto" w:fill="auto"/>
          </w:tcPr>
          <w:p w:rsidR="00BB28C2" w:rsidRPr="006E709F" w:rsidRDefault="00BB28C2" w:rsidP="00A801D0">
            <w:pPr>
              <w:pStyle w:val="Tabletext"/>
            </w:pPr>
            <w:r w:rsidRPr="006E709F">
              <w:t>31</w:t>
            </w:r>
          </w:p>
        </w:tc>
        <w:tc>
          <w:tcPr>
            <w:tcW w:w="4435" w:type="pct"/>
            <w:shd w:val="clear" w:color="auto" w:fill="auto"/>
          </w:tcPr>
          <w:p w:rsidR="00BB28C2" w:rsidRPr="006E709F" w:rsidRDefault="00BB28C2" w:rsidP="00A801D0">
            <w:pPr>
              <w:pStyle w:val="Tabletext"/>
            </w:pPr>
            <w:r w:rsidRPr="006E709F">
              <w:rPr>
                <w:i/>
              </w:rPr>
              <w:t xml:space="preserve">Guardianship and Management of Property Act 1991 </w:t>
            </w:r>
            <w:r w:rsidRPr="006E709F">
              <w:t>and any regulations made under that Act</w:t>
            </w:r>
          </w:p>
        </w:tc>
      </w:tr>
      <w:tr w:rsidR="00BB28C2" w:rsidRPr="006E709F" w:rsidTr="00E118FA">
        <w:tc>
          <w:tcPr>
            <w:tcW w:w="565" w:type="pct"/>
            <w:tcBorders>
              <w:bottom w:val="single" w:sz="4" w:space="0" w:color="auto"/>
            </w:tcBorders>
            <w:shd w:val="clear" w:color="auto" w:fill="auto"/>
          </w:tcPr>
          <w:p w:rsidR="00BB28C2" w:rsidRPr="006E709F" w:rsidRDefault="00BB28C2" w:rsidP="00A801D0">
            <w:pPr>
              <w:pStyle w:val="Tabletext"/>
            </w:pPr>
            <w:r w:rsidRPr="006E709F">
              <w:t>32</w:t>
            </w:r>
          </w:p>
        </w:tc>
        <w:tc>
          <w:tcPr>
            <w:tcW w:w="4435" w:type="pct"/>
            <w:tcBorders>
              <w:bottom w:val="single" w:sz="4" w:space="0" w:color="auto"/>
            </w:tcBorders>
            <w:shd w:val="clear" w:color="auto" w:fill="auto"/>
          </w:tcPr>
          <w:p w:rsidR="00BB28C2" w:rsidRPr="006E709F" w:rsidRDefault="00BB28C2" w:rsidP="00A801D0">
            <w:pPr>
              <w:pStyle w:val="Tabletext"/>
            </w:pPr>
            <w:r w:rsidRPr="006E709F">
              <w:rPr>
                <w:i/>
              </w:rPr>
              <w:t xml:space="preserve">Legal Profession Act 2006 </w:t>
            </w:r>
            <w:r w:rsidRPr="006E709F">
              <w:t>and any regulations made under that Act</w:t>
            </w:r>
          </w:p>
        </w:tc>
      </w:tr>
      <w:tr w:rsidR="00BB28C2" w:rsidRPr="006E709F" w:rsidTr="00E118FA">
        <w:tc>
          <w:tcPr>
            <w:tcW w:w="565" w:type="pct"/>
            <w:tcBorders>
              <w:bottom w:val="single" w:sz="4" w:space="0" w:color="auto"/>
            </w:tcBorders>
            <w:shd w:val="clear" w:color="auto" w:fill="auto"/>
          </w:tcPr>
          <w:p w:rsidR="00BB28C2" w:rsidRPr="006E709F" w:rsidRDefault="00BB28C2" w:rsidP="00A801D0">
            <w:pPr>
              <w:pStyle w:val="Tabletext"/>
            </w:pPr>
            <w:r w:rsidRPr="006E709F">
              <w:t>33</w:t>
            </w:r>
          </w:p>
        </w:tc>
        <w:tc>
          <w:tcPr>
            <w:tcW w:w="4435" w:type="pct"/>
            <w:tcBorders>
              <w:bottom w:val="single" w:sz="4" w:space="0" w:color="auto"/>
            </w:tcBorders>
            <w:shd w:val="clear" w:color="auto" w:fill="auto"/>
          </w:tcPr>
          <w:p w:rsidR="00BB28C2" w:rsidRPr="006E709F" w:rsidRDefault="00BB28C2" w:rsidP="00A801D0">
            <w:pPr>
              <w:pStyle w:val="Tabletext"/>
            </w:pPr>
            <w:r w:rsidRPr="006E709F">
              <w:rPr>
                <w:i/>
              </w:rPr>
              <w:t xml:space="preserve">Trustee Act 1925 </w:t>
            </w:r>
            <w:r w:rsidRPr="006E709F">
              <w:t>and any regulations made under that Act</w:t>
            </w:r>
          </w:p>
        </w:tc>
      </w:tr>
      <w:tr w:rsidR="00BB28C2" w:rsidRPr="006E709F" w:rsidTr="00E118FA">
        <w:tc>
          <w:tcPr>
            <w:tcW w:w="565" w:type="pct"/>
            <w:tcBorders>
              <w:top w:val="single" w:sz="4" w:space="0" w:color="auto"/>
            </w:tcBorders>
            <w:shd w:val="clear" w:color="auto" w:fill="auto"/>
          </w:tcPr>
          <w:p w:rsidR="00BB28C2" w:rsidRPr="006E709F" w:rsidRDefault="00BB28C2" w:rsidP="00A801D0">
            <w:pPr>
              <w:pStyle w:val="Tabletext"/>
            </w:pPr>
            <w:r w:rsidRPr="006E709F">
              <w:t>34</w:t>
            </w:r>
          </w:p>
        </w:tc>
        <w:tc>
          <w:tcPr>
            <w:tcW w:w="4435" w:type="pct"/>
            <w:tcBorders>
              <w:top w:val="single" w:sz="4" w:space="0" w:color="auto"/>
            </w:tcBorders>
            <w:shd w:val="clear" w:color="auto" w:fill="auto"/>
          </w:tcPr>
          <w:p w:rsidR="00BB28C2" w:rsidRPr="006E709F" w:rsidRDefault="00BB28C2" w:rsidP="00A801D0">
            <w:pPr>
              <w:pStyle w:val="Tabletext"/>
            </w:pPr>
            <w:r w:rsidRPr="006E709F">
              <w:rPr>
                <w:i/>
              </w:rPr>
              <w:t xml:space="preserve">Trustee Companies Act 1947 </w:t>
            </w:r>
            <w:r w:rsidRPr="006E709F">
              <w:t>and any regulations made under that Act</w:t>
            </w:r>
          </w:p>
        </w:tc>
      </w:tr>
      <w:tr w:rsidR="00BB28C2" w:rsidRPr="006E709F" w:rsidTr="00E118FA">
        <w:tc>
          <w:tcPr>
            <w:tcW w:w="565" w:type="pct"/>
            <w:shd w:val="clear" w:color="auto" w:fill="auto"/>
          </w:tcPr>
          <w:p w:rsidR="00BB28C2" w:rsidRPr="006E709F" w:rsidRDefault="00BB28C2" w:rsidP="005133DE">
            <w:pPr>
              <w:pStyle w:val="Tabletext"/>
            </w:pPr>
          </w:p>
        </w:tc>
        <w:tc>
          <w:tcPr>
            <w:tcW w:w="4435" w:type="pct"/>
            <w:shd w:val="clear" w:color="auto" w:fill="auto"/>
          </w:tcPr>
          <w:p w:rsidR="00BB28C2" w:rsidRPr="006E709F" w:rsidRDefault="00BB28C2" w:rsidP="00A801D0">
            <w:pPr>
              <w:pStyle w:val="Tabletext"/>
            </w:pPr>
            <w:r w:rsidRPr="006E709F">
              <w:t>NORTHERN TERRITORY</w:t>
            </w:r>
          </w:p>
        </w:tc>
      </w:tr>
      <w:tr w:rsidR="00BB28C2" w:rsidRPr="006E709F" w:rsidTr="00E118FA">
        <w:tc>
          <w:tcPr>
            <w:tcW w:w="565" w:type="pct"/>
            <w:tcBorders>
              <w:bottom w:val="single" w:sz="4" w:space="0" w:color="auto"/>
            </w:tcBorders>
            <w:shd w:val="clear" w:color="auto" w:fill="auto"/>
          </w:tcPr>
          <w:p w:rsidR="00BB28C2" w:rsidRPr="006E709F" w:rsidRDefault="00BB28C2" w:rsidP="00A801D0">
            <w:pPr>
              <w:pStyle w:val="Tabletext"/>
            </w:pPr>
            <w:r w:rsidRPr="006E709F">
              <w:t>35</w:t>
            </w:r>
          </w:p>
        </w:tc>
        <w:tc>
          <w:tcPr>
            <w:tcW w:w="4435" w:type="pct"/>
            <w:tcBorders>
              <w:bottom w:val="single" w:sz="4" w:space="0" w:color="auto"/>
            </w:tcBorders>
            <w:shd w:val="clear" w:color="auto" w:fill="auto"/>
          </w:tcPr>
          <w:p w:rsidR="00BB28C2" w:rsidRPr="006E709F" w:rsidRDefault="00BB28C2" w:rsidP="00A801D0">
            <w:pPr>
              <w:pStyle w:val="Tabletext"/>
            </w:pPr>
            <w:r w:rsidRPr="006E709F">
              <w:rPr>
                <w:i/>
              </w:rPr>
              <w:t>Aged and Infirm Persons’ Property Act</w:t>
            </w:r>
            <w:r w:rsidRPr="006E709F">
              <w:t xml:space="preserve"> and any regulations made under that Act</w:t>
            </w:r>
          </w:p>
        </w:tc>
      </w:tr>
      <w:tr w:rsidR="00BB28C2" w:rsidRPr="006E709F" w:rsidTr="00E118FA">
        <w:tc>
          <w:tcPr>
            <w:tcW w:w="565" w:type="pct"/>
            <w:tcBorders>
              <w:bottom w:val="single" w:sz="12" w:space="0" w:color="auto"/>
            </w:tcBorders>
            <w:shd w:val="clear" w:color="auto" w:fill="auto"/>
          </w:tcPr>
          <w:p w:rsidR="00BB28C2" w:rsidRPr="006E709F" w:rsidRDefault="00BB28C2" w:rsidP="00A801D0">
            <w:pPr>
              <w:pStyle w:val="Tabletext"/>
            </w:pPr>
            <w:r w:rsidRPr="006E709F">
              <w:t>36</w:t>
            </w:r>
          </w:p>
        </w:tc>
        <w:tc>
          <w:tcPr>
            <w:tcW w:w="4435" w:type="pct"/>
            <w:tcBorders>
              <w:bottom w:val="single" w:sz="12" w:space="0" w:color="auto"/>
            </w:tcBorders>
            <w:shd w:val="clear" w:color="auto" w:fill="auto"/>
          </w:tcPr>
          <w:p w:rsidR="00BB28C2" w:rsidRPr="006E709F" w:rsidRDefault="00BB28C2" w:rsidP="00A801D0">
            <w:pPr>
              <w:pStyle w:val="Tabletext"/>
            </w:pPr>
            <w:r w:rsidRPr="006E709F">
              <w:rPr>
                <w:i/>
              </w:rPr>
              <w:t xml:space="preserve">Public Trustee Act </w:t>
            </w:r>
            <w:r w:rsidRPr="006E709F">
              <w:t>and any regulations made under that Act</w:t>
            </w:r>
          </w:p>
        </w:tc>
      </w:tr>
    </w:tbl>
    <w:p w:rsidR="00793C32" w:rsidRPr="006E709F" w:rsidRDefault="00A801D0" w:rsidP="00A801D0">
      <w:pPr>
        <w:pStyle w:val="ActHead1"/>
        <w:pageBreakBefore/>
      </w:pPr>
      <w:bookmarkStart w:id="46" w:name="_Toc160609738"/>
      <w:r w:rsidRPr="000C4237">
        <w:rPr>
          <w:rStyle w:val="CharChapNo"/>
        </w:rPr>
        <w:t>Schedule</w:t>
      </w:r>
      <w:r w:rsidR="00DA13DE" w:rsidRPr="000C4237">
        <w:rPr>
          <w:rStyle w:val="CharChapNo"/>
        </w:rPr>
        <w:t> </w:t>
      </w:r>
      <w:r w:rsidR="00793C32" w:rsidRPr="000C4237">
        <w:rPr>
          <w:rStyle w:val="CharChapNo"/>
        </w:rPr>
        <w:t>8AE</w:t>
      </w:r>
      <w:r w:rsidRPr="006E709F">
        <w:t>—</w:t>
      </w:r>
      <w:r w:rsidR="00793C32" w:rsidRPr="000C4237">
        <w:rPr>
          <w:rStyle w:val="CharChapText"/>
        </w:rPr>
        <w:t>Relevant State and Territory provisions</w:t>
      </w:r>
      <w:bookmarkEnd w:id="46"/>
    </w:p>
    <w:p w:rsidR="00793C32" w:rsidRPr="006E709F" w:rsidRDefault="00793C32" w:rsidP="00A801D0">
      <w:pPr>
        <w:pStyle w:val="notemargin"/>
      </w:pPr>
      <w:r w:rsidRPr="006E709F">
        <w:t>(regulation</w:t>
      </w:r>
      <w:r w:rsidR="00DA13DE" w:rsidRPr="006E709F">
        <w:t> </w:t>
      </w:r>
      <w:r w:rsidRPr="006E709F">
        <w:t>5D.2.06)</w:t>
      </w:r>
    </w:p>
    <w:p w:rsidR="00793C32" w:rsidRPr="006E709F" w:rsidRDefault="00A801D0" w:rsidP="00793C32">
      <w:pPr>
        <w:pStyle w:val="Header"/>
      </w:pPr>
      <w:r w:rsidRPr="000C4237">
        <w:rPr>
          <w:rStyle w:val="CharPartNo"/>
        </w:rPr>
        <w:t xml:space="preserve"> </w:t>
      </w:r>
      <w:r w:rsidRPr="000C4237">
        <w:rPr>
          <w:rStyle w:val="CharPartText"/>
        </w:rPr>
        <w:t xml:space="preserve"> </w:t>
      </w:r>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64"/>
        <w:gridCol w:w="7565"/>
      </w:tblGrid>
      <w:tr w:rsidR="00793C32" w:rsidRPr="006E709F" w:rsidTr="00E118FA">
        <w:trPr>
          <w:tblHeader/>
        </w:trPr>
        <w:tc>
          <w:tcPr>
            <w:tcW w:w="565" w:type="pct"/>
            <w:tcBorders>
              <w:top w:val="single" w:sz="12" w:space="0" w:color="auto"/>
              <w:bottom w:val="single" w:sz="12" w:space="0" w:color="auto"/>
            </w:tcBorders>
            <w:shd w:val="clear" w:color="auto" w:fill="auto"/>
          </w:tcPr>
          <w:p w:rsidR="00793C32" w:rsidRPr="006E709F" w:rsidRDefault="00793C32" w:rsidP="008C457C">
            <w:pPr>
              <w:pStyle w:val="TableHeading"/>
            </w:pPr>
            <w:r w:rsidRPr="006E709F">
              <w:t>Item</w:t>
            </w:r>
          </w:p>
        </w:tc>
        <w:tc>
          <w:tcPr>
            <w:tcW w:w="4435" w:type="pct"/>
            <w:tcBorders>
              <w:top w:val="single" w:sz="12" w:space="0" w:color="auto"/>
              <w:bottom w:val="single" w:sz="12" w:space="0" w:color="auto"/>
            </w:tcBorders>
            <w:shd w:val="clear" w:color="auto" w:fill="auto"/>
          </w:tcPr>
          <w:p w:rsidR="00793C32" w:rsidRPr="006E709F" w:rsidRDefault="00793C32" w:rsidP="008C457C">
            <w:pPr>
              <w:pStyle w:val="TableHeading"/>
            </w:pPr>
            <w:r w:rsidRPr="006E709F">
              <w:t xml:space="preserve">State or Territory provisions </w:t>
            </w:r>
          </w:p>
        </w:tc>
      </w:tr>
      <w:tr w:rsidR="00793C32" w:rsidRPr="006E709F" w:rsidTr="00E118FA">
        <w:tc>
          <w:tcPr>
            <w:tcW w:w="565" w:type="pct"/>
            <w:tcBorders>
              <w:top w:val="single" w:sz="12" w:space="0" w:color="auto"/>
            </w:tcBorders>
            <w:shd w:val="clear" w:color="auto" w:fill="auto"/>
          </w:tcPr>
          <w:p w:rsidR="00793C32" w:rsidRPr="006E709F" w:rsidRDefault="00793C32" w:rsidP="00A801D0">
            <w:pPr>
              <w:pStyle w:val="Tabletext"/>
            </w:pPr>
            <w:r w:rsidRPr="006E709F">
              <w:t>1</w:t>
            </w:r>
          </w:p>
        </w:tc>
        <w:tc>
          <w:tcPr>
            <w:tcW w:w="4435" w:type="pct"/>
            <w:tcBorders>
              <w:top w:val="single" w:sz="12" w:space="0" w:color="auto"/>
            </w:tcBorders>
            <w:shd w:val="clear" w:color="auto" w:fill="auto"/>
          </w:tcPr>
          <w:p w:rsidR="00793C32" w:rsidRPr="006E709F" w:rsidRDefault="00793C32" w:rsidP="00A801D0">
            <w:pPr>
              <w:pStyle w:val="Tabletext"/>
            </w:pPr>
            <w:r w:rsidRPr="006E709F">
              <w:rPr>
                <w:i/>
              </w:rPr>
              <w:t>Trustee Act 1925</w:t>
            </w:r>
            <w:r w:rsidRPr="006E709F">
              <w:t xml:space="preserve"> (NSW), </w:t>
            </w:r>
            <w:r w:rsidR="00A801D0" w:rsidRPr="006E709F">
              <w:t>Part</w:t>
            </w:r>
            <w:r w:rsidR="00DA13DE" w:rsidRPr="006E709F">
              <w:t> </w:t>
            </w:r>
            <w:r w:rsidRPr="006E709F">
              <w:t xml:space="preserve">2, </w:t>
            </w:r>
            <w:r w:rsidR="00A801D0" w:rsidRPr="006E709F">
              <w:t>Division</w:t>
            </w:r>
            <w:r w:rsidR="00DA13DE" w:rsidRPr="006E709F">
              <w:t> </w:t>
            </w:r>
            <w:r w:rsidRPr="006E709F">
              <w:t>2</w:t>
            </w:r>
          </w:p>
        </w:tc>
      </w:tr>
      <w:tr w:rsidR="00793C32" w:rsidRPr="006E709F" w:rsidTr="00E118FA">
        <w:tc>
          <w:tcPr>
            <w:tcW w:w="565" w:type="pct"/>
            <w:shd w:val="clear" w:color="auto" w:fill="auto"/>
          </w:tcPr>
          <w:p w:rsidR="00793C32" w:rsidRPr="006E709F" w:rsidRDefault="00793C32" w:rsidP="00A801D0">
            <w:pPr>
              <w:pStyle w:val="Tabletext"/>
            </w:pPr>
            <w:r w:rsidRPr="006E709F">
              <w:t>2</w:t>
            </w:r>
          </w:p>
        </w:tc>
        <w:tc>
          <w:tcPr>
            <w:tcW w:w="4435" w:type="pct"/>
            <w:shd w:val="clear" w:color="auto" w:fill="auto"/>
          </w:tcPr>
          <w:p w:rsidR="00793C32" w:rsidRPr="006E709F" w:rsidRDefault="00793C32" w:rsidP="00A801D0">
            <w:pPr>
              <w:pStyle w:val="Tabletext"/>
            </w:pPr>
            <w:r w:rsidRPr="006E709F">
              <w:rPr>
                <w:b/>
              </w:rPr>
              <w:t xml:space="preserve">Trustee Act 1958 </w:t>
            </w:r>
            <w:r w:rsidRPr="006E709F">
              <w:t xml:space="preserve">(Vic), </w:t>
            </w:r>
            <w:r w:rsidR="00A801D0" w:rsidRPr="006E709F">
              <w:t>Part</w:t>
            </w:r>
            <w:r w:rsidR="00E376FA" w:rsidRPr="006E709F">
              <w:t> </w:t>
            </w:r>
            <w:r w:rsidRPr="006E709F">
              <w:t>I</w:t>
            </w:r>
          </w:p>
        </w:tc>
      </w:tr>
      <w:tr w:rsidR="00793C32" w:rsidRPr="006E709F" w:rsidTr="00E118FA">
        <w:tc>
          <w:tcPr>
            <w:tcW w:w="565" w:type="pct"/>
            <w:shd w:val="clear" w:color="auto" w:fill="auto"/>
          </w:tcPr>
          <w:p w:rsidR="00793C32" w:rsidRPr="006E709F" w:rsidRDefault="00793C32" w:rsidP="00A801D0">
            <w:pPr>
              <w:pStyle w:val="Tabletext"/>
            </w:pPr>
            <w:r w:rsidRPr="006E709F">
              <w:t>3</w:t>
            </w:r>
          </w:p>
        </w:tc>
        <w:tc>
          <w:tcPr>
            <w:tcW w:w="4435" w:type="pct"/>
            <w:shd w:val="clear" w:color="auto" w:fill="auto"/>
          </w:tcPr>
          <w:p w:rsidR="00793C32" w:rsidRPr="006E709F" w:rsidRDefault="00793C32" w:rsidP="00A801D0">
            <w:pPr>
              <w:pStyle w:val="Tabletext"/>
            </w:pPr>
            <w:r w:rsidRPr="006E709F">
              <w:rPr>
                <w:i/>
              </w:rPr>
              <w:t xml:space="preserve">Trusts Act 1973 </w:t>
            </w:r>
            <w:r w:rsidRPr="006E709F">
              <w:t xml:space="preserve">(Qld), </w:t>
            </w:r>
            <w:r w:rsidR="00A801D0" w:rsidRPr="006E709F">
              <w:t>Part</w:t>
            </w:r>
            <w:r w:rsidR="00DA13DE" w:rsidRPr="006E709F">
              <w:t> </w:t>
            </w:r>
            <w:r w:rsidRPr="006E709F">
              <w:t>3</w:t>
            </w:r>
          </w:p>
        </w:tc>
      </w:tr>
      <w:tr w:rsidR="00793C32" w:rsidRPr="006E709F" w:rsidTr="00E118FA">
        <w:tc>
          <w:tcPr>
            <w:tcW w:w="565" w:type="pct"/>
            <w:shd w:val="clear" w:color="auto" w:fill="auto"/>
          </w:tcPr>
          <w:p w:rsidR="00793C32" w:rsidRPr="006E709F" w:rsidRDefault="00793C32" w:rsidP="00A801D0">
            <w:pPr>
              <w:pStyle w:val="Tabletext"/>
            </w:pPr>
            <w:r w:rsidRPr="006E709F">
              <w:t>4</w:t>
            </w:r>
          </w:p>
        </w:tc>
        <w:tc>
          <w:tcPr>
            <w:tcW w:w="4435" w:type="pct"/>
            <w:shd w:val="clear" w:color="auto" w:fill="auto"/>
          </w:tcPr>
          <w:p w:rsidR="00793C32" w:rsidRPr="006E709F" w:rsidRDefault="00793C32" w:rsidP="00A801D0">
            <w:pPr>
              <w:pStyle w:val="Tabletext"/>
            </w:pPr>
            <w:r w:rsidRPr="006E709F">
              <w:rPr>
                <w:i/>
              </w:rPr>
              <w:t xml:space="preserve">Trustees Act 1962 </w:t>
            </w:r>
            <w:r w:rsidRPr="006E709F">
              <w:t xml:space="preserve">(WA), </w:t>
            </w:r>
            <w:r w:rsidR="00A801D0" w:rsidRPr="006E709F">
              <w:t>Part</w:t>
            </w:r>
            <w:r w:rsidR="00E376FA" w:rsidRPr="006E709F">
              <w:t> </w:t>
            </w:r>
            <w:r w:rsidRPr="006E709F">
              <w:t>III</w:t>
            </w:r>
          </w:p>
        </w:tc>
      </w:tr>
      <w:tr w:rsidR="00793C32" w:rsidRPr="006E709F" w:rsidTr="00E118FA">
        <w:tc>
          <w:tcPr>
            <w:tcW w:w="565" w:type="pct"/>
            <w:shd w:val="clear" w:color="auto" w:fill="auto"/>
          </w:tcPr>
          <w:p w:rsidR="00793C32" w:rsidRPr="006E709F" w:rsidRDefault="00793C32" w:rsidP="00A801D0">
            <w:pPr>
              <w:pStyle w:val="Tabletext"/>
            </w:pPr>
            <w:r w:rsidRPr="006E709F">
              <w:t>5</w:t>
            </w:r>
          </w:p>
        </w:tc>
        <w:tc>
          <w:tcPr>
            <w:tcW w:w="4435" w:type="pct"/>
            <w:shd w:val="clear" w:color="auto" w:fill="auto"/>
          </w:tcPr>
          <w:p w:rsidR="00793C32" w:rsidRPr="006E709F" w:rsidRDefault="00793C32" w:rsidP="00A801D0">
            <w:pPr>
              <w:pStyle w:val="Tabletext"/>
            </w:pPr>
            <w:r w:rsidRPr="006E709F">
              <w:rPr>
                <w:i/>
              </w:rPr>
              <w:t>Trustee Act 1936</w:t>
            </w:r>
            <w:r w:rsidRPr="006E709F">
              <w:t xml:space="preserve"> (SA), </w:t>
            </w:r>
            <w:r w:rsidR="00A801D0" w:rsidRPr="006E709F">
              <w:t>Part</w:t>
            </w:r>
            <w:r w:rsidR="00DA13DE" w:rsidRPr="006E709F">
              <w:t> </w:t>
            </w:r>
            <w:r w:rsidRPr="006E709F">
              <w:t>1</w:t>
            </w:r>
          </w:p>
        </w:tc>
      </w:tr>
      <w:tr w:rsidR="00793C32" w:rsidRPr="006E709F" w:rsidTr="00E118FA">
        <w:tc>
          <w:tcPr>
            <w:tcW w:w="565" w:type="pct"/>
            <w:shd w:val="clear" w:color="auto" w:fill="auto"/>
          </w:tcPr>
          <w:p w:rsidR="00793C32" w:rsidRPr="006E709F" w:rsidRDefault="00793C32" w:rsidP="00A801D0">
            <w:pPr>
              <w:pStyle w:val="Tabletext"/>
            </w:pPr>
            <w:r w:rsidRPr="006E709F">
              <w:t>6</w:t>
            </w:r>
          </w:p>
        </w:tc>
        <w:tc>
          <w:tcPr>
            <w:tcW w:w="4435" w:type="pct"/>
            <w:shd w:val="clear" w:color="auto" w:fill="auto"/>
          </w:tcPr>
          <w:p w:rsidR="00793C32" w:rsidRPr="006E709F" w:rsidRDefault="00793C32" w:rsidP="00A801D0">
            <w:pPr>
              <w:pStyle w:val="Tabletext"/>
            </w:pPr>
            <w:r w:rsidRPr="006E709F">
              <w:rPr>
                <w:i/>
              </w:rPr>
              <w:t>Trustee Act 1898</w:t>
            </w:r>
            <w:r w:rsidRPr="006E709F">
              <w:t xml:space="preserve"> (Tas), </w:t>
            </w:r>
            <w:r w:rsidR="00A801D0" w:rsidRPr="006E709F">
              <w:t>Part</w:t>
            </w:r>
            <w:r w:rsidR="00E376FA" w:rsidRPr="006E709F">
              <w:t> </w:t>
            </w:r>
            <w:r w:rsidRPr="006E709F">
              <w:t>II</w:t>
            </w:r>
          </w:p>
        </w:tc>
      </w:tr>
      <w:tr w:rsidR="00793C32" w:rsidRPr="006E709F" w:rsidTr="00E118FA">
        <w:tc>
          <w:tcPr>
            <w:tcW w:w="565" w:type="pct"/>
            <w:tcBorders>
              <w:bottom w:val="single" w:sz="4" w:space="0" w:color="auto"/>
            </w:tcBorders>
            <w:shd w:val="clear" w:color="auto" w:fill="auto"/>
          </w:tcPr>
          <w:p w:rsidR="00793C32" w:rsidRPr="006E709F" w:rsidRDefault="00793C32" w:rsidP="00A801D0">
            <w:pPr>
              <w:pStyle w:val="Tabletext"/>
            </w:pPr>
            <w:r w:rsidRPr="006E709F">
              <w:t>7</w:t>
            </w:r>
          </w:p>
        </w:tc>
        <w:tc>
          <w:tcPr>
            <w:tcW w:w="4435" w:type="pct"/>
            <w:tcBorders>
              <w:bottom w:val="single" w:sz="4" w:space="0" w:color="auto"/>
            </w:tcBorders>
            <w:shd w:val="clear" w:color="auto" w:fill="auto"/>
          </w:tcPr>
          <w:p w:rsidR="00793C32" w:rsidRPr="006E709F" w:rsidRDefault="00793C32" w:rsidP="00A801D0">
            <w:pPr>
              <w:pStyle w:val="Tabletext"/>
            </w:pPr>
            <w:r w:rsidRPr="006E709F">
              <w:rPr>
                <w:i/>
              </w:rPr>
              <w:t>Trustee Act 1925</w:t>
            </w:r>
            <w:r w:rsidRPr="006E709F">
              <w:t xml:space="preserve"> (ACT), </w:t>
            </w:r>
            <w:r w:rsidR="00A801D0" w:rsidRPr="006E709F">
              <w:t>Part</w:t>
            </w:r>
            <w:r w:rsidR="00DA13DE" w:rsidRPr="006E709F">
              <w:t> </w:t>
            </w:r>
            <w:r w:rsidRPr="006E709F">
              <w:t xml:space="preserve">2, </w:t>
            </w:r>
            <w:r w:rsidR="00A801D0" w:rsidRPr="006E709F">
              <w:t>Subdivision</w:t>
            </w:r>
            <w:r w:rsidR="00DA13DE" w:rsidRPr="006E709F">
              <w:t> </w:t>
            </w:r>
            <w:r w:rsidRPr="006E709F">
              <w:t>2.2.1</w:t>
            </w:r>
          </w:p>
        </w:tc>
      </w:tr>
      <w:tr w:rsidR="00793C32" w:rsidRPr="006E709F" w:rsidTr="00E118FA">
        <w:tc>
          <w:tcPr>
            <w:tcW w:w="565" w:type="pct"/>
            <w:tcBorders>
              <w:bottom w:val="single" w:sz="12" w:space="0" w:color="auto"/>
            </w:tcBorders>
            <w:shd w:val="clear" w:color="auto" w:fill="auto"/>
          </w:tcPr>
          <w:p w:rsidR="00793C32" w:rsidRPr="006E709F" w:rsidRDefault="00793C32" w:rsidP="00A801D0">
            <w:pPr>
              <w:pStyle w:val="Tabletext"/>
            </w:pPr>
            <w:r w:rsidRPr="006E709F">
              <w:t>8</w:t>
            </w:r>
          </w:p>
        </w:tc>
        <w:tc>
          <w:tcPr>
            <w:tcW w:w="4435" w:type="pct"/>
            <w:tcBorders>
              <w:bottom w:val="single" w:sz="12" w:space="0" w:color="auto"/>
            </w:tcBorders>
            <w:shd w:val="clear" w:color="auto" w:fill="auto"/>
          </w:tcPr>
          <w:p w:rsidR="00793C32" w:rsidRPr="006E709F" w:rsidRDefault="00793C32" w:rsidP="00A801D0">
            <w:pPr>
              <w:pStyle w:val="Tabletext"/>
            </w:pPr>
            <w:r w:rsidRPr="006E709F">
              <w:t xml:space="preserve">Trustee Act (NT), </w:t>
            </w:r>
            <w:r w:rsidR="00A801D0" w:rsidRPr="006E709F">
              <w:t>Part</w:t>
            </w:r>
            <w:r w:rsidR="00E376FA" w:rsidRPr="006E709F">
              <w:t> </w:t>
            </w:r>
            <w:r w:rsidRPr="006E709F">
              <w:t>I</w:t>
            </w:r>
          </w:p>
        </w:tc>
      </w:tr>
    </w:tbl>
    <w:p w:rsidR="002A22A4" w:rsidRPr="006E709F" w:rsidRDefault="00A801D0" w:rsidP="00E376FA">
      <w:pPr>
        <w:pStyle w:val="ActHead1"/>
        <w:pageBreakBefore/>
      </w:pPr>
      <w:bookmarkStart w:id="47" w:name="_Toc160609739"/>
      <w:r w:rsidRPr="000C4237">
        <w:rPr>
          <w:rStyle w:val="CharChapNo"/>
        </w:rPr>
        <w:t>Schedule</w:t>
      </w:r>
      <w:r w:rsidR="00DA13DE" w:rsidRPr="000C4237">
        <w:rPr>
          <w:rStyle w:val="CharChapNo"/>
        </w:rPr>
        <w:t> </w:t>
      </w:r>
      <w:r w:rsidR="002A22A4" w:rsidRPr="000C4237">
        <w:rPr>
          <w:rStyle w:val="CharChapNo"/>
        </w:rPr>
        <w:t>8C</w:t>
      </w:r>
      <w:r w:rsidRPr="006E709F">
        <w:t>—</w:t>
      </w:r>
      <w:r w:rsidR="002A22A4" w:rsidRPr="000C4237">
        <w:rPr>
          <w:rStyle w:val="CharChapText"/>
        </w:rPr>
        <w:t xml:space="preserve">Modifications of </w:t>
      </w:r>
      <w:r w:rsidRPr="000C4237">
        <w:rPr>
          <w:rStyle w:val="CharChapText"/>
        </w:rPr>
        <w:t>Part</w:t>
      </w:r>
      <w:r w:rsidR="00DA13DE" w:rsidRPr="000C4237">
        <w:rPr>
          <w:rStyle w:val="CharChapText"/>
        </w:rPr>
        <w:t> </w:t>
      </w:r>
      <w:r w:rsidR="002A22A4" w:rsidRPr="000C4237">
        <w:rPr>
          <w:rStyle w:val="CharChapText"/>
        </w:rPr>
        <w:t>7.5 of the Act</w:t>
      </w:r>
      <w:r w:rsidRPr="000C4237">
        <w:rPr>
          <w:rStyle w:val="CharChapText"/>
        </w:rPr>
        <w:t>—</w:t>
      </w:r>
      <w:r w:rsidR="002A22A4" w:rsidRPr="000C4237">
        <w:rPr>
          <w:rStyle w:val="CharChapText"/>
        </w:rPr>
        <w:t>compensation regimes</w:t>
      </w:r>
      <w:bookmarkEnd w:id="47"/>
    </w:p>
    <w:p w:rsidR="002A22A4" w:rsidRPr="006E709F" w:rsidRDefault="002A22A4" w:rsidP="00A801D0">
      <w:pPr>
        <w:pStyle w:val="notemargin"/>
      </w:pPr>
      <w:r w:rsidRPr="006E709F">
        <w:t>(</w:t>
      </w:r>
      <w:r w:rsidR="005378CE" w:rsidRPr="006E709F">
        <w:t>regulation 7</w:t>
      </w:r>
      <w:r w:rsidRPr="006E709F">
        <w:t>.5.01A)</w:t>
      </w:r>
    </w:p>
    <w:p w:rsidR="00105D3A" w:rsidRPr="006E709F" w:rsidRDefault="00105D3A" w:rsidP="00105D3A">
      <w:pPr>
        <w:pStyle w:val="Header"/>
      </w:pPr>
      <w:r w:rsidRPr="000C4237">
        <w:rPr>
          <w:rStyle w:val="CharPartNo"/>
        </w:rPr>
        <w:t xml:space="preserve"> </w:t>
      </w:r>
      <w:r w:rsidRPr="000C4237">
        <w:rPr>
          <w:rStyle w:val="CharPartText"/>
        </w:rPr>
        <w:t xml:space="preserve"> </w:t>
      </w:r>
    </w:p>
    <w:p w:rsidR="002A22A4" w:rsidRPr="006E709F" w:rsidRDefault="002A22A4" w:rsidP="000406AC">
      <w:pPr>
        <w:pStyle w:val="ItemHead"/>
      </w:pPr>
      <w:r w:rsidRPr="006E709F">
        <w:t>1</w:t>
      </w:r>
      <w:r w:rsidR="00891FC0" w:rsidRPr="006E709F">
        <w:t xml:space="preserve">  </w:t>
      </w:r>
      <w:r w:rsidR="008F4A8A" w:rsidRPr="008F4A8A">
        <w:t>Section 880B</w:t>
      </w:r>
      <w:r w:rsidRPr="006E709F">
        <w:t xml:space="preserve">, definition of </w:t>
      </w:r>
      <w:r w:rsidRPr="006E709F">
        <w:rPr>
          <w:i/>
        </w:rPr>
        <w:t>fidelity fund</w:t>
      </w:r>
      <w:r w:rsidRPr="006E709F">
        <w:t xml:space="preserve">, </w:t>
      </w:r>
      <w:r w:rsidR="00DA13DE" w:rsidRPr="006E709F">
        <w:t>subparagraph (</w:t>
      </w:r>
      <w:r w:rsidRPr="006E709F">
        <w:t>b</w:t>
      </w:r>
      <w:r w:rsidR="00A801D0" w:rsidRPr="006E709F">
        <w:t>)(</w:t>
      </w:r>
      <w:r w:rsidRPr="006E709F">
        <w:t>ii)</w:t>
      </w:r>
    </w:p>
    <w:p w:rsidR="00A801D0" w:rsidRPr="006E709F" w:rsidRDefault="00A801D0" w:rsidP="000406AC">
      <w:pPr>
        <w:pStyle w:val="Item"/>
        <w:rPr>
          <w:i/>
        </w:rPr>
      </w:pPr>
      <w:r w:rsidRPr="006E709F">
        <w:rPr>
          <w:i/>
        </w:rPr>
        <w:t>omit</w:t>
      </w:r>
    </w:p>
    <w:p w:rsidR="002A22A4" w:rsidRPr="006E709F" w:rsidRDefault="002A22A4" w:rsidP="000406AC">
      <w:pPr>
        <w:pStyle w:val="Item"/>
      </w:pPr>
      <w:r w:rsidRPr="006E709F">
        <w:t>markets;</w:t>
      </w:r>
    </w:p>
    <w:p w:rsidR="00A801D0" w:rsidRPr="006E709F" w:rsidRDefault="00A801D0" w:rsidP="000406AC">
      <w:pPr>
        <w:pStyle w:val="Item"/>
        <w:rPr>
          <w:i/>
        </w:rPr>
      </w:pPr>
      <w:r w:rsidRPr="006E709F">
        <w:rPr>
          <w:i/>
        </w:rPr>
        <w:t>insert</w:t>
      </w:r>
    </w:p>
    <w:p w:rsidR="002A22A4" w:rsidRPr="006E709F" w:rsidRDefault="002A22A4" w:rsidP="000406AC">
      <w:pPr>
        <w:pStyle w:val="Item"/>
      </w:pPr>
      <w:r w:rsidRPr="006E709F">
        <w:t>markets; or</w:t>
      </w:r>
    </w:p>
    <w:p w:rsidR="002A22A4" w:rsidRPr="006E709F" w:rsidRDefault="002A22A4" w:rsidP="00714BE7">
      <w:pPr>
        <w:pStyle w:val="ItemHead"/>
      </w:pPr>
      <w:r w:rsidRPr="006E709F">
        <w:t>2</w:t>
      </w:r>
      <w:r w:rsidR="00891FC0" w:rsidRPr="006E709F">
        <w:t xml:space="preserve">  </w:t>
      </w:r>
      <w:r w:rsidR="008E71C9" w:rsidRPr="008E71C9">
        <w:t>Section 880B</w:t>
      </w:r>
      <w:r w:rsidRPr="006E709F">
        <w:t xml:space="preserve">, definition of </w:t>
      </w:r>
      <w:r w:rsidRPr="006E709F">
        <w:rPr>
          <w:i/>
        </w:rPr>
        <w:t>fidelity fund</w:t>
      </w:r>
      <w:r w:rsidRPr="006E709F">
        <w:t xml:space="preserve">, after </w:t>
      </w:r>
      <w:r w:rsidR="00DA13DE" w:rsidRPr="006E709F">
        <w:t>paragraph (</w:t>
      </w:r>
      <w:r w:rsidRPr="006E709F">
        <w:t>b)</w:t>
      </w:r>
    </w:p>
    <w:p w:rsidR="00A801D0" w:rsidRPr="006E709F" w:rsidRDefault="00A801D0" w:rsidP="00714BE7">
      <w:pPr>
        <w:pStyle w:val="Item"/>
        <w:rPr>
          <w:i/>
        </w:rPr>
      </w:pPr>
      <w:r w:rsidRPr="006E709F">
        <w:rPr>
          <w:i/>
        </w:rPr>
        <w:t>insert</w:t>
      </w:r>
    </w:p>
    <w:p w:rsidR="002A22A4" w:rsidRPr="006E709F" w:rsidRDefault="002A22A4" w:rsidP="00A801D0">
      <w:pPr>
        <w:pStyle w:val="paragraph"/>
      </w:pPr>
      <w:r w:rsidRPr="006E709F">
        <w:tab/>
        <w:t>(c)</w:t>
      </w:r>
      <w:r w:rsidRPr="006E709F">
        <w:tab/>
        <w:t>the operator of the market or related body corporate of the operator of the market;</w:t>
      </w:r>
    </w:p>
    <w:p w:rsidR="002A22A4" w:rsidRPr="006E709F" w:rsidRDefault="002A22A4" w:rsidP="00714BE7">
      <w:pPr>
        <w:pStyle w:val="ItemHead"/>
      </w:pPr>
      <w:r w:rsidRPr="006E709F">
        <w:t>3</w:t>
      </w:r>
      <w:r w:rsidR="00891FC0" w:rsidRPr="006E709F">
        <w:t xml:space="preserve">  </w:t>
      </w:r>
      <w:r w:rsidRPr="006E709F">
        <w:t>Subsection</w:t>
      </w:r>
      <w:r w:rsidR="00DA13DE" w:rsidRPr="006E709F">
        <w:t> </w:t>
      </w:r>
      <w:r w:rsidRPr="006E709F">
        <w:t>881A(2)</w:t>
      </w:r>
    </w:p>
    <w:p w:rsidR="00A801D0" w:rsidRPr="006E709F" w:rsidRDefault="00A801D0" w:rsidP="00714BE7">
      <w:pPr>
        <w:pStyle w:val="Item"/>
        <w:rPr>
          <w:i/>
        </w:rPr>
      </w:pPr>
      <w:r w:rsidRPr="006E709F">
        <w:rPr>
          <w:i/>
        </w:rPr>
        <w:t>substitute</w:t>
      </w:r>
    </w:p>
    <w:p w:rsidR="002A22A4" w:rsidRPr="006E709F" w:rsidRDefault="002A22A4" w:rsidP="00A801D0">
      <w:pPr>
        <w:pStyle w:val="subsection"/>
      </w:pPr>
      <w:r w:rsidRPr="006E709F">
        <w:tab/>
        <w:t>(1A)</w:t>
      </w:r>
      <w:r w:rsidRPr="006E709F">
        <w:tab/>
        <w:t>If:</w:t>
      </w:r>
    </w:p>
    <w:p w:rsidR="002A22A4" w:rsidRPr="006E709F" w:rsidRDefault="002A22A4" w:rsidP="00A801D0">
      <w:pPr>
        <w:pStyle w:val="paragraph"/>
      </w:pPr>
      <w:r w:rsidRPr="006E709F">
        <w:tab/>
        <w:t>(a)</w:t>
      </w:r>
      <w:r w:rsidRPr="006E709F">
        <w:tab/>
        <w:t xml:space="preserve">compensation arrangements under </w:t>
      </w:r>
      <w:r w:rsidR="00A801D0" w:rsidRPr="006E709F">
        <w:t>Division</w:t>
      </w:r>
      <w:r w:rsidR="00DA13DE" w:rsidRPr="006E709F">
        <w:t> </w:t>
      </w:r>
      <w:r w:rsidRPr="006E709F">
        <w:t>4 apply to only some financial products acquired or disposed of through a licensed market; and</w:t>
      </w:r>
    </w:p>
    <w:p w:rsidR="002A22A4" w:rsidRPr="006E709F" w:rsidRDefault="002A22A4" w:rsidP="00A801D0">
      <w:pPr>
        <w:pStyle w:val="paragraph"/>
      </w:pPr>
      <w:r w:rsidRPr="006E709F">
        <w:tab/>
        <w:t>(b)</w:t>
      </w:r>
      <w:r w:rsidRPr="006E709F">
        <w:tab/>
      </w:r>
      <w:r w:rsidR="00DA13DE" w:rsidRPr="006E709F">
        <w:t>paragraphs (</w:t>
      </w:r>
      <w:r w:rsidRPr="006E709F">
        <w:t>1</w:t>
      </w:r>
      <w:r w:rsidR="00A801D0" w:rsidRPr="006E709F">
        <w:t>)(</w:t>
      </w:r>
      <w:r w:rsidRPr="006E709F">
        <w:t>a) and (b) are satisfied for the other products acquired or disposed of through the licensed market;</w:t>
      </w:r>
    </w:p>
    <w:p w:rsidR="002A22A4" w:rsidRPr="006E709F" w:rsidRDefault="002A22A4" w:rsidP="00A801D0">
      <w:pPr>
        <w:pStyle w:val="subsection2"/>
      </w:pPr>
      <w:r w:rsidRPr="006E709F">
        <w:t xml:space="preserve">there must be compensation arrangements in relation to the other products that are approved in accordance with </w:t>
      </w:r>
      <w:r w:rsidR="00A801D0" w:rsidRPr="006E709F">
        <w:t>Division</w:t>
      </w:r>
      <w:r w:rsidR="00DA13DE" w:rsidRPr="006E709F">
        <w:t> </w:t>
      </w:r>
      <w:r w:rsidRPr="006E709F">
        <w:t>3.</w:t>
      </w:r>
    </w:p>
    <w:p w:rsidR="002A22A4" w:rsidRPr="006E709F" w:rsidRDefault="002A22A4" w:rsidP="00A801D0">
      <w:pPr>
        <w:pStyle w:val="subsection"/>
      </w:pPr>
      <w:r w:rsidRPr="006E709F">
        <w:tab/>
        <w:t>(2)</w:t>
      </w:r>
      <w:r w:rsidRPr="006E709F">
        <w:tab/>
        <w:t>The compensation regime that applies to a financial market is:</w:t>
      </w:r>
    </w:p>
    <w:p w:rsidR="002A22A4" w:rsidRPr="006E709F" w:rsidRDefault="002A22A4" w:rsidP="00A801D0">
      <w:pPr>
        <w:pStyle w:val="paragraph"/>
      </w:pPr>
      <w:r w:rsidRPr="006E709F">
        <w:tab/>
        <w:t>(a)</w:t>
      </w:r>
      <w:r w:rsidRPr="006E709F">
        <w:tab/>
        <w:t xml:space="preserve">for a financial product to which </w:t>
      </w:r>
      <w:r w:rsidR="00A801D0" w:rsidRPr="006E709F">
        <w:t>Division</w:t>
      </w:r>
      <w:r w:rsidR="00DA13DE" w:rsidRPr="006E709F">
        <w:t> </w:t>
      </w:r>
      <w:r w:rsidRPr="006E709F">
        <w:t>3 applies</w:t>
      </w:r>
      <w:r w:rsidR="00A801D0" w:rsidRPr="006E709F">
        <w:t>—</w:t>
      </w:r>
      <w:r w:rsidRPr="006E709F">
        <w:t xml:space="preserve">the compensation regime constituted by </w:t>
      </w:r>
      <w:r w:rsidR="00A801D0" w:rsidRPr="006E709F">
        <w:t>Division</w:t>
      </w:r>
      <w:r w:rsidR="00DA13DE" w:rsidRPr="006E709F">
        <w:t> </w:t>
      </w:r>
      <w:r w:rsidRPr="006E709F">
        <w:t>3; and</w:t>
      </w:r>
    </w:p>
    <w:p w:rsidR="002A22A4" w:rsidRPr="006E709F" w:rsidRDefault="002A22A4" w:rsidP="00A801D0">
      <w:pPr>
        <w:pStyle w:val="paragraph"/>
      </w:pPr>
      <w:r w:rsidRPr="006E709F">
        <w:tab/>
        <w:t>(b)</w:t>
      </w:r>
      <w:r w:rsidRPr="006E709F">
        <w:tab/>
        <w:t xml:space="preserve">for a financial product to which </w:t>
      </w:r>
      <w:r w:rsidR="00A801D0" w:rsidRPr="006E709F">
        <w:t>Division</w:t>
      </w:r>
      <w:r w:rsidR="00DA13DE" w:rsidRPr="006E709F">
        <w:t> </w:t>
      </w:r>
      <w:r w:rsidRPr="006E709F">
        <w:t>4 applies</w:t>
      </w:r>
      <w:r w:rsidR="00A801D0" w:rsidRPr="006E709F">
        <w:t>—</w:t>
      </w:r>
      <w:r w:rsidRPr="006E709F">
        <w:t xml:space="preserve">the compensation regime constituted by </w:t>
      </w:r>
      <w:r w:rsidR="00A801D0" w:rsidRPr="006E709F">
        <w:t>Division</w:t>
      </w:r>
      <w:r w:rsidR="00DA13DE" w:rsidRPr="006E709F">
        <w:t> </w:t>
      </w:r>
      <w:r w:rsidRPr="006E709F">
        <w:t>4.</w:t>
      </w:r>
    </w:p>
    <w:p w:rsidR="002A22A4" w:rsidRPr="006E709F" w:rsidRDefault="002A22A4" w:rsidP="00714BE7">
      <w:pPr>
        <w:pStyle w:val="ItemHead"/>
      </w:pPr>
      <w:r w:rsidRPr="006E709F">
        <w:t>4</w:t>
      </w:r>
      <w:r w:rsidR="00891FC0" w:rsidRPr="006E709F">
        <w:t xml:space="preserve">  </w:t>
      </w:r>
      <w:r w:rsidR="00FF4176" w:rsidRPr="006E709F">
        <w:t>Paragraph 8</w:t>
      </w:r>
      <w:r w:rsidRPr="006E709F">
        <w:t>85C(1</w:t>
      </w:r>
      <w:r w:rsidR="00A801D0" w:rsidRPr="006E709F">
        <w:t>)(</w:t>
      </w:r>
      <w:r w:rsidRPr="006E709F">
        <w:t>b)</w:t>
      </w:r>
    </w:p>
    <w:p w:rsidR="00A801D0" w:rsidRPr="006E709F" w:rsidRDefault="00A801D0" w:rsidP="00714BE7">
      <w:pPr>
        <w:pStyle w:val="Item"/>
        <w:rPr>
          <w:i/>
        </w:rPr>
      </w:pPr>
      <w:r w:rsidRPr="006E709F">
        <w:rPr>
          <w:i/>
        </w:rPr>
        <w:t>substitute</w:t>
      </w:r>
    </w:p>
    <w:p w:rsidR="002A22A4" w:rsidRPr="006E709F" w:rsidRDefault="002A22A4" w:rsidP="00A801D0">
      <w:pPr>
        <w:pStyle w:val="paragraph"/>
      </w:pPr>
      <w:r w:rsidRPr="006E709F">
        <w:tab/>
        <w:t>(b)</w:t>
      </w:r>
      <w:r w:rsidRPr="006E709F">
        <w:tab/>
        <w:t>the money or other property, or the authority, was given to the participant in connection with effecting a transaction, or proposed transaction, that:</w:t>
      </w:r>
    </w:p>
    <w:p w:rsidR="002A22A4" w:rsidRPr="006E709F" w:rsidRDefault="002A22A4" w:rsidP="00A801D0">
      <w:pPr>
        <w:pStyle w:val="paragraphsub"/>
      </w:pPr>
      <w:r w:rsidRPr="006E709F">
        <w:tab/>
        <w:t>(i)</w:t>
      </w:r>
      <w:r w:rsidRPr="006E709F">
        <w:tab/>
        <w:t>was covered by provisions of the operating rules of the market relating to transactions effected through the market; and</w:t>
      </w:r>
    </w:p>
    <w:p w:rsidR="002A22A4" w:rsidRPr="006E709F" w:rsidRDefault="002A22A4" w:rsidP="00A801D0">
      <w:pPr>
        <w:pStyle w:val="paragraphsub"/>
      </w:pPr>
      <w:r w:rsidRPr="006E709F">
        <w:tab/>
        <w:t>(ii)</w:t>
      </w:r>
      <w:r w:rsidRPr="006E709F">
        <w:tab/>
        <w:t xml:space="preserve">related to a particular financial product that was not covered by the compensation regime constituted by </w:t>
      </w:r>
      <w:r w:rsidR="00A801D0" w:rsidRPr="006E709F">
        <w:t>Division</w:t>
      </w:r>
      <w:r w:rsidR="00DA13DE" w:rsidRPr="006E709F">
        <w:t> </w:t>
      </w:r>
      <w:r w:rsidRPr="006E709F">
        <w:t>4; and</w:t>
      </w:r>
    </w:p>
    <w:p w:rsidR="002A22A4" w:rsidRPr="006E709F" w:rsidRDefault="002A22A4" w:rsidP="00714BE7">
      <w:pPr>
        <w:pStyle w:val="ItemHead"/>
      </w:pPr>
      <w:r w:rsidRPr="006E709F">
        <w:t>5</w:t>
      </w:r>
      <w:r w:rsidR="00714BE7" w:rsidRPr="006E709F">
        <w:t xml:space="preserve">  </w:t>
      </w:r>
      <w:r w:rsidRPr="006E709F">
        <w:t>Section</w:t>
      </w:r>
      <w:r w:rsidR="00DA13DE" w:rsidRPr="006E709F">
        <w:t> </w:t>
      </w:r>
      <w:r w:rsidRPr="006E709F">
        <w:t>885D, heading</w:t>
      </w:r>
    </w:p>
    <w:p w:rsidR="00A801D0" w:rsidRPr="006E709F" w:rsidRDefault="00A801D0" w:rsidP="00714BE7">
      <w:pPr>
        <w:pStyle w:val="Item"/>
        <w:rPr>
          <w:i/>
        </w:rPr>
      </w:pPr>
      <w:r w:rsidRPr="006E709F">
        <w:rPr>
          <w:i/>
        </w:rPr>
        <w:t>substitute</w:t>
      </w:r>
    </w:p>
    <w:p w:rsidR="002A22A4" w:rsidRPr="006E709F" w:rsidRDefault="00714BE7" w:rsidP="00F32DDD">
      <w:pPr>
        <w:pStyle w:val="Specials"/>
      </w:pPr>
      <w:r w:rsidRPr="006E709F">
        <w:t xml:space="preserve">885D  </w:t>
      </w:r>
      <w:r w:rsidR="002A22A4" w:rsidRPr="006E709F">
        <w:t xml:space="preserve">Certain losses that are or are not </w:t>
      </w:r>
      <w:r w:rsidR="00A801D0" w:rsidRPr="006E709F">
        <w:t>Division</w:t>
      </w:r>
      <w:r w:rsidR="00DA13DE" w:rsidRPr="006E709F">
        <w:t> </w:t>
      </w:r>
      <w:r w:rsidR="002A22A4" w:rsidRPr="006E709F">
        <w:t>3 losses</w:t>
      </w:r>
    </w:p>
    <w:p w:rsidR="002A22A4" w:rsidRPr="006E709F" w:rsidRDefault="002A22A4" w:rsidP="00714BE7">
      <w:pPr>
        <w:pStyle w:val="ItemHead"/>
      </w:pPr>
      <w:r w:rsidRPr="006E709F">
        <w:t>6</w:t>
      </w:r>
      <w:r w:rsidR="00714BE7" w:rsidRPr="006E709F">
        <w:t xml:space="preserve">  </w:t>
      </w:r>
      <w:r w:rsidR="000D0B82" w:rsidRPr="006E709F">
        <w:t>After subsection</w:t>
      </w:r>
      <w:r w:rsidR="00DA13DE" w:rsidRPr="006E709F">
        <w:t> </w:t>
      </w:r>
      <w:r w:rsidRPr="006E709F">
        <w:t>885D(2)</w:t>
      </w:r>
    </w:p>
    <w:p w:rsidR="00A801D0" w:rsidRPr="006E709F" w:rsidRDefault="000D0B82" w:rsidP="00714BE7">
      <w:pPr>
        <w:pStyle w:val="Item"/>
        <w:rPr>
          <w:i/>
        </w:rPr>
      </w:pPr>
      <w:r w:rsidRPr="006E709F">
        <w:rPr>
          <w:i/>
        </w:rPr>
        <w:t>Insert:</w:t>
      </w:r>
    </w:p>
    <w:p w:rsidR="002A22A4" w:rsidRPr="006E709F" w:rsidRDefault="002A22A4" w:rsidP="00A801D0">
      <w:pPr>
        <w:pStyle w:val="subsection"/>
      </w:pPr>
      <w:r w:rsidRPr="006E709F">
        <w:tab/>
      </w:r>
      <w:r w:rsidR="005A191D" w:rsidRPr="006E709F">
        <w:t>(2A)</w:t>
      </w:r>
      <w:r w:rsidRPr="006E709F">
        <w:tab/>
      </w:r>
      <w:r w:rsidR="000D0B82" w:rsidRPr="006E709F">
        <w:t xml:space="preserve">Despite </w:t>
      </w:r>
      <w:r w:rsidR="00DA13DE" w:rsidRPr="006E709F">
        <w:t>subsection (</w:t>
      </w:r>
      <w:r w:rsidR="000D0B82" w:rsidRPr="006E709F">
        <w:t>2), if</w:t>
      </w:r>
      <w:r w:rsidRPr="006E709F">
        <w:t>, in relation to a loss suffered by a person:</w:t>
      </w:r>
    </w:p>
    <w:p w:rsidR="002A22A4" w:rsidRPr="006E709F" w:rsidRDefault="002A22A4" w:rsidP="00A801D0">
      <w:pPr>
        <w:pStyle w:val="paragraph"/>
      </w:pPr>
      <w:r w:rsidRPr="006E709F">
        <w:tab/>
        <w:t>(a)</w:t>
      </w:r>
      <w:r w:rsidRPr="006E709F">
        <w:tab/>
        <w:t>the requirements of subsection</w:t>
      </w:r>
      <w:r w:rsidR="00DA13DE" w:rsidRPr="006E709F">
        <w:t> </w:t>
      </w:r>
      <w:r w:rsidRPr="006E709F">
        <w:t xml:space="preserve">885C(1) are satisfied in relation to a participant and a financial market, except that it is not reasonably apparent whether the compensation regime constituted by </w:t>
      </w:r>
      <w:r w:rsidR="00A801D0" w:rsidRPr="006E709F">
        <w:t>Division</w:t>
      </w:r>
      <w:r w:rsidR="00DA13DE" w:rsidRPr="006E709F">
        <w:t> </w:t>
      </w:r>
      <w:r w:rsidRPr="006E709F">
        <w:t>3 or by Division</w:t>
      </w:r>
      <w:r w:rsidR="00DA13DE" w:rsidRPr="006E709F">
        <w:t> </w:t>
      </w:r>
      <w:r w:rsidRPr="006E709F">
        <w:t>4 covered the transaction, or proposed transaction; and</w:t>
      </w:r>
    </w:p>
    <w:p w:rsidR="002A22A4" w:rsidRPr="006E709F" w:rsidRDefault="002A22A4" w:rsidP="00A801D0">
      <w:pPr>
        <w:pStyle w:val="paragraph"/>
      </w:pPr>
      <w:r w:rsidRPr="006E709F">
        <w:tab/>
        <w:t>(b)</w:t>
      </w:r>
      <w:r w:rsidRPr="006E709F">
        <w:tab/>
        <w:t xml:space="preserve">the relevant financial market has both </w:t>
      </w:r>
      <w:r w:rsidR="00A801D0" w:rsidRPr="006E709F">
        <w:t>Division</w:t>
      </w:r>
      <w:r w:rsidR="00DA13DE" w:rsidRPr="006E709F">
        <w:t> </w:t>
      </w:r>
      <w:r w:rsidRPr="006E709F">
        <w:t xml:space="preserve">3 and </w:t>
      </w:r>
      <w:r w:rsidR="00A801D0" w:rsidRPr="006E709F">
        <w:t>Division</w:t>
      </w:r>
      <w:r w:rsidR="00DA13DE" w:rsidRPr="006E709F">
        <w:t> </w:t>
      </w:r>
      <w:r w:rsidRPr="006E709F">
        <w:t>4 arrangements; and</w:t>
      </w:r>
    </w:p>
    <w:p w:rsidR="002A22A4" w:rsidRPr="006E709F" w:rsidRDefault="002A22A4" w:rsidP="00A801D0">
      <w:pPr>
        <w:pStyle w:val="paragraph"/>
      </w:pPr>
      <w:r w:rsidRPr="006E709F">
        <w:tab/>
        <w:t>(c)</w:t>
      </w:r>
      <w:r w:rsidRPr="006E709F">
        <w:tab/>
        <w:t>either:</w:t>
      </w:r>
    </w:p>
    <w:p w:rsidR="002A22A4" w:rsidRPr="006E709F" w:rsidRDefault="002A22A4" w:rsidP="00A801D0">
      <w:pPr>
        <w:pStyle w:val="paragraphsub"/>
      </w:pPr>
      <w:r w:rsidRPr="006E709F">
        <w:tab/>
        <w:t>(i)</w:t>
      </w:r>
      <w:r w:rsidRPr="006E709F">
        <w:tab/>
        <w:t>the person did not (expressly or impliedly) instruct the participant to use the money or other property to enter into</w:t>
      </w:r>
      <w:r w:rsidR="00802C6E" w:rsidRPr="006E709F">
        <w:t xml:space="preserve"> </w:t>
      </w:r>
      <w:r w:rsidRPr="006E709F">
        <w:t xml:space="preserve">a transaction that would be covered by the compensation regime constituted by </w:t>
      </w:r>
      <w:r w:rsidR="00A801D0" w:rsidRPr="006E709F">
        <w:t>Division</w:t>
      </w:r>
      <w:r w:rsidR="00DA13DE" w:rsidRPr="006E709F">
        <w:t> </w:t>
      </w:r>
      <w:r w:rsidRPr="006E709F">
        <w:t xml:space="preserve">3 or by </w:t>
      </w:r>
      <w:r w:rsidR="00A801D0" w:rsidRPr="006E709F">
        <w:t>Division</w:t>
      </w:r>
      <w:r w:rsidR="00DA13DE" w:rsidRPr="006E709F">
        <w:t> </w:t>
      </w:r>
      <w:r w:rsidRPr="006E709F">
        <w:t>4; or</w:t>
      </w:r>
    </w:p>
    <w:p w:rsidR="002A22A4" w:rsidRPr="006E709F" w:rsidRDefault="002A22A4" w:rsidP="00A801D0">
      <w:pPr>
        <w:pStyle w:val="paragraphsub"/>
      </w:pPr>
      <w:r w:rsidRPr="006E709F">
        <w:tab/>
        <w:t>(ii)</w:t>
      </w:r>
      <w:r w:rsidRPr="006E709F">
        <w:tab/>
        <w:t xml:space="preserve">if the participant had authority to enter into transactions on the person’s behalf without specific authority, there is no evidence that the participant decided to use the money or other property to enter into a transaction that would be covered by the compensation regime constituted by </w:t>
      </w:r>
      <w:r w:rsidR="00A801D0" w:rsidRPr="006E709F">
        <w:t>Division</w:t>
      </w:r>
      <w:r w:rsidR="00DA13DE" w:rsidRPr="006E709F">
        <w:t> </w:t>
      </w:r>
      <w:r w:rsidRPr="006E709F">
        <w:t xml:space="preserve">3 or by </w:t>
      </w:r>
      <w:r w:rsidR="00A801D0" w:rsidRPr="006E709F">
        <w:t>Division</w:t>
      </w:r>
      <w:r w:rsidR="00DA13DE" w:rsidRPr="006E709F">
        <w:t> </w:t>
      </w:r>
      <w:r w:rsidRPr="006E709F">
        <w:t>4; and</w:t>
      </w:r>
    </w:p>
    <w:p w:rsidR="002A22A4" w:rsidRPr="006E709F" w:rsidRDefault="002A22A4" w:rsidP="00A801D0">
      <w:pPr>
        <w:pStyle w:val="paragraph"/>
      </w:pPr>
      <w:r w:rsidRPr="006E709F">
        <w:tab/>
        <w:t>(d)</w:t>
      </w:r>
      <w:r w:rsidRPr="006E709F">
        <w:tab/>
        <w:t xml:space="preserve">the participant was permitted to trade in products that would be covered by the compensation regimes constituted by </w:t>
      </w:r>
      <w:r w:rsidR="00A801D0" w:rsidRPr="006E709F">
        <w:t>Division</w:t>
      </w:r>
      <w:r w:rsidR="00DA13DE" w:rsidRPr="006E709F">
        <w:t> </w:t>
      </w:r>
      <w:r w:rsidRPr="006E709F">
        <w:t xml:space="preserve">3 and by </w:t>
      </w:r>
      <w:r w:rsidR="00A801D0" w:rsidRPr="006E709F">
        <w:t>Division</w:t>
      </w:r>
      <w:r w:rsidR="00DA13DE" w:rsidRPr="006E709F">
        <w:t> </w:t>
      </w:r>
      <w:r w:rsidRPr="006E709F">
        <w:t>4; and</w:t>
      </w:r>
    </w:p>
    <w:p w:rsidR="002A22A4" w:rsidRPr="006E709F" w:rsidRDefault="002A22A4" w:rsidP="00A801D0">
      <w:pPr>
        <w:pStyle w:val="paragraph"/>
      </w:pPr>
      <w:r w:rsidRPr="006E709F">
        <w:tab/>
        <w:t>(e)</w:t>
      </w:r>
      <w:r w:rsidRPr="006E709F">
        <w:tab/>
        <w:t>it is not reasonably apparent from the usual business practice of the participant which of those transactions the participant proposed to undertake;</w:t>
      </w:r>
    </w:p>
    <w:p w:rsidR="002A22A4" w:rsidRPr="006E709F" w:rsidRDefault="002A22A4" w:rsidP="00A801D0">
      <w:pPr>
        <w:pStyle w:val="subsection2"/>
      </w:pPr>
      <w:r w:rsidRPr="006E709F">
        <w:t xml:space="preserve">the loss is taken to be a </w:t>
      </w:r>
      <w:r w:rsidR="00A801D0" w:rsidRPr="006E709F">
        <w:rPr>
          <w:b/>
          <w:i/>
        </w:rPr>
        <w:t>Division</w:t>
      </w:r>
      <w:r w:rsidR="00DA13DE" w:rsidRPr="006E709F">
        <w:rPr>
          <w:b/>
          <w:i/>
        </w:rPr>
        <w:t> </w:t>
      </w:r>
      <w:r w:rsidRPr="006E709F">
        <w:rPr>
          <w:b/>
          <w:i/>
        </w:rPr>
        <w:t>3 loss</w:t>
      </w:r>
      <w:r w:rsidRPr="006E709F">
        <w:t xml:space="preserve"> and not to be a loss that is connected with a financial market to which </w:t>
      </w:r>
      <w:r w:rsidR="00A801D0" w:rsidRPr="006E709F">
        <w:t>Division</w:t>
      </w:r>
      <w:r w:rsidR="00DA13DE" w:rsidRPr="006E709F">
        <w:t> </w:t>
      </w:r>
      <w:r w:rsidRPr="006E709F">
        <w:t>4 applies.</w:t>
      </w:r>
    </w:p>
    <w:p w:rsidR="000D0B82" w:rsidRPr="006E709F" w:rsidRDefault="000D0B82" w:rsidP="000D0B82">
      <w:pPr>
        <w:pStyle w:val="subsection"/>
      </w:pPr>
      <w:r w:rsidRPr="006E709F">
        <w:tab/>
        <w:t>(2B)</w:t>
      </w:r>
      <w:r w:rsidRPr="006E709F">
        <w:tab/>
        <w:t xml:space="preserve">Despite </w:t>
      </w:r>
      <w:r w:rsidR="00DA13DE" w:rsidRPr="006E709F">
        <w:t>subsection (</w:t>
      </w:r>
      <w:r w:rsidRPr="006E709F">
        <w:t>2), if:</w:t>
      </w:r>
    </w:p>
    <w:p w:rsidR="000D0B82" w:rsidRPr="006E709F" w:rsidRDefault="000D0B82" w:rsidP="000D0B82">
      <w:pPr>
        <w:pStyle w:val="paragraph"/>
      </w:pPr>
      <w:r w:rsidRPr="006E709F">
        <w:tab/>
        <w:t>(a)</w:t>
      </w:r>
      <w:r w:rsidRPr="006E709F">
        <w:tab/>
        <w:t>the requirements of subsection</w:t>
      </w:r>
      <w:r w:rsidR="00DA13DE" w:rsidRPr="006E709F">
        <w:t> </w:t>
      </w:r>
      <w:r w:rsidRPr="006E709F">
        <w:t>885C(1) are satisfied in relation to a participant and a financial market; and</w:t>
      </w:r>
    </w:p>
    <w:p w:rsidR="000D0B82" w:rsidRPr="006E709F" w:rsidRDefault="000D0B82" w:rsidP="000D0B82">
      <w:pPr>
        <w:pStyle w:val="paragraph"/>
      </w:pPr>
      <w:r w:rsidRPr="006E709F">
        <w:tab/>
        <w:t>(b)</w:t>
      </w:r>
      <w:r w:rsidRPr="006E709F">
        <w:tab/>
        <w:t>the loss is also connected (see section</w:t>
      </w:r>
      <w:r w:rsidR="00DA13DE" w:rsidRPr="006E709F">
        <w:t> </w:t>
      </w:r>
      <w:r w:rsidRPr="006E709F">
        <w:t>888A) with a financial market to which Division</w:t>
      </w:r>
      <w:r w:rsidR="00DA13DE" w:rsidRPr="006E709F">
        <w:t> </w:t>
      </w:r>
      <w:r w:rsidRPr="006E709F">
        <w:t>4 applies; and</w:t>
      </w:r>
    </w:p>
    <w:p w:rsidR="000D0B82" w:rsidRPr="006E709F" w:rsidRDefault="000D0B82" w:rsidP="000D0B82">
      <w:pPr>
        <w:pStyle w:val="paragraph"/>
      </w:pPr>
      <w:r w:rsidRPr="006E709F">
        <w:tab/>
        <w:t>(c)</w:t>
      </w:r>
      <w:r w:rsidRPr="006E709F">
        <w:tab/>
        <w:t>the person did not (expressly or impliedly) instruct the participant to use a particular one of those markets; and</w:t>
      </w:r>
    </w:p>
    <w:p w:rsidR="000D0B82" w:rsidRPr="006E709F" w:rsidRDefault="000D0B82" w:rsidP="000D0B82">
      <w:pPr>
        <w:pStyle w:val="paragraph"/>
      </w:pPr>
      <w:r w:rsidRPr="006E709F">
        <w:tab/>
        <w:t>(d)</w:t>
      </w:r>
      <w:r w:rsidRPr="006E709F">
        <w:tab/>
        <w:t>it is not reasonably apparent from the usual business practice of the participant which of those markets the participant would use when acting for the person; and</w:t>
      </w:r>
    </w:p>
    <w:p w:rsidR="000D0B82" w:rsidRPr="006E709F" w:rsidRDefault="000D0B82" w:rsidP="000D0B82">
      <w:pPr>
        <w:pStyle w:val="paragraph"/>
      </w:pPr>
      <w:r w:rsidRPr="006E709F">
        <w:tab/>
        <w:t>(e)</w:t>
      </w:r>
      <w:r w:rsidRPr="006E709F">
        <w:tab/>
        <w:t>the loss is connected with a transaction effected through a financial market to which Division</w:t>
      </w:r>
      <w:r w:rsidR="00DA13DE" w:rsidRPr="006E709F">
        <w:t> </w:t>
      </w:r>
      <w:r w:rsidRPr="006E709F">
        <w:t>3 applies; and</w:t>
      </w:r>
    </w:p>
    <w:p w:rsidR="000D0B82" w:rsidRPr="006E709F" w:rsidRDefault="000D0B82" w:rsidP="000D0B82">
      <w:pPr>
        <w:pStyle w:val="paragraph"/>
      </w:pPr>
      <w:r w:rsidRPr="006E709F">
        <w:tab/>
        <w:t>(f)</w:t>
      </w:r>
      <w:r w:rsidRPr="006E709F">
        <w:tab/>
        <w:t>a claim cannot be made, or has been disallowed, under Division</w:t>
      </w:r>
      <w:r w:rsidR="00DA13DE" w:rsidRPr="006E709F">
        <w:t> </w:t>
      </w:r>
      <w:r w:rsidRPr="006E709F">
        <w:t>4 (see subsection</w:t>
      </w:r>
      <w:r w:rsidR="00DA13DE" w:rsidRPr="006E709F">
        <w:t> </w:t>
      </w:r>
      <w:r w:rsidRPr="006E709F">
        <w:t>888A(1));</w:t>
      </w:r>
    </w:p>
    <w:p w:rsidR="000D0B82" w:rsidRPr="006E709F" w:rsidRDefault="000D0B82" w:rsidP="000D0B82">
      <w:pPr>
        <w:pStyle w:val="subsection2"/>
      </w:pPr>
      <w:r w:rsidRPr="006E709F">
        <w:t xml:space="preserve">the loss is taken to be a </w:t>
      </w:r>
      <w:r w:rsidRPr="006E709F">
        <w:rPr>
          <w:b/>
          <w:bCs/>
          <w:i/>
          <w:iCs/>
        </w:rPr>
        <w:t>Division</w:t>
      </w:r>
      <w:r w:rsidR="00DA13DE" w:rsidRPr="006E709F">
        <w:rPr>
          <w:b/>
          <w:bCs/>
          <w:i/>
          <w:iCs/>
        </w:rPr>
        <w:t> </w:t>
      </w:r>
      <w:r w:rsidRPr="006E709F">
        <w:rPr>
          <w:b/>
          <w:bCs/>
          <w:i/>
          <w:iCs/>
        </w:rPr>
        <w:t>3 loss</w:t>
      </w:r>
      <w:r w:rsidRPr="006E709F">
        <w:t xml:space="preserve"> and not to be a loss that is connected with a financial market to which Division</w:t>
      </w:r>
      <w:r w:rsidR="00DA13DE" w:rsidRPr="006E709F">
        <w:t> </w:t>
      </w:r>
      <w:r w:rsidRPr="006E709F">
        <w:t>4 applies.</w:t>
      </w:r>
    </w:p>
    <w:p w:rsidR="002A22A4" w:rsidRPr="006E709F" w:rsidRDefault="002A22A4" w:rsidP="00714BE7">
      <w:pPr>
        <w:pStyle w:val="ItemHead"/>
      </w:pPr>
      <w:r w:rsidRPr="006E709F">
        <w:t>7</w:t>
      </w:r>
      <w:r w:rsidR="00891FC0" w:rsidRPr="006E709F">
        <w:t xml:space="preserve">  </w:t>
      </w:r>
      <w:r w:rsidRPr="006E709F">
        <w:t>Subsection</w:t>
      </w:r>
      <w:r w:rsidR="00DA13DE" w:rsidRPr="006E709F">
        <w:t> </w:t>
      </w:r>
      <w:r w:rsidRPr="006E709F">
        <w:t>885J(1)</w:t>
      </w:r>
    </w:p>
    <w:p w:rsidR="00A801D0" w:rsidRPr="006E709F" w:rsidRDefault="00A801D0" w:rsidP="00714BE7">
      <w:pPr>
        <w:pStyle w:val="Item"/>
        <w:rPr>
          <w:i/>
        </w:rPr>
      </w:pPr>
      <w:r w:rsidRPr="006E709F">
        <w:rPr>
          <w:i/>
        </w:rPr>
        <w:t>omit</w:t>
      </w:r>
    </w:p>
    <w:p w:rsidR="002A22A4" w:rsidRPr="006E709F" w:rsidRDefault="002A22A4" w:rsidP="00714BE7">
      <w:pPr>
        <w:pStyle w:val="Item"/>
      </w:pPr>
      <w:r w:rsidRPr="006E709F">
        <w:t>adequate,</w:t>
      </w:r>
    </w:p>
    <w:p w:rsidR="00A801D0" w:rsidRPr="006E709F" w:rsidRDefault="00A801D0" w:rsidP="00714BE7">
      <w:pPr>
        <w:pStyle w:val="Item"/>
        <w:rPr>
          <w:i/>
        </w:rPr>
      </w:pPr>
      <w:r w:rsidRPr="006E709F">
        <w:rPr>
          <w:i/>
        </w:rPr>
        <w:t>insert</w:t>
      </w:r>
    </w:p>
    <w:p w:rsidR="002A22A4" w:rsidRPr="006E709F" w:rsidRDefault="002A22A4" w:rsidP="00714BE7">
      <w:pPr>
        <w:pStyle w:val="Item"/>
      </w:pPr>
      <w:r w:rsidRPr="006E709F">
        <w:t>adequate for the market, or segment of the market, for which the arrangements apply,</w:t>
      </w:r>
    </w:p>
    <w:p w:rsidR="002A22A4" w:rsidRPr="006E709F" w:rsidRDefault="002A22A4" w:rsidP="00A25488">
      <w:pPr>
        <w:pStyle w:val="ItemHead"/>
      </w:pPr>
      <w:r w:rsidRPr="006E709F">
        <w:t>8</w:t>
      </w:r>
      <w:r w:rsidR="00891FC0" w:rsidRPr="006E709F">
        <w:t xml:space="preserve">  </w:t>
      </w:r>
      <w:r w:rsidRPr="006E709F">
        <w:t>Section</w:t>
      </w:r>
      <w:r w:rsidR="00DA13DE" w:rsidRPr="006E709F">
        <w:t> </w:t>
      </w:r>
      <w:r w:rsidRPr="006E709F">
        <w:t>887A</w:t>
      </w:r>
    </w:p>
    <w:p w:rsidR="00A801D0" w:rsidRPr="006E709F" w:rsidRDefault="00A801D0" w:rsidP="00A25488">
      <w:pPr>
        <w:pStyle w:val="Item"/>
        <w:keepNext/>
        <w:rPr>
          <w:i/>
        </w:rPr>
      </w:pPr>
      <w:r w:rsidRPr="006E709F">
        <w:rPr>
          <w:i/>
        </w:rPr>
        <w:t>substitute</w:t>
      </w:r>
    </w:p>
    <w:p w:rsidR="002A22A4" w:rsidRPr="006E709F" w:rsidRDefault="00891FC0" w:rsidP="00F32DDD">
      <w:pPr>
        <w:pStyle w:val="Specials"/>
      </w:pPr>
      <w:r w:rsidRPr="006E709F">
        <w:t xml:space="preserve">887A  </w:t>
      </w:r>
      <w:r w:rsidR="002A22A4" w:rsidRPr="006E709F">
        <w:t xml:space="preserve">Markets to which this </w:t>
      </w:r>
      <w:r w:rsidR="00A801D0" w:rsidRPr="006E709F">
        <w:t>Division</w:t>
      </w:r>
      <w:r w:rsidR="00E376FA" w:rsidRPr="006E709F">
        <w:t xml:space="preserve"> </w:t>
      </w:r>
      <w:r w:rsidR="002A22A4" w:rsidRPr="006E709F">
        <w:t>applies</w:t>
      </w:r>
    </w:p>
    <w:p w:rsidR="002A22A4" w:rsidRPr="006E709F" w:rsidRDefault="002A22A4" w:rsidP="00A801D0">
      <w:pPr>
        <w:pStyle w:val="subsection"/>
      </w:pPr>
      <w:r w:rsidRPr="006E709F">
        <w:tab/>
        <w:t>(1)</w:t>
      </w:r>
      <w:r w:rsidRPr="006E709F">
        <w:tab/>
        <w:t xml:space="preserve">This </w:t>
      </w:r>
      <w:r w:rsidR="00A801D0" w:rsidRPr="006E709F">
        <w:t>Division</w:t>
      </w:r>
      <w:r w:rsidR="00E376FA" w:rsidRPr="006E709F">
        <w:t xml:space="preserve"> </w:t>
      </w:r>
      <w:r w:rsidRPr="006E709F">
        <w:t>applies to a financial market that is operated by:</w:t>
      </w:r>
    </w:p>
    <w:p w:rsidR="002A22A4" w:rsidRPr="006E709F" w:rsidRDefault="002A22A4" w:rsidP="00A801D0">
      <w:pPr>
        <w:pStyle w:val="paragraph"/>
      </w:pPr>
      <w:r w:rsidRPr="006E709F">
        <w:tab/>
        <w:t>(a)</w:t>
      </w:r>
      <w:r w:rsidRPr="006E709F">
        <w:tab/>
        <w:t>a body corporate that is a member of the SEGC; or</w:t>
      </w:r>
    </w:p>
    <w:p w:rsidR="002A22A4" w:rsidRPr="006E709F" w:rsidRDefault="002A22A4" w:rsidP="00A801D0">
      <w:pPr>
        <w:pStyle w:val="paragraph"/>
      </w:pPr>
      <w:r w:rsidRPr="006E709F">
        <w:tab/>
        <w:t>(b)</w:t>
      </w:r>
      <w:r w:rsidRPr="006E709F">
        <w:tab/>
        <w:t>a body corporate that is a subsidiary of such a member.</w:t>
      </w:r>
    </w:p>
    <w:p w:rsidR="002A22A4" w:rsidRPr="006E709F" w:rsidRDefault="002A22A4" w:rsidP="00A801D0">
      <w:pPr>
        <w:pStyle w:val="subsection"/>
      </w:pPr>
      <w:r w:rsidRPr="006E709F">
        <w:tab/>
        <w:t>(2)</w:t>
      </w:r>
      <w:r w:rsidRPr="006E709F">
        <w:tab/>
        <w:t xml:space="preserve">However, this </w:t>
      </w:r>
      <w:r w:rsidR="00A801D0" w:rsidRPr="006E709F">
        <w:t>Division</w:t>
      </w:r>
      <w:r w:rsidR="00E376FA" w:rsidRPr="006E709F">
        <w:t xml:space="preserve"> </w:t>
      </w:r>
      <w:r w:rsidRPr="006E709F">
        <w:t xml:space="preserve">does not apply to a market mentioned in </w:t>
      </w:r>
      <w:r w:rsidR="00DA13DE" w:rsidRPr="006E709F">
        <w:t>subsection (</w:t>
      </w:r>
      <w:r w:rsidRPr="006E709F">
        <w:t>1):</w:t>
      </w:r>
    </w:p>
    <w:p w:rsidR="002A22A4" w:rsidRPr="006E709F" w:rsidRDefault="002A22A4" w:rsidP="00A801D0">
      <w:pPr>
        <w:pStyle w:val="paragraph"/>
      </w:pPr>
      <w:r w:rsidRPr="006E709F">
        <w:tab/>
        <w:t>(a)</w:t>
      </w:r>
      <w:r w:rsidRPr="006E709F">
        <w:tab/>
        <w:t>that the regulations state is not covered by this Division; or</w:t>
      </w:r>
    </w:p>
    <w:p w:rsidR="002A22A4" w:rsidRPr="006E709F" w:rsidRDefault="002A22A4" w:rsidP="00A801D0">
      <w:pPr>
        <w:pStyle w:val="paragraph"/>
      </w:pPr>
      <w:r w:rsidRPr="006E709F">
        <w:tab/>
        <w:t>(b)</w:t>
      </w:r>
      <w:r w:rsidRPr="006E709F">
        <w:tab/>
        <w:t xml:space="preserve">to the extent that it involves financial products covered by the compensation regime constituted by </w:t>
      </w:r>
      <w:r w:rsidR="00A801D0" w:rsidRPr="006E709F">
        <w:t>Division</w:t>
      </w:r>
      <w:r w:rsidR="00DA13DE" w:rsidRPr="006E709F">
        <w:t> </w:t>
      </w:r>
      <w:r w:rsidRPr="006E709F">
        <w:t>3.</w:t>
      </w:r>
    </w:p>
    <w:p w:rsidR="002A22A4" w:rsidRPr="006E709F" w:rsidRDefault="002A22A4" w:rsidP="00714BE7">
      <w:pPr>
        <w:pStyle w:val="ItemHead"/>
      </w:pPr>
      <w:r w:rsidRPr="006E709F">
        <w:t>9</w:t>
      </w:r>
      <w:r w:rsidR="00891FC0" w:rsidRPr="006E709F">
        <w:t xml:space="preserve">  </w:t>
      </w:r>
      <w:r w:rsidRPr="006E709F">
        <w:t>After subsection</w:t>
      </w:r>
      <w:r w:rsidR="00DA13DE" w:rsidRPr="006E709F">
        <w:t> </w:t>
      </w:r>
      <w:r w:rsidRPr="006E709F">
        <w:t>889J(1)</w:t>
      </w:r>
    </w:p>
    <w:p w:rsidR="00A801D0" w:rsidRPr="006E709F" w:rsidRDefault="00A801D0" w:rsidP="00714BE7">
      <w:pPr>
        <w:pStyle w:val="Item"/>
        <w:rPr>
          <w:i/>
        </w:rPr>
      </w:pPr>
      <w:r w:rsidRPr="006E709F">
        <w:rPr>
          <w:i/>
        </w:rPr>
        <w:t>insert</w:t>
      </w:r>
    </w:p>
    <w:p w:rsidR="002A22A4" w:rsidRPr="006E709F" w:rsidRDefault="002A22A4" w:rsidP="00A801D0">
      <w:pPr>
        <w:pStyle w:val="subsection"/>
      </w:pPr>
      <w:r w:rsidRPr="006E709F">
        <w:tab/>
        <w:t>(1A)</w:t>
      </w:r>
      <w:r w:rsidRPr="006E709F">
        <w:tab/>
        <w:t xml:space="preserve">However, a levy is payable only by an operator or a participant (including a participant who is suspended), in a financial market to which this </w:t>
      </w:r>
      <w:r w:rsidR="00A801D0" w:rsidRPr="006E709F">
        <w:t>Division</w:t>
      </w:r>
      <w:r w:rsidR="00E376FA" w:rsidRPr="006E709F">
        <w:t xml:space="preserve"> </w:t>
      </w:r>
      <w:r w:rsidRPr="006E709F">
        <w:t xml:space="preserve">applies, who is permitted to trade on that market a financial product to which this </w:t>
      </w:r>
      <w:r w:rsidR="00A801D0" w:rsidRPr="006E709F">
        <w:t>Division</w:t>
      </w:r>
      <w:r w:rsidR="00E376FA" w:rsidRPr="006E709F">
        <w:t xml:space="preserve"> </w:t>
      </w:r>
      <w:r w:rsidRPr="006E709F">
        <w:t>applies.</w:t>
      </w:r>
    </w:p>
    <w:p w:rsidR="002A22A4" w:rsidRPr="006E709F" w:rsidRDefault="002A22A4" w:rsidP="00714BE7">
      <w:pPr>
        <w:pStyle w:val="ItemHead"/>
      </w:pPr>
      <w:r w:rsidRPr="006E709F">
        <w:t>10</w:t>
      </w:r>
      <w:r w:rsidR="00891FC0" w:rsidRPr="006E709F">
        <w:t xml:space="preserve">  </w:t>
      </w:r>
      <w:r w:rsidRPr="006E709F">
        <w:t>After subsection</w:t>
      </w:r>
      <w:r w:rsidR="00DA13DE" w:rsidRPr="006E709F">
        <w:t> </w:t>
      </w:r>
      <w:r w:rsidRPr="006E709F">
        <w:t>889K(2)</w:t>
      </w:r>
    </w:p>
    <w:p w:rsidR="00A801D0" w:rsidRPr="006E709F" w:rsidRDefault="00A801D0" w:rsidP="00714BE7">
      <w:pPr>
        <w:pStyle w:val="Item"/>
        <w:rPr>
          <w:i/>
        </w:rPr>
      </w:pPr>
      <w:r w:rsidRPr="006E709F">
        <w:rPr>
          <w:i/>
        </w:rPr>
        <w:t>insert</w:t>
      </w:r>
    </w:p>
    <w:p w:rsidR="002A22A4" w:rsidRPr="006E709F" w:rsidRDefault="002A22A4" w:rsidP="00A801D0">
      <w:pPr>
        <w:pStyle w:val="subsection"/>
      </w:pPr>
      <w:r w:rsidRPr="006E709F">
        <w:tab/>
        <w:t>(2A)</w:t>
      </w:r>
      <w:r w:rsidRPr="006E709F">
        <w:tab/>
        <w:t xml:space="preserve">However, a levy is payable only by a participant (including a participant who is suspended), in a financial market to which this </w:t>
      </w:r>
      <w:r w:rsidR="00A801D0" w:rsidRPr="006E709F">
        <w:t>Division</w:t>
      </w:r>
      <w:r w:rsidR="00E376FA" w:rsidRPr="006E709F">
        <w:t xml:space="preserve"> </w:t>
      </w:r>
      <w:r w:rsidRPr="006E709F">
        <w:t xml:space="preserve">applies, who is permitted to trade on that market a financial product to which this </w:t>
      </w:r>
      <w:r w:rsidR="00A801D0" w:rsidRPr="006E709F">
        <w:t>Division</w:t>
      </w:r>
      <w:r w:rsidR="00E376FA" w:rsidRPr="006E709F">
        <w:t xml:space="preserve"> </w:t>
      </w:r>
      <w:r w:rsidRPr="006E709F">
        <w:t>applies.</w:t>
      </w:r>
    </w:p>
    <w:p w:rsidR="00C4352B" w:rsidRPr="006E709F" w:rsidRDefault="00891FC0" w:rsidP="00714BE7">
      <w:pPr>
        <w:pStyle w:val="ItemHead"/>
      </w:pPr>
      <w:r w:rsidRPr="006E709F">
        <w:t xml:space="preserve">10A  </w:t>
      </w:r>
      <w:r w:rsidR="00C4352B" w:rsidRPr="006E709F">
        <w:t>After subsection</w:t>
      </w:r>
      <w:r w:rsidR="00DA13DE" w:rsidRPr="006E709F">
        <w:t> </w:t>
      </w:r>
      <w:r w:rsidR="00C4352B" w:rsidRPr="006E709F">
        <w:t>892B(1), including the note</w:t>
      </w:r>
    </w:p>
    <w:p w:rsidR="00A801D0" w:rsidRPr="006E709F" w:rsidRDefault="00A801D0" w:rsidP="00714BE7">
      <w:pPr>
        <w:pStyle w:val="Item"/>
        <w:rPr>
          <w:i/>
        </w:rPr>
      </w:pPr>
      <w:r w:rsidRPr="006E709F">
        <w:rPr>
          <w:i/>
        </w:rPr>
        <w:t>insert</w:t>
      </w:r>
    </w:p>
    <w:p w:rsidR="00C4352B" w:rsidRPr="006E709F" w:rsidRDefault="00C4352B" w:rsidP="00A801D0">
      <w:pPr>
        <w:pStyle w:val="subsection"/>
      </w:pPr>
      <w:r w:rsidRPr="006E709F">
        <w:tab/>
        <w:t>(1A)</w:t>
      </w:r>
      <w:r w:rsidRPr="006E709F">
        <w:tab/>
        <w:t xml:space="preserve">Nothing in </w:t>
      </w:r>
      <w:r w:rsidR="00DA13DE" w:rsidRPr="006E709F">
        <w:t>subsection (</w:t>
      </w:r>
      <w:r w:rsidRPr="006E709F">
        <w:t>1) prevents the Minister approving, in accordance with section</w:t>
      </w:r>
      <w:r w:rsidR="00DA13DE" w:rsidRPr="006E709F">
        <w:t> </w:t>
      </w:r>
      <w:r w:rsidRPr="006E709F">
        <w:t xml:space="preserve">884C, a change to </w:t>
      </w:r>
      <w:r w:rsidR="00A801D0" w:rsidRPr="006E709F">
        <w:t>Division</w:t>
      </w:r>
      <w:r w:rsidR="00DA13DE" w:rsidRPr="006E709F">
        <w:t> </w:t>
      </w:r>
      <w:r w:rsidRPr="006E709F">
        <w:t>3 arrangements that includes the withdrawal of money from an account or accounts holding a fidelity fund.</w:t>
      </w:r>
    </w:p>
    <w:p w:rsidR="002A22A4" w:rsidRPr="006E709F" w:rsidRDefault="002A22A4" w:rsidP="00714BE7">
      <w:pPr>
        <w:pStyle w:val="ItemHead"/>
      </w:pPr>
      <w:r w:rsidRPr="006E709F">
        <w:t>11</w:t>
      </w:r>
      <w:r w:rsidR="00891FC0" w:rsidRPr="006E709F">
        <w:t xml:space="preserve">  </w:t>
      </w:r>
      <w:r w:rsidR="00FF4176" w:rsidRPr="006E709F">
        <w:t>Paragraph 8</w:t>
      </w:r>
      <w:r w:rsidRPr="006E709F">
        <w:t>92K(1</w:t>
      </w:r>
      <w:r w:rsidR="00A801D0" w:rsidRPr="006E709F">
        <w:t>)(</w:t>
      </w:r>
      <w:r w:rsidRPr="006E709F">
        <w:t>a)</w:t>
      </w:r>
    </w:p>
    <w:p w:rsidR="00A801D0" w:rsidRPr="006E709F" w:rsidRDefault="00A801D0" w:rsidP="00714BE7">
      <w:pPr>
        <w:pStyle w:val="Item"/>
        <w:rPr>
          <w:i/>
        </w:rPr>
      </w:pPr>
      <w:r w:rsidRPr="006E709F">
        <w:rPr>
          <w:i/>
        </w:rPr>
        <w:t>after</w:t>
      </w:r>
    </w:p>
    <w:p w:rsidR="002A22A4" w:rsidRPr="006E709F" w:rsidRDefault="002A22A4" w:rsidP="00714BE7">
      <w:pPr>
        <w:pStyle w:val="Item"/>
      </w:pPr>
      <w:r w:rsidRPr="006E709F">
        <w:t>report</w:t>
      </w:r>
    </w:p>
    <w:p w:rsidR="00A801D0" w:rsidRPr="006E709F" w:rsidRDefault="00A801D0" w:rsidP="00714BE7">
      <w:pPr>
        <w:pStyle w:val="Item"/>
        <w:rPr>
          <w:i/>
        </w:rPr>
      </w:pPr>
      <w:r w:rsidRPr="006E709F">
        <w:rPr>
          <w:i/>
        </w:rPr>
        <w:t>insert</w:t>
      </w:r>
    </w:p>
    <w:p w:rsidR="002A22A4" w:rsidRPr="006E709F" w:rsidRDefault="002A22A4" w:rsidP="00714BE7">
      <w:pPr>
        <w:pStyle w:val="Item"/>
      </w:pPr>
      <w:r w:rsidRPr="006E709F">
        <w:t>for a set of compensation arrangements</w:t>
      </w:r>
    </w:p>
    <w:p w:rsidR="00DC48A1" w:rsidRPr="006E709F" w:rsidRDefault="00DC48A1" w:rsidP="00DC48A1">
      <w:pPr>
        <w:pStyle w:val="ActHead1"/>
        <w:pageBreakBefore/>
      </w:pPr>
      <w:bookmarkStart w:id="48" w:name="_Toc160609740"/>
      <w:r w:rsidRPr="000C4237">
        <w:rPr>
          <w:rStyle w:val="CharChapNo"/>
        </w:rPr>
        <w:t>Schedule 8D</w:t>
      </w:r>
      <w:r w:rsidRPr="006E709F">
        <w:t>—</w:t>
      </w:r>
      <w:r w:rsidRPr="000C4237">
        <w:rPr>
          <w:rStyle w:val="CharChapText"/>
        </w:rPr>
        <w:t>Tables for reporting portfolio holding information</w:t>
      </w:r>
      <w:bookmarkEnd w:id="48"/>
    </w:p>
    <w:p w:rsidR="00DC48A1" w:rsidRPr="006E709F" w:rsidRDefault="00DC48A1" w:rsidP="00DC48A1">
      <w:pPr>
        <w:pStyle w:val="Header"/>
      </w:pPr>
      <w:r w:rsidRPr="000C4237">
        <w:rPr>
          <w:rStyle w:val="CharPartNo"/>
        </w:rPr>
        <w:t xml:space="preserve"> </w:t>
      </w:r>
      <w:r w:rsidRPr="000C4237">
        <w:rPr>
          <w:rStyle w:val="CharPartText"/>
        </w:rPr>
        <w:t xml:space="preserve"> </w:t>
      </w:r>
    </w:p>
    <w:p w:rsidR="00DC48A1" w:rsidRPr="006E709F" w:rsidRDefault="00DC48A1" w:rsidP="00DC48A1">
      <w:pPr>
        <w:pStyle w:val="notemargin"/>
      </w:pPr>
      <w:r w:rsidRPr="006E709F">
        <w:t>(regulations 7.9.07Z and 7.9.07ZA)</w:t>
      </w:r>
    </w:p>
    <w:p w:rsidR="00DC48A1" w:rsidRPr="006E709F" w:rsidRDefault="00DC48A1" w:rsidP="00DC48A1">
      <w:pPr>
        <w:pStyle w:val="ActHead5"/>
      </w:pPr>
      <w:bookmarkStart w:id="49" w:name="_Toc160609741"/>
      <w:r w:rsidRPr="000C4237">
        <w:rPr>
          <w:rStyle w:val="CharSectno"/>
        </w:rPr>
        <w:t>1</w:t>
      </w:r>
      <w:r w:rsidRPr="006E709F">
        <w:t xml:space="preserve">  Table 1—Assets</w:t>
      </w:r>
      <w:bookmarkEnd w:id="49"/>
    </w:p>
    <w:p w:rsidR="00DC48A1" w:rsidRPr="006E709F" w:rsidRDefault="00DC48A1" w:rsidP="00DC48A1">
      <w:pPr>
        <w:pStyle w:val="Tabletext"/>
      </w:pPr>
    </w:p>
    <w:tbl>
      <w:tblPr>
        <w:tblW w:w="8789" w:type="dxa"/>
        <w:tblInd w:w="108" w:type="dxa"/>
        <w:tblLayout w:type="fixed"/>
        <w:tblCellMar>
          <w:left w:w="0" w:type="dxa"/>
          <w:right w:w="0" w:type="dxa"/>
        </w:tblCellMar>
        <w:tblLook w:val="04A0" w:firstRow="1" w:lastRow="0" w:firstColumn="1" w:lastColumn="0" w:noHBand="0" w:noVBand="1"/>
      </w:tblPr>
      <w:tblGrid>
        <w:gridCol w:w="2692"/>
        <w:gridCol w:w="1419"/>
        <w:gridCol w:w="1276"/>
        <w:gridCol w:w="1771"/>
        <w:gridCol w:w="9"/>
        <w:gridCol w:w="11"/>
        <w:gridCol w:w="1611"/>
      </w:tblGrid>
      <w:tr w:rsidR="00DC48A1" w:rsidRPr="006E709F" w:rsidTr="00CF67DD">
        <w:tc>
          <w:tcPr>
            <w:tcW w:w="5387" w:type="dxa"/>
            <w:gridSpan w:val="3"/>
            <w:tcBorders>
              <w:top w:val="single" w:sz="18"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bookmarkStart w:id="50" w:name="_Hlk86229187"/>
            <w:r w:rsidRPr="006E709F">
              <w:rPr>
                <w:b/>
                <w:bCs/>
                <w:sz w:val="16"/>
                <w:szCs w:val="16"/>
              </w:rPr>
              <w:t xml:space="preserve">Portfolio Holdings Information for </w:t>
            </w:r>
            <w:r w:rsidRPr="006E709F">
              <w:rPr>
                <w:b/>
                <w:sz w:val="16"/>
                <w:szCs w:val="16"/>
              </w:rPr>
              <w:t>Investment Option [A]—</w:t>
            </w:r>
            <w:r w:rsidRPr="006E709F">
              <w:rPr>
                <w:b/>
                <w:bCs/>
                <w:sz w:val="16"/>
                <w:szCs w:val="16"/>
              </w:rPr>
              <w:t>Assets</w:t>
            </w:r>
          </w:p>
        </w:tc>
        <w:tc>
          <w:tcPr>
            <w:tcW w:w="3402" w:type="dxa"/>
            <w:gridSpan w:val="4"/>
            <w:tcBorders>
              <w:top w:val="single" w:sz="18"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r w:rsidRPr="006E709F">
              <w:rPr>
                <w:b/>
                <w:bCs/>
                <w:sz w:val="16"/>
                <w:szCs w:val="16"/>
              </w:rPr>
              <w:t>Summary</w:t>
            </w:r>
          </w:p>
        </w:tc>
      </w:tr>
      <w:tr w:rsidR="00DC48A1" w:rsidRPr="006E709F" w:rsidTr="00CF67DD">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bookmarkStart w:id="51" w:name="_Hlk86156619"/>
            <w:r w:rsidRPr="006E709F">
              <w:rPr>
                <w:b/>
                <w:sz w:val="16"/>
                <w:szCs w:val="16"/>
              </w:rPr>
              <w:t>Cash</w:t>
            </w:r>
          </w:p>
        </w:tc>
        <w:tc>
          <w:tcPr>
            <w:tcW w:w="3402" w:type="dxa"/>
            <w:gridSpan w:val="4"/>
            <w:tcBorders>
              <w:top w:val="single" w:sz="18" w:space="0" w:color="auto"/>
              <w:left w:val="single" w:sz="4" w:space="0" w:color="auto"/>
              <w:bottom w:val="single" w:sz="2"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p>
        </w:tc>
      </w:tr>
      <w:tr w:rsidR="00DC48A1" w:rsidRPr="006E709F" w:rsidTr="00CF67DD">
        <w:tc>
          <w:tcPr>
            <w:tcW w:w="2692"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Name of Institution</w:t>
            </w:r>
          </w:p>
        </w:tc>
        <w:tc>
          <w:tcPr>
            <w:tcW w:w="2695"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sz w:val="16"/>
                <w:szCs w:val="16"/>
              </w:rPr>
              <w:t>Currency</w:t>
            </w:r>
          </w:p>
        </w:tc>
        <w:tc>
          <w:tcPr>
            <w:tcW w:w="1771" w:type="dxa"/>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Value (AUD)</w:t>
            </w:r>
          </w:p>
        </w:tc>
        <w:tc>
          <w:tcPr>
            <w:tcW w:w="1631" w:type="dxa"/>
            <w:gridSpan w:val="3"/>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Weighting (%)</w:t>
            </w:r>
          </w:p>
        </w:tc>
      </w:tr>
      <w:tr w:rsidR="00DC48A1" w:rsidRPr="006E709F" w:rsidTr="00CF67DD">
        <w:tc>
          <w:tcPr>
            <w:tcW w:w="5387" w:type="dxa"/>
            <w:gridSpan w:val="3"/>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Cs/>
                <w:i/>
                <w:iCs/>
                <w:sz w:val="16"/>
                <w:szCs w:val="16"/>
              </w:rPr>
            </w:pPr>
            <w:r w:rsidRPr="006E709F">
              <w:rPr>
                <w:bCs/>
                <w:i/>
                <w:iCs/>
                <w:sz w:val="16"/>
                <w:szCs w:val="16"/>
              </w:rPr>
              <w:t>Individual asset names not required to be disclosed.</w:t>
            </w:r>
          </w:p>
          <w:p w:rsidR="00DC48A1" w:rsidRPr="006E709F" w:rsidRDefault="00DC48A1" w:rsidP="00CF67DD">
            <w:pPr>
              <w:rPr>
                <w:sz w:val="16"/>
                <w:szCs w:val="16"/>
              </w:rPr>
            </w:pPr>
            <w:r w:rsidRPr="006E709F">
              <w:rPr>
                <w:bCs/>
                <w:i/>
                <w:iCs/>
                <w:sz w:val="16"/>
                <w:szCs w:val="16"/>
              </w:rPr>
              <w:t>Only disclose the name of the relevant institution for the asset.</w:t>
            </w: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r w:rsidRPr="006E709F">
              <w:rPr>
                <w:i/>
                <w:iCs/>
                <w:sz w:val="16"/>
                <w:szCs w:val="16"/>
              </w:rPr>
              <w:t>Values and weighting for individual assets not disclosed. Only disclose total values and weighting for the asset aggregated by the institution.</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3402" w:type="dxa"/>
            <w:gridSpan w:val="4"/>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322"/>
        </w:trPr>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Fixed Income</w:t>
            </w:r>
          </w:p>
          <w:p w:rsidR="00DC48A1" w:rsidRPr="006E709F" w:rsidRDefault="00DC48A1" w:rsidP="00CF67DD">
            <w:pPr>
              <w:rPr>
                <w:b/>
                <w:sz w:val="16"/>
                <w:szCs w:val="16"/>
              </w:rPr>
            </w:pPr>
            <w:r w:rsidRPr="006E709F">
              <w:rPr>
                <w:b/>
                <w:sz w:val="16"/>
                <w:szCs w:val="16"/>
              </w:rPr>
              <w:t xml:space="preserve">Held directly or by associated entities or by </w:t>
            </w:r>
            <w:r w:rsidR="00D05323" w:rsidRPr="00D05323">
              <w:rPr>
                <w:b/>
                <w:sz w:val="16"/>
                <w:szCs w:val="16"/>
              </w:rPr>
              <w:t>pooled superannuation trusts</w:t>
            </w:r>
          </w:p>
          <w:p w:rsidR="00DC48A1" w:rsidRPr="006E709F" w:rsidRDefault="00DC48A1" w:rsidP="00CF67DD">
            <w:pPr>
              <w:rPr>
                <w:sz w:val="16"/>
                <w:szCs w:val="16"/>
              </w:rPr>
            </w:pPr>
            <w:r w:rsidRPr="006E709F">
              <w:rPr>
                <w:b/>
                <w:sz w:val="16"/>
                <w:szCs w:val="16"/>
              </w:rPr>
              <w:t>Internally managed</w:t>
            </w:r>
          </w:p>
        </w:tc>
        <w:tc>
          <w:tcPr>
            <w:tcW w:w="3402" w:type="dxa"/>
            <w:gridSpan w:val="4"/>
            <w:tcBorders>
              <w:top w:val="single" w:sz="18" w:space="0" w:color="auto"/>
              <w:left w:val="single" w:sz="4" w:space="0" w:color="auto"/>
              <w:bottom w:val="single" w:sz="12" w:space="0" w:color="auto"/>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5387"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Name of Issuer / Counterparty</w:t>
            </w:r>
          </w:p>
        </w:tc>
        <w:tc>
          <w:tcPr>
            <w:tcW w:w="1780" w:type="dxa"/>
            <w:gridSpan w:val="2"/>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5387" w:type="dxa"/>
            <w:gridSpan w:val="3"/>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Cs/>
                <w:i/>
                <w:iCs/>
                <w:sz w:val="16"/>
                <w:szCs w:val="16"/>
              </w:rPr>
            </w:pPr>
            <w:r w:rsidRPr="006E709F">
              <w:rPr>
                <w:bCs/>
                <w:i/>
                <w:iCs/>
                <w:sz w:val="16"/>
                <w:szCs w:val="16"/>
              </w:rPr>
              <w:t>Individual asset names not required to be disclosed.</w:t>
            </w:r>
          </w:p>
          <w:p w:rsidR="00DC48A1" w:rsidRPr="006E709F" w:rsidRDefault="00DC48A1" w:rsidP="00CF67DD">
            <w:pPr>
              <w:rPr>
                <w:sz w:val="16"/>
                <w:szCs w:val="16"/>
              </w:rPr>
            </w:pPr>
            <w:r w:rsidRPr="006E709F">
              <w:rPr>
                <w:bCs/>
                <w:i/>
                <w:iCs/>
                <w:sz w:val="16"/>
                <w:szCs w:val="16"/>
              </w:rPr>
              <w:t>Only disclose the name of the issuer / counterparty for the asset.</w:t>
            </w: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i/>
                <w:iCs/>
                <w:sz w:val="16"/>
                <w:szCs w:val="16"/>
              </w:rPr>
            </w:pPr>
            <w:r w:rsidRPr="006E709F">
              <w:rPr>
                <w:i/>
                <w:iCs/>
                <w:sz w:val="16"/>
                <w:szCs w:val="16"/>
              </w:rPr>
              <w:t>Values and weighting for individual assets not disclosed. Only disclose total values and weighting aggregated by the issuer or counterparty of the asset.</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3402" w:type="dxa"/>
            <w:gridSpan w:val="4"/>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322"/>
        </w:trPr>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Fixed Income</w:t>
            </w:r>
          </w:p>
          <w:p w:rsidR="00DC48A1" w:rsidRPr="006E709F" w:rsidRDefault="00DC48A1" w:rsidP="00CF67DD">
            <w:pPr>
              <w:tabs>
                <w:tab w:val="center" w:pos="1322"/>
              </w:tabs>
              <w:rPr>
                <w:b/>
                <w:sz w:val="16"/>
                <w:szCs w:val="16"/>
              </w:rPr>
            </w:pPr>
            <w:r w:rsidRPr="006E709F">
              <w:rPr>
                <w:b/>
                <w:sz w:val="16"/>
                <w:szCs w:val="16"/>
              </w:rPr>
              <w:t>Investment in non</w:t>
            </w:r>
            <w:r w:rsidR="000C4237">
              <w:rPr>
                <w:b/>
                <w:sz w:val="16"/>
                <w:szCs w:val="16"/>
              </w:rPr>
              <w:noBreakHyphen/>
            </w:r>
            <w:r w:rsidRPr="006E709F">
              <w:rPr>
                <w:b/>
                <w:sz w:val="16"/>
                <w:szCs w:val="16"/>
              </w:rPr>
              <w:t>associated entities;</w:t>
            </w:r>
          </w:p>
          <w:p w:rsidR="00DC48A1" w:rsidRPr="006E709F" w:rsidRDefault="00DC48A1" w:rsidP="00CF67DD">
            <w:pPr>
              <w:rPr>
                <w:b/>
                <w:sz w:val="16"/>
                <w:szCs w:val="16"/>
              </w:rPr>
            </w:pPr>
            <w:r w:rsidRPr="006E709F">
              <w:rPr>
                <w:b/>
                <w:sz w:val="16"/>
                <w:szCs w:val="16"/>
              </w:rPr>
              <w:t xml:space="preserve">Held directly or by associated entities or by </w:t>
            </w:r>
            <w:r w:rsidR="00D05323" w:rsidRPr="00D05323">
              <w:rPr>
                <w:b/>
                <w:sz w:val="16"/>
                <w:szCs w:val="16"/>
              </w:rPr>
              <w:t>pooled superannuation trusts</w:t>
            </w:r>
          </w:p>
          <w:p w:rsidR="00DC48A1" w:rsidRPr="006E709F" w:rsidRDefault="00DC48A1" w:rsidP="00CF67DD">
            <w:pPr>
              <w:rPr>
                <w:sz w:val="16"/>
                <w:szCs w:val="16"/>
              </w:rPr>
            </w:pPr>
            <w:r w:rsidRPr="006E709F">
              <w:rPr>
                <w:b/>
                <w:sz w:val="16"/>
                <w:szCs w:val="16"/>
              </w:rPr>
              <w:t>Externally managed</w:t>
            </w:r>
          </w:p>
        </w:tc>
        <w:tc>
          <w:tcPr>
            <w:tcW w:w="3402" w:type="dxa"/>
            <w:gridSpan w:val="4"/>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5387" w:type="dxa"/>
            <w:gridSpan w:val="3"/>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Name of Fund Manager</w:t>
            </w:r>
          </w:p>
        </w:tc>
        <w:tc>
          <w:tcPr>
            <w:tcW w:w="1780" w:type="dxa"/>
            <w:gridSpan w:val="2"/>
            <w:tcBorders>
              <w:top w:val="single" w:sz="8" w:space="0" w:color="auto"/>
              <w:left w:val="single" w:sz="4" w:space="0" w:color="auto"/>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5387" w:type="dxa"/>
            <w:gridSpan w:val="3"/>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Cs/>
                <w:i/>
                <w:iCs/>
                <w:sz w:val="16"/>
                <w:szCs w:val="16"/>
              </w:rPr>
            </w:pPr>
            <w:r w:rsidRPr="006E709F">
              <w:rPr>
                <w:bCs/>
                <w:i/>
                <w:iCs/>
                <w:sz w:val="16"/>
                <w:szCs w:val="16"/>
              </w:rPr>
              <w:t>Individual asset names not required to be disclosed.</w:t>
            </w:r>
          </w:p>
          <w:p w:rsidR="00DC48A1" w:rsidRPr="006E709F" w:rsidRDefault="00DC48A1" w:rsidP="00CF67DD">
            <w:pPr>
              <w:rPr>
                <w:sz w:val="16"/>
                <w:szCs w:val="16"/>
              </w:rPr>
            </w:pPr>
            <w:r w:rsidRPr="006E709F">
              <w:rPr>
                <w:bCs/>
                <w:i/>
                <w:iCs/>
                <w:sz w:val="16"/>
                <w:szCs w:val="16"/>
              </w:rPr>
              <w:t>Only disclose the name of the fund manager responsible for managing the asset.</w:t>
            </w: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r w:rsidRPr="006E709F">
              <w:rPr>
                <w:i/>
                <w:iCs/>
                <w:sz w:val="16"/>
                <w:szCs w:val="16"/>
              </w:rPr>
              <w:t>Values and weightings for individual assets not disclosed. Only disclose total values and weighting aggregated by the fund manager responsible for managing the asset.</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3402" w:type="dxa"/>
            <w:gridSpan w:val="4"/>
            <w:tcBorders>
              <w:top w:val="single" w:sz="12" w:space="0" w:color="auto"/>
              <w:left w:val="single" w:sz="4" w:space="0" w:color="auto"/>
              <w:bottom w:val="single" w:sz="18" w:space="0" w:color="auto"/>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208"/>
        </w:trPr>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hideMark/>
          </w:tcPr>
          <w:p w:rsidR="00DC48A1" w:rsidRPr="006E709F" w:rsidRDefault="00DC48A1" w:rsidP="00CF67DD">
            <w:pPr>
              <w:rPr>
                <w:sz w:val="16"/>
                <w:szCs w:val="16"/>
              </w:rPr>
            </w:pPr>
            <w:r w:rsidRPr="006E709F">
              <w:rPr>
                <w:b/>
                <w:sz w:val="16"/>
                <w:szCs w:val="16"/>
              </w:rPr>
              <w:t>Listed Equity</w:t>
            </w:r>
          </w:p>
        </w:tc>
        <w:tc>
          <w:tcPr>
            <w:tcW w:w="3402" w:type="dxa"/>
            <w:gridSpan w:val="4"/>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2692"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Name/kind of investment item</w:t>
            </w:r>
          </w:p>
        </w:tc>
        <w:tc>
          <w:tcPr>
            <w:tcW w:w="1419"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Security Identifier</w:t>
            </w:r>
          </w:p>
        </w:tc>
        <w:tc>
          <w:tcPr>
            <w:tcW w:w="1276"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Units held</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2692"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419" w:type="dxa"/>
            <w:tcBorders>
              <w:top w:val="single" w:sz="4" w:space="0" w:color="auto"/>
              <w:left w:val="nil"/>
              <w:bottom w:val="single" w:sz="12" w:space="0" w:color="auto"/>
              <w:right w:val="nil"/>
            </w:tcBorders>
            <w:shd w:val="clear" w:color="auto" w:fill="auto"/>
          </w:tcPr>
          <w:p w:rsidR="00DC48A1" w:rsidRPr="006E709F" w:rsidRDefault="00DC48A1" w:rsidP="00CF67DD">
            <w:pPr>
              <w:rPr>
                <w:sz w:val="16"/>
                <w:szCs w:val="16"/>
              </w:rPr>
            </w:pPr>
          </w:p>
        </w:tc>
        <w:tc>
          <w:tcPr>
            <w:tcW w:w="1276" w:type="dxa"/>
            <w:tcBorders>
              <w:top w:val="single" w:sz="4" w:space="0" w:color="auto"/>
              <w:left w:val="nil"/>
              <w:bottom w:val="single" w:sz="12" w:space="0" w:color="auto"/>
              <w:right w:val="nil"/>
            </w:tcBorders>
            <w:shd w:val="clear" w:color="auto" w:fill="auto"/>
          </w:tcPr>
          <w:p w:rsidR="00DC48A1" w:rsidRPr="006E709F" w:rsidRDefault="00DC48A1" w:rsidP="00CF67DD">
            <w:pPr>
              <w:rPr>
                <w:sz w:val="16"/>
                <w:szCs w:val="16"/>
              </w:rPr>
            </w:pPr>
          </w:p>
        </w:tc>
        <w:tc>
          <w:tcPr>
            <w:tcW w:w="1791" w:type="dxa"/>
            <w:gridSpan w:val="3"/>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11"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1780" w:type="dxa"/>
            <w:gridSpan w:val="2"/>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22" w:type="dxa"/>
            <w:gridSpan w:val="2"/>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222"/>
        </w:trPr>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tabs>
                <w:tab w:val="center" w:pos="1322"/>
              </w:tabs>
              <w:rPr>
                <w:b/>
                <w:sz w:val="16"/>
                <w:szCs w:val="16"/>
              </w:rPr>
            </w:pPr>
            <w:r w:rsidRPr="006E709F">
              <w:rPr>
                <w:b/>
                <w:sz w:val="16"/>
                <w:szCs w:val="16"/>
              </w:rPr>
              <w:t>Unlisted Equity</w:t>
            </w:r>
          </w:p>
          <w:p w:rsidR="00DC48A1" w:rsidRPr="006E709F" w:rsidRDefault="00DC48A1" w:rsidP="00CF67DD">
            <w:pPr>
              <w:rPr>
                <w:b/>
                <w:sz w:val="16"/>
                <w:szCs w:val="16"/>
              </w:rPr>
            </w:pPr>
            <w:r w:rsidRPr="006E709F">
              <w:rPr>
                <w:b/>
                <w:sz w:val="16"/>
                <w:szCs w:val="16"/>
              </w:rPr>
              <w:t xml:space="preserve">Held directly or by associated entities or by </w:t>
            </w:r>
            <w:r w:rsidR="00D05323" w:rsidRPr="00D05323">
              <w:rPr>
                <w:b/>
                <w:sz w:val="16"/>
                <w:szCs w:val="16"/>
              </w:rPr>
              <w:t>pooled superannuation trusts</w:t>
            </w:r>
          </w:p>
          <w:p w:rsidR="00DC48A1" w:rsidRPr="006E709F" w:rsidRDefault="00DC48A1" w:rsidP="00CF67DD">
            <w:pPr>
              <w:rPr>
                <w:b/>
                <w:sz w:val="16"/>
                <w:szCs w:val="16"/>
              </w:rPr>
            </w:pPr>
            <w:r w:rsidRPr="006E709F">
              <w:rPr>
                <w:b/>
                <w:sz w:val="16"/>
                <w:szCs w:val="16"/>
              </w:rPr>
              <w:t>Internally managed</w:t>
            </w:r>
          </w:p>
        </w:tc>
        <w:tc>
          <w:tcPr>
            <w:tcW w:w="1771" w:type="dxa"/>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c>
          <w:tcPr>
            <w:tcW w:w="2692" w:type="dxa"/>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r w:rsidRPr="006E709F">
              <w:rPr>
                <w:b/>
                <w:bCs/>
                <w:sz w:val="16"/>
                <w:szCs w:val="16"/>
              </w:rPr>
              <w:t>Name/kind of investment item</w:t>
            </w:r>
          </w:p>
        </w:tc>
        <w:tc>
          <w:tcPr>
            <w:tcW w:w="2695"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 Ownership</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2692"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Cs/>
                <w:i/>
                <w:iCs/>
                <w:sz w:val="16"/>
                <w:szCs w:val="16"/>
              </w:rPr>
            </w:pPr>
          </w:p>
        </w:tc>
        <w:tc>
          <w:tcPr>
            <w:tcW w:w="2695" w:type="dxa"/>
            <w:gridSpan w:val="2"/>
            <w:tcBorders>
              <w:top w:val="single" w:sz="4" w:space="0" w:color="auto"/>
              <w:left w:val="nil"/>
              <w:bottom w:val="single" w:sz="12" w:space="0" w:color="auto"/>
              <w:right w:val="nil"/>
            </w:tcBorders>
            <w:shd w:val="clear" w:color="auto" w:fill="auto"/>
          </w:tcPr>
          <w:p w:rsidR="00DC48A1" w:rsidRPr="006E709F" w:rsidRDefault="00DC48A1" w:rsidP="00CF67DD">
            <w:pPr>
              <w:rPr>
                <w:bCs/>
                <w:i/>
                <w:iCs/>
                <w:sz w:val="16"/>
                <w:szCs w:val="16"/>
              </w:rPr>
            </w:pP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r w:rsidRPr="006E709F">
              <w:rPr>
                <w:i/>
                <w:iCs/>
                <w:sz w:val="16"/>
                <w:szCs w:val="16"/>
              </w:rPr>
              <w:t>Values and weighting for individual assets not disclosed. Only disclose total value and weighting.</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1771" w:type="dxa"/>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208"/>
        </w:trPr>
        <w:tc>
          <w:tcPr>
            <w:tcW w:w="5387" w:type="dxa"/>
            <w:gridSpan w:val="3"/>
            <w:tcBorders>
              <w:top w:val="single" w:sz="18"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tabs>
                <w:tab w:val="center" w:pos="1322"/>
              </w:tabs>
              <w:rPr>
                <w:b/>
                <w:sz w:val="16"/>
                <w:szCs w:val="16"/>
              </w:rPr>
            </w:pPr>
            <w:r w:rsidRPr="006E709F">
              <w:rPr>
                <w:b/>
                <w:sz w:val="16"/>
                <w:szCs w:val="16"/>
              </w:rPr>
              <w:t>Unlisted Equity</w:t>
            </w:r>
          </w:p>
          <w:p w:rsidR="00DC48A1" w:rsidRPr="006E709F" w:rsidRDefault="00DC48A1" w:rsidP="00CF67DD">
            <w:pPr>
              <w:tabs>
                <w:tab w:val="center" w:pos="1322"/>
              </w:tabs>
              <w:rPr>
                <w:b/>
                <w:sz w:val="16"/>
                <w:szCs w:val="16"/>
              </w:rPr>
            </w:pPr>
            <w:r w:rsidRPr="006E709F">
              <w:rPr>
                <w:b/>
                <w:sz w:val="16"/>
                <w:szCs w:val="16"/>
              </w:rPr>
              <w:t>Investment in non</w:t>
            </w:r>
            <w:r w:rsidR="000C4237">
              <w:rPr>
                <w:b/>
                <w:sz w:val="16"/>
                <w:szCs w:val="16"/>
              </w:rPr>
              <w:noBreakHyphen/>
            </w:r>
            <w:r w:rsidRPr="006E709F">
              <w:rPr>
                <w:b/>
                <w:sz w:val="16"/>
                <w:szCs w:val="16"/>
              </w:rPr>
              <w:t>associated entities;</w:t>
            </w:r>
          </w:p>
          <w:p w:rsidR="00DC48A1" w:rsidRPr="006E709F" w:rsidRDefault="00DC48A1" w:rsidP="00CF67DD">
            <w:pPr>
              <w:tabs>
                <w:tab w:val="center" w:pos="1322"/>
              </w:tabs>
              <w:rPr>
                <w:b/>
                <w:sz w:val="16"/>
                <w:szCs w:val="16"/>
              </w:rPr>
            </w:pPr>
            <w:r w:rsidRPr="006E709F">
              <w:rPr>
                <w:b/>
                <w:sz w:val="16"/>
                <w:szCs w:val="16"/>
              </w:rPr>
              <w:t xml:space="preserve">Held directly or by associated entities or by </w:t>
            </w:r>
            <w:r w:rsidR="00D05323" w:rsidRPr="00D05323">
              <w:rPr>
                <w:b/>
                <w:sz w:val="16"/>
                <w:szCs w:val="16"/>
              </w:rPr>
              <w:t>pooled superannuation trusts</w:t>
            </w:r>
          </w:p>
          <w:p w:rsidR="00DC48A1" w:rsidRPr="006E709F" w:rsidRDefault="00DC48A1" w:rsidP="00CF67DD">
            <w:pPr>
              <w:rPr>
                <w:sz w:val="16"/>
                <w:szCs w:val="16"/>
              </w:rPr>
            </w:pPr>
            <w:r w:rsidRPr="006E709F">
              <w:rPr>
                <w:b/>
                <w:sz w:val="16"/>
                <w:szCs w:val="16"/>
              </w:rPr>
              <w:t>Externally managed</w:t>
            </w:r>
          </w:p>
        </w:tc>
        <w:tc>
          <w:tcPr>
            <w:tcW w:w="1771" w:type="dxa"/>
            <w:tcBorders>
              <w:top w:val="single" w:sz="18" w:space="0" w:color="auto"/>
              <w:left w:val="single" w:sz="4" w:space="0" w:color="auto"/>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31" w:type="dxa"/>
            <w:gridSpan w:val="3"/>
            <w:tcBorders>
              <w:top w:val="single" w:sz="18"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5387" w:type="dxa"/>
            <w:gridSpan w:val="3"/>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Name of Fund Manager</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Weighting (%)</w:t>
            </w:r>
          </w:p>
        </w:tc>
      </w:tr>
      <w:tr w:rsidR="00DC48A1" w:rsidRPr="006E709F" w:rsidTr="00CF67DD">
        <w:trPr>
          <w:trHeight w:val="208"/>
        </w:trPr>
        <w:tc>
          <w:tcPr>
            <w:tcW w:w="5387"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tabs>
                <w:tab w:val="center" w:pos="1322"/>
              </w:tabs>
              <w:rPr>
                <w:bCs/>
                <w:i/>
                <w:iCs/>
                <w:sz w:val="16"/>
                <w:szCs w:val="16"/>
              </w:rPr>
            </w:pPr>
            <w:bookmarkStart w:id="52" w:name="_Hlk86393580"/>
            <w:r w:rsidRPr="006E709F">
              <w:rPr>
                <w:bCs/>
                <w:i/>
                <w:iCs/>
                <w:sz w:val="16"/>
                <w:szCs w:val="16"/>
              </w:rPr>
              <w:t>Individual asset names not required to be disclosed.</w:t>
            </w:r>
          </w:p>
          <w:p w:rsidR="00DC48A1" w:rsidRPr="006E709F" w:rsidRDefault="00DC48A1" w:rsidP="00CF67DD">
            <w:pPr>
              <w:rPr>
                <w:sz w:val="16"/>
                <w:szCs w:val="16"/>
              </w:rPr>
            </w:pPr>
            <w:r w:rsidRPr="006E709F">
              <w:rPr>
                <w:bCs/>
                <w:i/>
                <w:iCs/>
                <w:sz w:val="16"/>
                <w:szCs w:val="16"/>
              </w:rPr>
              <w:t>Only disclose the name of the fund manager responsible for managing the asset.</w:t>
            </w:r>
          </w:p>
        </w:tc>
        <w:tc>
          <w:tcPr>
            <w:tcW w:w="3402" w:type="dxa"/>
            <w:gridSpan w:val="4"/>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r w:rsidRPr="006E709F">
              <w:rPr>
                <w:i/>
                <w:iCs/>
                <w:sz w:val="16"/>
                <w:szCs w:val="16"/>
              </w:rPr>
              <w:t>Values and weightings for individual assets not disclosed. Only disclose total values and weighting aggregated by the fund manager responsible for managing the assets.</w:t>
            </w:r>
          </w:p>
        </w:tc>
      </w:tr>
      <w:bookmarkEnd w:id="52"/>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1771" w:type="dxa"/>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tabs>
                <w:tab w:val="center" w:pos="1322"/>
              </w:tabs>
              <w:rPr>
                <w:b/>
                <w:sz w:val="16"/>
                <w:szCs w:val="16"/>
              </w:rPr>
            </w:pPr>
            <w:r w:rsidRPr="006E709F">
              <w:rPr>
                <w:b/>
                <w:sz w:val="16"/>
                <w:szCs w:val="16"/>
              </w:rPr>
              <w:t>Listed Property</w:t>
            </w:r>
          </w:p>
        </w:tc>
        <w:tc>
          <w:tcPr>
            <w:tcW w:w="1771" w:type="dxa"/>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tabs>
                <w:tab w:val="center" w:pos="1322"/>
              </w:tabs>
              <w:rPr>
                <w:b/>
                <w:sz w:val="16"/>
                <w:szCs w:val="16"/>
              </w:rPr>
            </w:pPr>
          </w:p>
        </w:tc>
        <w:tc>
          <w:tcPr>
            <w:tcW w:w="1631" w:type="dxa"/>
            <w:gridSpan w:val="3"/>
            <w:tcBorders>
              <w:top w:val="single" w:sz="12"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tabs>
                <w:tab w:val="center" w:pos="1322"/>
              </w:tabs>
              <w:rPr>
                <w:b/>
                <w:sz w:val="16"/>
                <w:szCs w:val="16"/>
              </w:rPr>
            </w:pPr>
          </w:p>
        </w:tc>
      </w:tr>
      <w:tr w:rsidR="00DC48A1" w:rsidRPr="006E709F" w:rsidTr="00CF67DD">
        <w:tc>
          <w:tcPr>
            <w:tcW w:w="2692" w:type="dxa"/>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r w:rsidRPr="006E709F">
              <w:rPr>
                <w:b/>
                <w:bCs/>
                <w:sz w:val="16"/>
                <w:szCs w:val="16"/>
              </w:rPr>
              <w:t>Name/kind of investment item</w:t>
            </w:r>
          </w:p>
        </w:tc>
        <w:tc>
          <w:tcPr>
            <w:tcW w:w="1419" w:type="dxa"/>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r w:rsidRPr="006E709F">
              <w:rPr>
                <w:b/>
                <w:bCs/>
                <w:sz w:val="16"/>
                <w:szCs w:val="16"/>
              </w:rPr>
              <w:t>Security Identifier</w:t>
            </w:r>
          </w:p>
        </w:tc>
        <w:tc>
          <w:tcPr>
            <w:tcW w:w="1276" w:type="dxa"/>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Units held</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2692"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419" w:type="dxa"/>
            <w:tcBorders>
              <w:top w:val="single" w:sz="4" w:space="0" w:color="auto"/>
              <w:left w:val="nil"/>
              <w:bottom w:val="single" w:sz="12" w:space="0" w:color="auto"/>
              <w:right w:val="nil"/>
            </w:tcBorders>
            <w:shd w:val="clear" w:color="auto" w:fill="auto"/>
          </w:tcPr>
          <w:p w:rsidR="00DC48A1" w:rsidRPr="006E709F" w:rsidRDefault="00DC48A1" w:rsidP="00CF67DD">
            <w:pPr>
              <w:rPr>
                <w:sz w:val="16"/>
                <w:szCs w:val="16"/>
              </w:rPr>
            </w:pPr>
          </w:p>
        </w:tc>
        <w:tc>
          <w:tcPr>
            <w:tcW w:w="1276" w:type="dxa"/>
            <w:tcBorders>
              <w:top w:val="single" w:sz="4" w:space="0" w:color="auto"/>
              <w:left w:val="nil"/>
              <w:bottom w:val="single" w:sz="12" w:space="0" w:color="auto"/>
              <w:right w:val="nil"/>
            </w:tcBorders>
            <w:shd w:val="clear" w:color="auto" w:fill="auto"/>
          </w:tcPr>
          <w:p w:rsidR="00DC48A1" w:rsidRPr="006E709F" w:rsidRDefault="00DC48A1" w:rsidP="00CF67DD">
            <w:pPr>
              <w:rPr>
                <w:sz w:val="16"/>
                <w:szCs w:val="16"/>
              </w:rPr>
            </w:pPr>
          </w:p>
        </w:tc>
        <w:tc>
          <w:tcPr>
            <w:tcW w:w="1791" w:type="dxa"/>
            <w:gridSpan w:val="3"/>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11"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2692" w:type="dxa"/>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Total</w:t>
            </w:r>
          </w:p>
        </w:tc>
        <w:tc>
          <w:tcPr>
            <w:tcW w:w="1419" w:type="dxa"/>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p>
        </w:tc>
        <w:tc>
          <w:tcPr>
            <w:tcW w:w="1276" w:type="dxa"/>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780" w:type="dxa"/>
            <w:gridSpan w:val="2"/>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22" w:type="dxa"/>
            <w:gridSpan w:val="2"/>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208"/>
        </w:trPr>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hideMark/>
          </w:tcPr>
          <w:p w:rsidR="00DC48A1" w:rsidRPr="006E709F" w:rsidRDefault="00DC48A1" w:rsidP="00CF67DD">
            <w:pPr>
              <w:tabs>
                <w:tab w:val="center" w:pos="1322"/>
              </w:tabs>
              <w:rPr>
                <w:b/>
                <w:sz w:val="16"/>
                <w:szCs w:val="16"/>
              </w:rPr>
            </w:pPr>
            <w:r w:rsidRPr="006E709F">
              <w:rPr>
                <w:b/>
                <w:sz w:val="16"/>
                <w:szCs w:val="16"/>
              </w:rPr>
              <w:t>Unlisted Property</w:t>
            </w:r>
          </w:p>
          <w:p w:rsidR="00DC48A1" w:rsidRPr="006E709F" w:rsidRDefault="00DC48A1" w:rsidP="00CF67DD">
            <w:pPr>
              <w:rPr>
                <w:b/>
                <w:sz w:val="16"/>
                <w:szCs w:val="16"/>
              </w:rPr>
            </w:pPr>
            <w:r w:rsidRPr="006E709F">
              <w:rPr>
                <w:b/>
                <w:sz w:val="16"/>
                <w:szCs w:val="16"/>
              </w:rPr>
              <w:t xml:space="preserve">Held directly or by associated entities or by </w:t>
            </w:r>
            <w:r w:rsidR="00D05323" w:rsidRPr="00D05323">
              <w:rPr>
                <w:b/>
                <w:sz w:val="16"/>
                <w:szCs w:val="16"/>
              </w:rPr>
              <w:t>pooled superannuation trusts</w:t>
            </w:r>
          </w:p>
          <w:p w:rsidR="00DC48A1" w:rsidRPr="006E709F" w:rsidRDefault="00DC48A1" w:rsidP="00CF67DD">
            <w:pPr>
              <w:rPr>
                <w:sz w:val="16"/>
                <w:szCs w:val="16"/>
              </w:rPr>
            </w:pPr>
            <w:r w:rsidRPr="006E709F">
              <w:rPr>
                <w:b/>
                <w:sz w:val="16"/>
                <w:szCs w:val="16"/>
              </w:rPr>
              <w:t>Internally managed</w:t>
            </w:r>
          </w:p>
        </w:tc>
        <w:tc>
          <w:tcPr>
            <w:tcW w:w="1771" w:type="dxa"/>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31"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2692"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Name/kind of investment item</w:t>
            </w:r>
          </w:p>
        </w:tc>
        <w:tc>
          <w:tcPr>
            <w:tcW w:w="1419"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Address</w:t>
            </w:r>
          </w:p>
        </w:tc>
        <w:tc>
          <w:tcPr>
            <w:tcW w:w="1276"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 of property held</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2692"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Del="009662CB" w:rsidRDefault="00DC48A1" w:rsidP="00CF67DD">
            <w:pPr>
              <w:rPr>
                <w:bCs/>
                <w:i/>
                <w:iCs/>
                <w:sz w:val="16"/>
                <w:szCs w:val="16"/>
              </w:rPr>
            </w:pPr>
          </w:p>
        </w:tc>
        <w:tc>
          <w:tcPr>
            <w:tcW w:w="1419" w:type="dxa"/>
            <w:tcBorders>
              <w:top w:val="single" w:sz="4" w:space="0" w:color="auto"/>
              <w:left w:val="nil"/>
              <w:bottom w:val="single" w:sz="12" w:space="0" w:color="auto"/>
              <w:right w:val="nil"/>
            </w:tcBorders>
            <w:shd w:val="clear" w:color="auto" w:fill="auto"/>
          </w:tcPr>
          <w:p w:rsidR="00DC48A1" w:rsidRPr="006E709F" w:rsidRDefault="00DC48A1" w:rsidP="00CF67DD">
            <w:pPr>
              <w:rPr>
                <w:bCs/>
                <w:i/>
                <w:sz w:val="16"/>
                <w:szCs w:val="16"/>
              </w:rPr>
            </w:pPr>
          </w:p>
        </w:tc>
        <w:tc>
          <w:tcPr>
            <w:tcW w:w="1276" w:type="dxa"/>
            <w:tcBorders>
              <w:top w:val="single" w:sz="4" w:space="0" w:color="auto"/>
              <w:left w:val="nil"/>
              <w:bottom w:val="single" w:sz="12" w:space="0" w:color="auto"/>
              <w:right w:val="nil"/>
            </w:tcBorders>
            <w:shd w:val="clear" w:color="auto" w:fill="auto"/>
          </w:tcPr>
          <w:p w:rsidR="00DC48A1" w:rsidRPr="006E709F" w:rsidRDefault="00DC48A1" w:rsidP="00CF67DD">
            <w:pPr>
              <w:rPr>
                <w:bCs/>
                <w:i/>
                <w:sz w:val="16"/>
                <w:szCs w:val="16"/>
              </w:rPr>
            </w:pP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i/>
                <w:iCs/>
                <w:sz w:val="16"/>
                <w:szCs w:val="16"/>
              </w:rPr>
            </w:pPr>
            <w:r w:rsidRPr="006E709F">
              <w:rPr>
                <w:i/>
                <w:iCs/>
                <w:sz w:val="16"/>
                <w:szCs w:val="16"/>
              </w:rPr>
              <w:t>Values and weighting for individual assets not disclosed. Only disclose total value and weighting.</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1771" w:type="dxa"/>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tabs>
                <w:tab w:val="center" w:pos="1322"/>
              </w:tabs>
              <w:rPr>
                <w:b/>
                <w:sz w:val="16"/>
                <w:szCs w:val="16"/>
              </w:rPr>
            </w:pPr>
            <w:r w:rsidRPr="006E709F">
              <w:rPr>
                <w:b/>
                <w:sz w:val="16"/>
                <w:szCs w:val="16"/>
              </w:rPr>
              <w:t>Unlisted Property</w:t>
            </w:r>
          </w:p>
          <w:p w:rsidR="00DC48A1" w:rsidRPr="006E709F" w:rsidRDefault="00DC48A1" w:rsidP="00CF67DD">
            <w:pPr>
              <w:tabs>
                <w:tab w:val="center" w:pos="1322"/>
              </w:tabs>
              <w:rPr>
                <w:b/>
                <w:sz w:val="16"/>
                <w:szCs w:val="16"/>
              </w:rPr>
            </w:pPr>
            <w:r w:rsidRPr="006E709F">
              <w:rPr>
                <w:b/>
                <w:sz w:val="16"/>
                <w:szCs w:val="16"/>
              </w:rPr>
              <w:t>Investment in non</w:t>
            </w:r>
            <w:r w:rsidR="000C4237">
              <w:rPr>
                <w:b/>
                <w:sz w:val="16"/>
                <w:szCs w:val="16"/>
              </w:rPr>
              <w:noBreakHyphen/>
            </w:r>
            <w:r w:rsidRPr="006E709F">
              <w:rPr>
                <w:b/>
                <w:sz w:val="16"/>
                <w:szCs w:val="16"/>
              </w:rPr>
              <w:t>associated entities;</w:t>
            </w:r>
          </w:p>
          <w:p w:rsidR="00DC48A1" w:rsidRPr="006E709F" w:rsidRDefault="00DC48A1" w:rsidP="00CF67DD">
            <w:pPr>
              <w:rPr>
                <w:b/>
                <w:sz w:val="16"/>
                <w:szCs w:val="16"/>
              </w:rPr>
            </w:pPr>
            <w:r w:rsidRPr="006E709F">
              <w:rPr>
                <w:b/>
                <w:sz w:val="16"/>
                <w:szCs w:val="16"/>
              </w:rPr>
              <w:t xml:space="preserve">Held directly or by associated entities or by </w:t>
            </w:r>
            <w:r w:rsidR="00D05323" w:rsidRPr="00D05323">
              <w:rPr>
                <w:b/>
                <w:sz w:val="16"/>
                <w:szCs w:val="16"/>
              </w:rPr>
              <w:t>pooled superannuation trusts</w:t>
            </w:r>
          </w:p>
          <w:p w:rsidR="00DC48A1" w:rsidRPr="006E709F" w:rsidRDefault="00DC48A1" w:rsidP="00CF67DD">
            <w:pPr>
              <w:rPr>
                <w:b/>
                <w:sz w:val="16"/>
                <w:szCs w:val="16"/>
              </w:rPr>
            </w:pPr>
            <w:r w:rsidRPr="006E709F">
              <w:rPr>
                <w:b/>
                <w:sz w:val="16"/>
                <w:szCs w:val="16"/>
              </w:rPr>
              <w:t>Externally managed</w:t>
            </w:r>
          </w:p>
        </w:tc>
        <w:tc>
          <w:tcPr>
            <w:tcW w:w="1771" w:type="dxa"/>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2"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c>
          <w:tcPr>
            <w:tcW w:w="5387" w:type="dxa"/>
            <w:gridSpan w:val="3"/>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Name of Fund Manager</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Weighting (%)</w:t>
            </w:r>
          </w:p>
        </w:tc>
      </w:tr>
      <w:tr w:rsidR="00DC48A1" w:rsidRPr="006E709F" w:rsidTr="00CF67DD">
        <w:trPr>
          <w:trHeight w:val="208"/>
        </w:trPr>
        <w:tc>
          <w:tcPr>
            <w:tcW w:w="5387" w:type="dxa"/>
            <w:gridSpan w:val="3"/>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DC48A1" w:rsidRPr="006E709F" w:rsidRDefault="00DC48A1" w:rsidP="00CF67DD">
            <w:pPr>
              <w:tabs>
                <w:tab w:val="center" w:pos="1322"/>
              </w:tabs>
              <w:rPr>
                <w:bCs/>
                <w:i/>
                <w:iCs/>
                <w:sz w:val="16"/>
                <w:szCs w:val="16"/>
              </w:rPr>
            </w:pPr>
            <w:r w:rsidRPr="006E709F">
              <w:rPr>
                <w:bCs/>
                <w:i/>
                <w:iCs/>
                <w:sz w:val="16"/>
                <w:szCs w:val="16"/>
              </w:rPr>
              <w:t>Individual asset names not required to be disclosed.</w:t>
            </w:r>
          </w:p>
          <w:p w:rsidR="00DC48A1" w:rsidRPr="006E709F" w:rsidRDefault="00DC48A1" w:rsidP="00CF67DD">
            <w:pPr>
              <w:rPr>
                <w:sz w:val="16"/>
                <w:szCs w:val="16"/>
              </w:rPr>
            </w:pPr>
            <w:r w:rsidRPr="006E709F">
              <w:rPr>
                <w:bCs/>
                <w:i/>
                <w:iCs/>
                <w:sz w:val="16"/>
                <w:szCs w:val="16"/>
              </w:rPr>
              <w:t>Only disclose the name of the fund manager responsible for managing the asset.</w:t>
            </w: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r w:rsidRPr="006E709F">
              <w:rPr>
                <w:i/>
                <w:iCs/>
                <w:sz w:val="16"/>
                <w:szCs w:val="16"/>
              </w:rPr>
              <w:t>Values and weightings for individual assets not disclosed. Only disclose total values and weighting aggregated by the fund manager responsible for managing the assets.</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1771" w:type="dxa"/>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208"/>
        </w:trPr>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hideMark/>
          </w:tcPr>
          <w:p w:rsidR="00DC48A1" w:rsidRPr="006E709F" w:rsidRDefault="00DC48A1" w:rsidP="00CF67DD">
            <w:pPr>
              <w:rPr>
                <w:sz w:val="16"/>
                <w:szCs w:val="16"/>
              </w:rPr>
            </w:pPr>
            <w:r w:rsidRPr="006E709F">
              <w:rPr>
                <w:b/>
                <w:sz w:val="16"/>
                <w:szCs w:val="16"/>
              </w:rPr>
              <w:t>Listed Infrastructure</w:t>
            </w:r>
          </w:p>
        </w:tc>
        <w:tc>
          <w:tcPr>
            <w:tcW w:w="1771" w:type="dxa"/>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31"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2692"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Name/kind of investment item</w:t>
            </w:r>
          </w:p>
        </w:tc>
        <w:tc>
          <w:tcPr>
            <w:tcW w:w="1419" w:type="dxa"/>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r w:rsidRPr="006E709F">
              <w:rPr>
                <w:b/>
                <w:bCs/>
                <w:sz w:val="16"/>
                <w:szCs w:val="16"/>
              </w:rPr>
              <w:t>Security Identifier</w:t>
            </w:r>
          </w:p>
        </w:tc>
        <w:tc>
          <w:tcPr>
            <w:tcW w:w="1276" w:type="dxa"/>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Units held</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2692"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Cs/>
                <w:sz w:val="16"/>
                <w:szCs w:val="16"/>
              </w:rPr>
            </w:pPr>
          </w:p>
        </w:tc>
        <w:tc>
          <w:tcPr>
            <w:tcW w:w="1419"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p>
        </w:tc>
        <w:tc>
          <w:tcPr>
            <w:tcW w:w="1276" w:type="dxa"/>
            <w:tcBorders>
              <w:top w:val="single" w:sz="4" w:space="0" w:color="auto"/>
              <w:left w:val="nil"/>
              <w:bottom w:val="single" w:sz="12" w:space="0" w:color="auto"/>
              <w:right w:val="nil"/>
            </w:tcBorders>
            <w:shd w:val="clear" w:color="auto" w:fill="auto"/>
          </w:tcPr>
          <w:p w:rsidR="00DC48A1" w:rsidRPr="006E709F" w:rsidRDefault="00DC48A1" w:rsidP="00CF67DD">
            <w:pPr>
              <w:rPr>
                <w:bCs/>
                <w:sz w:val="16"/>
                <w:szCs w:val="16"/>
              </w:rPr>
            </w:pPr>
          </w:p>
        </w:tc>
        <w:tc>
          <w:tcPr>
            <w:tcW w:w="1780" w:type="dxa"/>
            <w:gridSpan w:val="2"/>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22" w:type="dxa"/>
            <w:gridSpan w:val="2"/>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2692" w:type="dxa"/>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Total</w:t>
            </w:r>
          </w:p>
        </w:tc>
        <w:tc>
          <w:tcPr>
            <w:tcW w:w="1419" w:type="dxa"/>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p>
        </w:tc>
        <w:tc>
          <w:tcPr>
            <w:tcW w:w="1276" w:type="dxa"/>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780" w:type="dxa"/>
            <w:gridSpan w:val="2"/>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22" w:type="dxa"/>
            <w:gridSpan w:val="2"/>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208"/>
        </w:trPr>
        <w:tc>
          <w:tcPr>
            <w:tcW w:w="5387" w:type="dxa"/>
            <w:gridSpan w:val="3"/>
            <w:tcBorders>
              <w:top w:val="single" w:sz="18"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tabs>
                <w:tab w:val="center" w:pos="1322"/>
              </w:tabs>
              <w:rPr>
                <w:b/>
                <w:sz w:val="16"/>
                <w:szCs w:val="16"/>
              </w:rPr>
            </w:pPr>
            <w:r w:rsidRPr="006E709F">
              <w:rPr>
                <w:b/>
                <w:sz w:val="16"/>
                <w:szCs w:val="16"/>
              </w:rPr>
              <w:t>Unlisted Infrastructure</w:t>
            </w:r>
          </w:p>
          <w:p w:rsidR="00DC48A1" w:rsidRPr="006E709F" w:rsidRDefault="00DC48A1" w:rsidP="00CF67DD">
            <w:pPr>
              <w:tabs>
                <w:tab w:val="center" w:pos="1322"/>
              </w:tabs>
              <w:rPr>
                <w:b/>
                <w:sz w:val="16"/>
                <w:szCs w:val="16"/>
              </w:rPr>
            </w:pPr>
            <w:r w:rsidRPr="006E709F">
              <w:rPr>
                <w:b/>
                <w:sz w:val="16"/>
                <w:szCs w:val="16"/>
              </w:rPr>
              <w:t xml:space="preserve">Held directly or by associated entities or by </w:t>
            </w:r>
            <w:r w:rsidR="00D05323" w:rsidRPr="00D05323">
              <w:rPr>
                <w:b/>
                <w:sz w:val="16"/>
                <w:szCs w:val="16"/>
              </w:rPr>
              <w:t>pooled superannuation trusts</w:t>
            </w:r>
          </w:p>
          <w:p w:rsidR="00DC48A1" w:rsidRPr="006E709F" w:rsidRDefault="00DC48A1" w:rsidP="00CF67DD">
            <w:pPr>
              <w:rPr>
                <w:sz w:val="16"/>
                <w:szCs w:val="16"/>
              </w:rPr>
            </w:pPr>
            <w:r w:rsidRPr="006E709F">
              <w:rPr>
                <w:b/>
                <w:sz w:val="16"/>
                <w:szCs w:val="16"/>
              </w:rPr>
              <w:t>Internally managed</w:t>
            </w:r>
          </w:p>
        </w:tc>
        <w:tc>
          <w:tcPr>
            <w:tcW w:w="1771" w:type="dxa"/>
            <w:tcBorders>
              <w:top w:val="single" w:sz="18" w:space="0" w:color="auto"/>
              <w:left w:val="single" w:sz="4" w:space="0" w:color="auto"/>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31" w:type="dxa"/>
            <w:gridSpan w:val="3"/>
            <w:tcBorders>
              <w:top w:val="single" w:sz="18"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2692"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Name/kind of investment item</w:t>
            </w:r>
          </w:p>
        </w:tc>
        <w:tc>
          <w:tcPr>
            <w:tcW w:w="2695"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 Ownership</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2692"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Cs/>
                <w:sz w:val="16"/>
                <w:szCs w:val="16"/>
              </w:rPr>
            </w:pPr>
          </w:p>
        </w:tc>
        <w:tc>
          <w:tcPr>
            <w:tcW w:w="2695" w:type="dxa"/>
            <w:gridSpan w:val="2"/>
            <w:tcBorders>
              <w:top w:val="single" w:sz="4" w:space="0" w:color="auto"/>
              <w:left w:val="nil"/>
              <w:bottom w:val="single" w:sz="12" w:space="0" w:color="auto"/>
              <w:right w:val="nil"/>
            </w:tcBorders>
            <w:shd w:val="clear" w:color="auto" w:fill="auto"/>
          </w:tcPr>
          <w:p w:rsidR="00DC48A1" w:rsidRPr="006E709F" w:rsidRDefault="00DC48A1" w:rsidP="00CF67DD">
            <w:pPr>
              <w:rPr>
                <w:bCs/>
                <w:sz w:val="16"/>
                <w:szCs w:val="16"/>
              </w:rPr>
            </w:pP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i/>
                <w:iCs/>
                <w:sz w:val="16"/>
                <w:szCs w:val="16"/>
              </w:rPr>
            </w:pPr>
            <w:r w:rsidRPr="006E709F">
              <w:rPr>
                <w:i/>
                <w:iCs/>
                <w:sz w:val="16"/>
                <w:szCs w:val="16"/>
              </w:rPr>
              <w:t>Value and weighting for individual assets not disclosed. Only disclose total value and weighting.</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1771" w:type="dxa"/>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208"/>
        </w:trPr>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hideMark/>
          </w:tcPr>
          <w:p w:rsidR="00DC48A1" w:rsidRPr="006E709F" w:rsidRDefault="00DC48A1" w:rsidP="00CF67DD">
            <w:pPr>
              <w:tabs>
                <w:tab w:val="center" w:pos="1322"/>
              </w:tabs>
              <w:rPr>
                <w:b/>
                <w:sz w:val="16"/>
                <w:szCs w:val="16"/>
              </w:rPr>
            </w:pPr>
            <w:r w:rsidRPr="006E709F">
              <w:rPr>
                <w:b/>
                <w:sz w:val="16"/>
                <w:szCs w:val="16"/>
              </w:rPr>
              <w:t>Unlisted Infrastructure</w:t>
            </w:r>
          </w:p>
          <w:p w:rsidR="00DC48A1" w:rsidRPr="006E709F" w:rsidRDefault="00DC48A1" w:rsidP="00CF67DD">
            <w:pPr>
              <w:tabs>
                <w:tab w:val="center" w:pos="1322"/>
              </w:tabs>
              <w:rPr>
                <w:b/>
                <w:sz w:val="16"/>
                <w:szCs w:val="16"/>
              </w:rPr>
            </w:pPr>
            <w:r w:rsidRPr="006E709F">
              <w:rPr>
                <w:b/>
                <w:sz w:val="16"/>
                <w:szCs w:val="16"/>
              </w:rPr>
              <w:t>Investment in non</w:t>
            </w:r>
            <w:r w:rsidR="000C4237">
              <w:rPr>
                <w:b/>
                <w:sz w:val="16"/>
                <w:szCs w:val="16"/>
              </w:rPr>
              <w:noBreakHyphen/>
            </w:r>
            <w:r w:rsidRPr="006E709F">
              <w:rPr>
                <w:b/>
                <w:sz w:val="16"/>
                <w:szCs w:val="16"/>
              </w:rPr>
              <w:t>associated entities;</w:t>
            </w:r>
          </w:p>
          <w:p w:rsidR="00DC48A1" w:rsidRPr="006E709F" w:rsidRDefault="00DC48A1" w:rsidP="00CF67DD">
            <w:pPr>
              <w:tabs>
                <w:tab w:val="center" w:pos="1322"/>
              </w:tabs>
              <w:rPr>
                <w:b/>
                <w:sz w:val="16"/>
                <w:szCs w:val="16"/>
              </w:rPr>
            </w:pPr>
            <w:r w:rsidRPr="006E709F">
              <w:rPr>
                <w:b/>
                <w:sz w:val="16"/>
                <w:szCs w:val="16"/>
              </w:rPr>
              <w:t xml:space="preserve">Held directly or by associated entities or by </w:t>
            </w:r>
            <w:r w:rsidR="00D05323" w:rsidRPr="00D05323">
              <w:rPr>
                <w:b/>
                <w:sz w:val="16"/>
                <w:szCs w:val="16"/>
              </w:rPr>
              <w:t>pooled superannuation trusts</w:t>
            </w:r>
          </w:p>
          <w:p w:rsidR="00DC48A1" w:rsidRPr="006E709F" w:rsidRDefault="00DC48A1" w:rsidP="00CF67DD">
            <w:pPr>
              <w:rPr>
                <w:sz w:val="16"/>
                <w:szCs w:val="16"/>
              </w:rPr>
            </w:pPr>
            <w:r w:rsidRPr="006E709F">
              <w:rPr>
                <w:b/>
                <w:sz w:val="16"/>
                <w:szCs w:val="16"/>
              </w:rPr>
              <w:t>Externally managed</w:t>
            </w:r>
          </w:p>
        </w:tc>
        <w:tc>
          <w:tcPr>
            <w:tcW w:w="1771" w:type="dxa"/>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31"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5387" w:type="dxa"/>
            <w:gridSpan w:val="3"/>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Name of Fund Manager</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5387" w:type="dxa"/>
            <w:gridSpan w:val="3"/>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tabs>
                <w:tab w:val="center" w:pos="1322"/>
              </w:tabs>
              <w:rPr>
                <w:bCs/>
                <w:i/>
                <w:iCs/>
                <w:sz w:val="16"/>
                <w:szCs w:val="16"/>
              </w:rPr>
            </w:pPr>
            <w:r w:rsidRPr="006E709F">
              <w:rPr>
                <w:bCs/>
                <w:i/>
                <w:iCs/>
                <w:sz w:val="16"/>
                <w:szCs w:val="16"/>
              </w:rPr>
              <w:t>Individual asset names not required to be disclosed.</w:t>
            </w:r>
          </w:p>
          <w:p w:rsidR="00DC48A1" w:rsidRPr="006E709F" w:rsidRDefault="00DC48A1" w:rsidP="00CF67DD">
            <w:pPr>
              <w:rPr>
                <w:b/>
                <w:sz w:val="16"/>
                <w:szCs w:val="16"/>
              </w:rPr>
            </w:pPr>
            <w:r w:rsidRPr="006E709F">
              <w:rPr>
                <w:bCs/>
                <w:i/>
                <w:iCs/>
                <w:sz w:val="16"/>
                <w:szCs w:val="16"/>
              </w:rPr>
              <w:t>Only disclose the name of the fund manager responsible for managing the asset.</w:t>
            </w: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i/>
                <w:iCs/>
                <w:sz w:val="16"/>
                <w:szCs w:val="16"/>
              </w:rPr>
            </w:pPr>
            <w:r w:rsidRPr="006E709F">
              <w:rPr>
                <w:i/>
                <w:iCs/>
                <w:sz w:val="16"/>
                <w:szCs w:val="16"/>
              </w:rPr>
              <w:t>Values and weightings for individual assets not disclosed. Only disclose total values and weighting aggregated by the fund manager responsible for managing the assets.</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1771" w:type="dxa"/>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208"/>
        </w:trPr>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hideMark/>
          </w:tcPr>
          <w:p w:rsidR="00DC48A1" w:rsidRPr="006E709F" w:rsidRDefault="00DC48A1" w:rsidP="00CF67DD">
            <w:pPr>
              <w:rPr>
                <w:sz w:val="16"/>
                <w:szCs w:val="16"/>
              </w:rPr>
            </w:pPr>
            <w:r w:rsidRPr="006E709F">
              <w:rPr>
                <w:b/>
                <w:sz w:val="16"/>
                <w:szCs w:val="16"/>
              </w:rPr>
              <w:t>Listed Alternatives</w:t>
            </w:r>
          </w:p>
        </w:tc>
        <w:tc>
          <w:tcPr>
            <w:tcW w:w="1771" w:type="dxa"/>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31"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2692"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Name/kind of investment item</w:t>
            </w:r>
          </w:p>
        </w:tc>
        <w:tc>
          <w:tcPr>
            <w:tcW w:w="1419"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Security Identifier</w:t>
            </w:r>
          </w:p>
        </w:tc>
        <w:tc>
          <w:tcPr>
            <w:tcW w:w="1276" w:type="dxa"/>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Units held</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2692"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Cs/>
                <w:sz w:val="16"/>
                <w:szCs w:val="16"/>
              </w:rPr>
            </w:pPr>
          </w:p>
        </w:tc>
        <w:tc>
          <w:tcPr>
            <w:tcW w:w="1419" w:type="dxa"/>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p>
        </w:tc>
        <w:tc>
          <w:tcPr>
            <w:tcW w:w="1276" w:type="dxa"/>
            <w:tcBorders>
              <w:top w:val="single" w:sz="4" w:space="0" w:color="auto"/>
              <w:left w:val="nil"/>
              <w:bottom w:val="single" w:sz="12" w:space="0" w:color="auto"/>
              <w:right w:val="nil"/>
            </w:tcBorders>
            <w:shd w:val="clear" w:color="auto" w:fill="auto"/>
          </w:tcPr>
          <w:p w:rsidR="00DC48A1" w:rsidRPr="006E709F" w:rsidRDefault="00DC48A1" w:rsidP="00CF67DD">
            <w:pPr>
              <w:rPr>
                <w:bCs/>
                <w:sz w:val="16"/>
                <w:szCs w:val="16"/>
              </w:rPr>
            </w:pPr>
          </w:p>
        </w:tc>
        <w:tc>
          <w:tcPr>
            <w:tcW w:w="1780" w:type="dxa"/>
            <w:gridSpan w:val="2"/>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22" w:type="dxa"/>
            <w:gridSpan w:val="2"/>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c>
          <w:tcPr>
            <w:tcW w:w="2692" w:type="dxa"/>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bCs/>
                <w:sz w:val="16"/>
                <w:szCs w:val="16"/>
              </w:rPr>
            </w:pPr>
            <w:r w:rsidRPr="006E709F">
              <w:rPr>
                <w:b/>
                <w:bCs/>
                <w:sz w:val="16"/>
                <w:szCs w:val="16"/>
              </w:rPr>
              <w:t>Total</w:t>
            </w:r>
          </w:p>
        </w:tc>
        <w:tc>
          <w:tcPr>
            <w:tcW w:w="1419" w:type="dxa"/>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bCs/>
                <w:sz w:val="16"/>
                <w:szCs w:val="16"/>
              </w:rPr>
            </w:pPr>
          </w:p>
        </w:tc>
        <w:tc>
          <w:tcPr>
            <w:tcW w:w="1276" w:type="dxa"/>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780" w:type="dxa"/>
            <w:gridSpan w:val="2"/>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22" w:type="dxa"/>
            <w:gridSpan w:val="2"/>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208"/>
        </w:trPr>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hideMark/>
          </w:tcPr>
          <w:p w:rsidR="00DC48A1" w:rsidRPr="006E709F" w:rsidRDefault="00DC48A1" w:rsidP="00CF67DD">
            <w:pPr>
              <w:tabs>
                <w:tab w:val="center" w:pos="1322"/>
              </w:tabs>
              <w:rPr>
                <w:b/>
                <w:sz w:val="16"/>
                <w:szCs w:val="16"/>
              </w:rPr>
            </w:pPr>
            <w:r w:rsidRPr="006E709F">
              <w:rPr>
                <w:b/>
                <w:sz w:val="16"/>
                <w:szCs w:val="16"/>
              </w:rPr>
              <w:t>Unlisted Alternatives</w:t>
            </w:r>
          </w:p>
          <w:p w:rsidR="00DC48A1" w:rsidRPr="006E709F" w:rsidRDefault="00DC48A1" w:rsidP="00CF67DD">
            <w:pPr>
              <w:rPr>
                <w:b/>
                <w:sz w:val="16"/>
                <w:szCs w:val="16"/>
              </w:rPr>
            </w:pPr>
            <w:r w:rsidRPr="006E709F">
              <w:rPr>
                <w:b/>
                <w:sz w:val="16"/>
                <w:szCs w:val="16"/>
              </w:rPr>
              <w:t xml:space="preserve">Held directly or by associated entities or by </w:t>
            </w:r>
            <w:r w:rsidR="00D05323" w:rsidRPr="00D05323">
              <w:rPr>
                <w:b/>
                <w:sz w:val="16"/>
                <w:szCs w:val="16"/>
              </w:rPr>
              <w:t>pooled superannuation trusts</w:t>
            </w:r>
          </w:p>
          <w:p w:rsidR="00DC48A1" w:rsidRPr="006E709F" w:rsidRDefault="00DC48A1" w:rsidP="00CF67DD">
            <w:pPr>
              <w:rPr>
                <w:sz w:val="16"/>
                <w:szCs w:val="16"/>
              </w:rPr>
            </w:pPr>
            <w:r w:rsidRPr="006E709F">
              <w:rPr>
                <w:b/>
                <w:sz w:val="16"/>
                <w:szCs w:val="16"/>
              </w:rPr>
              <w:t>Internally managed</w:t>
            </w:r>
          </w:p>
        </w:tc>
        <w:tc>
          <w:tcPr>
            <w:tcW w:w="1771" w:type="dxa"/>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c>
          <w:tcPr>
            <w:tcW w:w="1631"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sz w:val="16"/>
                <w:szCs w:val="16"/>
              </w:rPr>
            </w:pPr>
          </w:p>
        </w:tc>
      </w:tr>
      <w:tr w:rsidR="00DC48A1" w:rsidRPr="006E709F" w:rsidTr="00CF67DD">
        <w:trPr>
          <w:trHeight w:val="36"/>
        </w:trPr>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Name/kind of investment item</w:t>
            </w:r>
          </w:p>
        </w:tc>
        <w:tc>
          <w:tcPr>
            <w:tcW w:w="1780" w:type="dxa"/>
            <w:gridSpan w:val="2"/>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5387" w:type="dxa"/>
            <w:gridSpan w:val="3"/>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Cs/>
                <w:sz w:val="16"/>
                <w:szCs w:val="16"/>
              </w:rPr>
            </w:pP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i/>
                <w:iCs/>
                <w:sz w:val="16"/>
                <w:szCs w:val="16"/>
              </w:rPr>
            </w:pPr>
            <w:r w:rsidRPr="006E709F">
              <w:rPr>
                <w:i/>
                <w:iCs/>
                <w:sz w:val="16"/>
                <w:szCs w:val="16"/>
              </w:rPr>
              <w:t>Value and weighting for individual assets not disclosed. Only disclose total value and weighting.</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1771" w:type="dxa"/>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c>
          <w:tcPr>
            <w:tcW w:w="5387"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tabs>
                <w:tab w:val="center" w:pos="1322"/>
              </w:tabs>
              <w:rPr>
                <w:b/>
                <w:sz w:val="16"/>
                <w:szCs w:val="16"/>
              </w:rPr>
            </w:pPr>
            <w:r w:rsidRPr="006E709F">
              <w:rPr>
                <w:b/>
                <w:sz w:val="16"/>
                <w:szCs w:val="16"/>
              </w:rPr>
              <w:t>Unlisted Alternative</w:t>
            </w:r>
          </w:p>
          <w:p w:rsidR="00DC48A1" w:rsidRPr="006E709F" w:rsidRDefault="00DC48A1" w:rsidP="00CF67DD">
            <w:pPr>
              <w:tabs>
                <w:tab w:val="center" w:pos="1322"/>
              </w:tabs>
              <w:rPr>
                <w:b/>
                <w:sz w:val="16"/>
                <w:szCs w:val="16"/>
              </w:rPr>
            </w:pPr>
            <w:r w:rsidRPr="006E709F">
              <w:rPr>
                <w:b/>
                <w:sz w:val="16"/>
                <w:szCs w:val="16"/>
              </w:rPr>
              <w:t>Investment in non</w:t>
            </w:r>
            <w:r w:rsidR="000C4237">
              <w:rPr>
                <w:b/>
                <w:sz w:val="16"/>
                <w:szCs w:val="16"/>
              </w:rPr>
              <w:noBreakHyphen/>
            </w:r>
            <w:r w:rsidRPr="006E709F">
              <w:rPr>
                <w:b/>
                <w:sz w:val="16"/>
                <w:szCs w:val="16"/>
              </w:rPr>
              <w:t>associated entities;</w:t>
            </w:r>
          </w:p>
          <w:p w:rsidR="00DC48A1" w:rsidRPr="006E709F" w:rsidRDefault="00DC48A1" w:rsidP="00CF67DD">
            <w:pPr>
              <w:rPr>
                <w:b/>
                <w:sz w:val="16"/>
                <w:szCs w:val="16"/>
              </w:rPr>
            </w:pPr>
            <w:r w:rsidRPr="006E709F">
              <w:rPr>
                <w:b/>
                <w:sz w:val="16"/>
                <w:szCs w:val="16"/>
              </w:rPr>
              <w:t xml:space="preserve">Held directly or by associated entities or by </w:t>
            </w:r>
            <w:r w:rsidR="009560C1" w:rsidRPr="009560C1">
              <w:rPr>
                <w:b/>
                <w:sz w:val="16"/>
                <w:szCs w:val="16"/>
              </w:rPr>
              <w:t>pooled superannuation trusts</w:t>
            </w:r>
          </w:p>
          <w:p w:rsidR="00DC48A1" w:rsidRPr="006E709F" w:rsidRDefault="00DC48A1" w:rsidP="00CF67DD">
            <w:pPr>
              <w:rPr>
                <w:b/>
                <w:sz w:val="16"/>
                <w:szCs w:val="16"/>
              </w:rPr>
            </w:pPr>
            <w:r w:rsidRPr="006E709F">
              <w:rPr>
                <w:b/>
                <w:sz w:val="16"/>
                <w:szCs w:val="16"/>
              </w:rPr>
              <w:t>Externally managed</w:t>
            </w:r>
          </w:p>
        </w:tc>
        <w:tc>
          <w:tcPr>
            <w:tcW w:w="1771" w:type="dxa"/>
            <w:tcBorders>
              <w:top w:val="single" w:sz="18"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8"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rPr>
          <w:trHeight w:val="36"/>
        </w:trPr>
        <w:tc>
          <w:tcPr>
            <w:tcW w:w="5387" w:type="dxa"/>
            <w:gridSpan w:val="3"/>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bCs/>
                <w:sz w:val="16"/>
                <w:szCs w:val="16"/>
              </w:rPr>
              <w:t>Name of Fund Manager</w:t>
            </w:r>
          </w:p>
        </w:tc>
        <w:tc>
          <w:tcPr>
            <w:tcW w:w="1780" w:type="dxa"/>
            <w:gridSpan w:val="2"/>
            <w:tcBorders>
              <w:top w:val="single" w:sz="12" w:space="0" w:color="auto"/>
              <w:left w:val="single" w:sz="4" w:space="0" w:color="auto"/>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Value (AUD)</w:t>
            </w:r>
          </w:p>
        </w:tc>
        <w:tc>
          <w:tcPr>
            <w:tcW w:w="1622" w:type="dxa"/>
            <w:gridSpan w:val="2"/>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b/>
                <w:sz w:val="16"/>
                <w:szCs w:val="16"/>
              </w:rPr>
              <w:t>Weighting (%)</w:t>
            </w:r>
          </w:p>
        </w:tc>
      </w:tr>
      <w:tr w:rsidR="00DC48A1" w:rsidRPr="006E709F" w:rsidTr="00CF67DD">
        <w:tc>
          <w:tcPr>
            <w:tcW w:w="5387" w:type="dxa"/>
            <w:gridSpan w:val="3"/>
            <w:tcBorders>
              <w:top w:val="single" w:sz="4" w:space="0" w:color="auto"/>
              <w:left w:val="nil"/>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Cs/>
                <w:i/>
                <w:iCs/>
                <w:sz w:val="16"/>
                <w:szCs w:val="16"/>
              </w:rPr>
            </w:pPr>
            <w:r w:rsidRPr="006E709F">
              <w:rPr>
                <w:bCs/>
                <w:i/>
                <w:iCs/>
                <w:sz w:val="16"/>
                <w:szCs w:val="16"/>
              </w:rPr>
              <w:t>Individual asset names not required to be disclosed.</w:t>
            </w:r>
          </w:p>
          <w:p w:rsidR="00DC48A1" w:rsidRPr="006E709F" w:rsidRDefault="00DC48A1" w:rsidP="00CF67DD">
            <w:pPr>
              <w:rPr>
                <w:b/>
                <w:sz w:val="16"/>
                <w:szCs w:val="16"/>
              </w:rPr>
            </w:pPr>
            <w:r w:rsidRPr="006E709F">
              <w:rPr>
                <w:bCs/>
                <w:i/>
                <w:iCs/>
                <w:sz w:val="16"/>
                <w:szCs w:val="16"/>
              </w:rPr>
              <w:t>Only disclose the name of the fund manager responsible for managing the asset.</w:t>
            </w:r>
          </w:p>
        </w:tc>
        <w:tc>
          <w:tcPr>
            <w:tcW w:w="3402" w:type="dxa"/>
            <w:gridSpan w:val="4"/>
            <w:tcBorders>
              <w:top w:val="single" w:sz="4" w:space="0" w:color="auto"/>
              <w:left w:val="single" w:sz="4" w:space="0" w:color="auto"/>
              <w:bottom w:val="single" w:sz="12"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r w:rsidRPr="006E709F">
              <w:rPr>
                <w:i/>
                <w:iCs/>
                <w:sz w:val="16"/>
                <w:szCs w:val="16"/>
              </w:rPr>
              <w:t>Values and weightings for individual assets not disclosed. Only disclose total values and weighting aggregated by the fund manager responsible for managing the assets.</w:t>
            </w:r>
          </w:p>
        </w:tc>
      </w:tr>
      <w:tr w:rsidR="00DC48A1" w:rsidRPr="006E709F" w:rsidTr="00CF67DD">
        <w:tc>
          <w:tcPr>
            <w:tcW w:w="5387"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w:t>
            </w:r>
          </w:p>
        </w:tc>
        <w:tc>
          <w:tcPr>
            <w:tcW w:w="1771" w:type="dxa"/>
            <w:tcBorders>
              <w:top w:val="single" w:sz="12"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2"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tr w:rsidR="00DC48A1" w:rsidRPr="006E709F" w:rsidTr="00CF67DD">
        <w:tc>
          <w:tcPr>
            <w:tcW w:w="5387" w:type="dxa"/>
            <w:gridSpan w:val="3"/>
            <w:tcBorders>
              <w:top w:val="single" w:sz="18" w:space="0" w:color="auto"/>
              <w:left w:val="nil"/>
              <w:bottom w:val="single" w:sz="18" w:space="0" w:color="auto"/>
              <w:right w:val="nil"/>
            </w:tcBorders>
            <w:shd w:val="clear" w:color="auto" w:fill="auto"/>
            <w:tcMar>
              <w:top w:w="0" w:type="dxa"/>
              <w:left w:w="108" w:type="dxa"/>
              <w:bottom w:w="0" w:type="dxa"/>
              <w:right w:w="108" w:type="dxa"/>
            </w:tcMar>
            <w:hideMark/>
          </w:tcPr>
          <w:p w:rsidR="00DC48A1" w:rsidRPr="006E709F" w:rsidRDefault="00DC48A1" w:rsidP="00CF67DD">
            <w:pPr>
              <w:rPr>
                <w:b/>
                <w:sz w:val="16"/>
                <w:szCs w:val="16"/>
              </w:rPr>
            </w:pPr>
            <w:r w:rsidRPr="006E709F">
              <w:rPr>
                <w:b/>
                <w:bCs/>
                <w:sz w:val="16"/>
                <w:szCs w:val="16"/>
              </w:rPr>
              <w:t>Total Investment Items</w:t>
            </w:r>
          </w:p>
        </w:tc>
        <w:tc>
          <w:tcPr>
            <w:tcW w:w="1771" w:type="dxa"/>
            <w:tcBorders>
              <w:top w:val="single" w:sz="18" w:space="0" w:color="auto"/>
              <w:left w:val="single" w:sz="4" w:space="0" w:color="auto"/>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c>
          <w:tcPr>
            <w:tcW w:w="1631" w:type="dxa"/>
            <w:gridSpan w:val="3"/>
            <w:tcBorders>
              <w:top w:val="single" w:sz="18" w:space="0" w:color="auto"/>
              <w:left w:val="nil"/>
              <w:bottom w:val="single" w:sz="18" w:space="0" w:color="auto"/>
              <w:right w:val="nil"/>
            </w:tcBorders>
            <w:shd w:val="clear" w:color="auto" w:fill="auto"/>
            <w:tcMar>
              <w:top w:w="0" w:type="dxa"/>
              <w:left w:w="108" w:type="dxa"/>
              <w:bottom w:w="0" w:type="dxa"/>
              <w:right w:w="108" w:type="dxa"/>
            </w:tcMar>
          </w:tcPr>
          <w:p w:rsidR="00DC48A1" w:rsidRPr="006E709F" w:rsidRDefault="00DC48A1" w:rsidP="00CF67DD">
            <w:pPr>
              <w:rPr>
                <w:b/>
                <w:sz w:val="16"/>
                <w:szCs w:val="16"/>
              </w:rPr>
            </w:pPr>
          </w:p>
        </w:tc>
      </w:tr>
      <w:bookmarkEnd w:id="50"/>
      <w:bookmarkEnd w:id="51"/>
    </w:tbl>
    <w:p w:rsidR="00DC48A1" w:rsidRPr="006E709F" w:rsidRDefault="00DC48A1" w:rsidP="00DC48A1">
      <w:pPr>
        <w:pStyle w:val="Tabletext"/>
      </w:pPr>
    </w:p>
    <w:p w:rsidR="00DC48A1" w:rsidRPr="006E709F" w:rsidRDefault="00DC48A1" w:rsidP="00DC48A1">
      <w:pPr>
        <w:pStyle w:val="ActHead5"/>
        <w:pageBreakBefore/>
      </w:pPr>
      <w:bookmarkStart w:id="53" w:name="_Toc160609742"/>
      <w:r w:rsidRPr="000C4237">
        <w:rPr>
          <w:rStyle w:val="CharSectno"/>
        </w:rPr>
        <w:t>2</w:t>
      </w:r>
      <w:r w:rsidRPr="006E709F">
        <w:t xml:space="preserve">  Table 2—Derivatives by kind of derivative</w:t>
      </w:r>
      <w:bookmarkEnd w:id="53"/>
    </w:p>
    <w:p w:rsidR="00DC48A1" w:rsidRPr="006E709F" w:rsidRDefault="00DC48A1" w:rsidP="00DC48A1">
      <w:pPr>
        <w:pStyle w:val="Tabletext"/>
      </w:pPr>
    </w:p>
    <w:tbl>
      <w:tblPr>
        <w:tblW w:w="4721" w:type="pct"/>
        <w:tblInd w:w="108" w:type="dxa"/>
        <w:tblBorders>
          <w:top w:val="single" w:sz="4" w:space="0" w:color="auto"/>
          <w:bottom w:val="single" w:sz="2" w:space="0" w:color="auto"/>
          <w:insideH w:val="single" w:sz="2" w:space="0" w:color="auto"/>
        </w:tblBorders>
        <w:tblLook w:val="0000" w:firstRow="0" w:lastRow="0" w:firstColumn="0" w:lastColumn="0" w:noHBand="0" w:noVBand="0"/>
      </w:tblPr>
      <w:tblGrid>
        <w:gridCol w:w="3087"/>
        <w:gridCol w:w="2550"/>
        <w:gridCol w:w="2416"/>
      </w:tblGrid>
      <w:tr w:rsidR="00DC48A1" w:rsidRPr="006E709F" w:rsidTr="00CF67DD">
        <w:trPr>
          <w:tblHeader/>
        </w:trPr>
        <w:tc>
          <w:tcPr>
            <w:tcW w:w="5000" w:type="pct"/>
            <w:gridSpan w:val="3"/>
            <w:tcBorders>
              <w:top w:val="single" w:sz="12" w:space="0" w:color="auto"/>
              <w:bottom w:val="single" w:sz="6" w:space="0" w:color="auto"/>
            </w:tcBorders>
            <w:shd w:val="clear" w:color="auto" w:fill="auto"/>
          </w:tcPr>
          <w:p w:rsidR="00DC48A1" w:rsidRPr="006E709F" w:rsidRDefault="00DC48A1" w:rsidP="00CF67DD">
            <w:pPr>
              <w:pStyle w:val="TableHeading"/>
              <w:rPr>
                <w:sz w:val="16"/>
                <w:szCs w:val="16"/>
                <w:highlight w:val="yellow"/>
              </w:rPr>
            </w:pPr>
            <w:r w:rsidRPr="006E709F">
              <w:rPr>
                <w:sz w:val="16"/>
                <w:szCs w:val="16"/>
              </w:rPr>
              <w:t>Portfolio Holdings Information for Investment Option [A]—Derivatives</w:t>
            </w:r>
          </w:p>
        </w:tc>
      </w:tr>
      <w:tr w:rsidR="00DC48A1" w:rsidRPr="006E709F" w:rsidTr="00CF67DD">
        <w:trPr>
          <w:tblHeader/>
        </w:trPr>
        <w:tc>
          <w:tcPr>
            <w:tcW w:w="1917" w:type="pct"/>
            <w:tcBorders>
              <w:top w:val="single" w:sz="6" w:space="0" w:color="auto"/>
              <w:bottom w:val="single" w:sz="12" w:space="0" w:color="auto"/>
            </w:tcBorders>
            <w:shd w:val="clear" w:color="auto" w:fill="auto"/>
          </w:tcPr>
          <w:p w:rsidR="00DC48A1" w:rsidRPr="006E709F" w:rsidRDefault="00DC48A1" w:rsidP="00CF67DD">
            <w:pPr>
              <w:pStyle w:val="TableHeading"/>
              <w:rPr>
                <w:sz w:val="16"/>
                <w:szCs w:val="16"/>
              </w:rPr>
            </w:pPr>
            <w:r w:rsidRPr="006E709F">
              <w:rPr>
                <w:sz w:val="16"/>
                <w:szCs w:val="16"/>
              </w:rPr>
              <w:t>Kind of derivative</w:t>
            </w:r>
          </w:p>
        </w:tc>
        <w:tc>
          <w:tcPr>
            <w:tcW w:w="1583" w:type="pct"/>
            <w:tcBorders>
              <w:top w:val="single" w:sz="6" w:space="0" w:color="auto"/>
              <w:bottom w:val="single" w:sz="12" w:space="0" w:color="auto"/>
            </w:tcBorders>
            <w:shd w:val="clear" w:color="auto" w:fill="auto"/>
          </w:tcPr>
          <w:p w:rsidR="00DC48A1" w:rsidRPr="006E709F" w:rsidRDefault="00DC48A1" w:rsidP="00CF67DD">
            <w:pPr>
              <w:pStyle w:val="TableHeading"/>
              <w:rPr>
                <w:sz w:val="16"/>
                <w:szCs w:val="16"/>
              </w:rPr>
            </w:pPr>
            <w:r w:rsidRPr="006E709F">
              <w:rPr>
                <w:sz w:val="16"/>
                <w:szCs w:val="16"/>
              </w:rPr>
              <w:t>Value</w:t>
            </w:r>
          </w:p>
        </w:tc>
        <w:tc>
          <w:tcPr>
            <w:tcW w:w="1500" w:type="pct"/>
            <w:tcBorders>
              <w:top w:val="single" w:sz="6" w:space="0" w:color="auto"/>
              <w:bottom w:val="single" w:sz="12" w:space="0" w:color="auto"/>
            </w:tcBorders>
            <w:shd w:val="clear" w:color="auto" w:fill="auto"/>
          </w:tcPr>
          <w:p w:rsidR="00DC48A1" w:rsidRPr="006E709F" w:rsidRDefault="00DC48A1" w:rsidP="00CF67DD">
            <w:pPr>
              <w:pStyle w:val="TableHeading"/>
              <w:rPr>
                <w:sz w:val="16"/>
                <w:szCs w:val="16"/>
              </w:rPr>
            </w:pPr>
            <w:r w:rsidRPr="006E709F">
              <w:rPr>
                <w:sz w:val="16"/>
                <w:szCs w:val="16"/>
              </w:rPr>
              <w:t>Weighting</w:t>
            </w:r>
          </w:p>
        </w:tc>
      </w:tr>
      <w:tr w:rsidR="00DC48A1" w:rsidRPr="006E709F" w:rsidTr="00CF67DD">
        <w:tc>
          <w:tcPr>
            <w:tcW w:w="1917" w:type="pct"/>
            <w:tcBorders>
              <w:top w:val="single" w:sz="12" w:space="0" w:color="auto"/>
            </w:tcBorders>
            <w:shd w:val="clear" w:color="auto" w:fill="auto"/>
          </w:tcPr>
          <w:p w:rsidR="00DC48A1" w:rsidRPr="006E709F" w:rsidRDefault="00DC48A1" w:rsidP="00CF67DD">
            <w:pPr>
              <w:pStyle w:val="Tabletext"/>
              <w:rPr>
                <w:sz w:val="16"/>
                <w:szCs w:val="16"/>
              </w:rPr>
            </w:pPr>
            <w:r w:rsidRPr="006E709F">
              <w:rPr>
                <w:sz w:val="16"/>
                <w:szCs w:val="16"/>
              </w:rPr>
              <w:t>Swaps</w:t>
            </w:r>
          </w:p>
        </w:tc>
        <w:tc>
          <w:tcPr>
            <w:tcW w:w="3083" w:type="pct"/>
            <w:gridSpan w:val="2"/>
            <w:tcBorders>
              <w:top w:val="single" w:sz="12" w:space="0" w:color="auto"/>
            </w:tcBorders>
            <w:shd w:val="clear" w:color="auto" w:fill="auto"/>
          </w:tcPr>
          <w:p w:rsidR="00DC48A1" w:rsidRPr="006E709F" w:rsidRDefault="00DC48A1" w:rsidP="00CF67DD">
            <w:pPr>
              <w:pStyle w:val="Tabletext"/>
              <w:rPr>
                <w:i/>
                <w:sz w:val="16"/>
                <w:szCs w:val="16"/>
              </w:rPr>
            </w:pPr>
            <w:r w:rsidRPr="006E709F">
              <w:rPr>
                <w:i/>
                <w:sz w:val="16"/>
                <w:szCs w:val="16"/>
              </w:rPr>
              <w:t>Values and weighting for individual derivatives not disclosed. Only disclose total values and weighting for this kind of derivative.</w:t>
            </w:r>
          </w:p>
        </w:tc>
      </w:tr>
      <w:tr w:rsidR="00DC48A1" w:rsidRPr="006E709F" w:rsidTr="00CF67DD">
        <w:tc>
          <w:tcPr>
            <w:tcW w:w="1917" w:type="pct"/>
            <w:shd w:val="clear" w:color="auto" w:fill="auto"/>
          </w:tcPr>
          <w:p w:rsidR="00DC48A1" w:rsidRPr="006E709F" w:rsidRDefault="00DC48A1" w:rsidP="00CF67DD">
            <w:pPr>
              <w:pStyle w:val="Tabletext"/>
              <w:rPr>
                <w:sz w:val="16"/>
                <w:szCs w:val="16"/>
              </w:rPr>
            </w:pPr>
            <w:r w:rsidRPr="006E709F">
              <w:rPr>
                <w:sz w:val="16"/>
                <w:szCs w:val="16"/>
              </w:rPr>
              <w:t>Forwards</w:t>
            </w:r>
          </w:p>
        </w:tc>
        <w:tc>
          <w:tcPr>
            <w:tcW w:w="3083" w:type="pct"/>
            <w:gridSpan w:val="2"/>
            <w:shd w:val="clear" w:color="auto" w:fill="auto"/>
          </w:tcPr>
          <w:p w:rsidR="00DC48A1" w:rsidRPr="006E709F" w:rsidRDefault="00DC48A1" w:rsidP="00CF67DD">
            <w:pPr>
              <w:pStyle w:val="Tabletext"/>
              <w:rPr>
                <w:i/>
                <w:sz w:val="16"/>
                <w:szCs w:val="16"/>
              </w:rPr>
            </w:pPr>
            <w:r w:rsidRPr="006E709F">
              <w:rPr>
                <w:i/>
                <w:sz w:val="16"/>
                <w:szCs w:val="16"/>
              </w:rPr>
              <w:t>Values and weighting for individual derivatives not disclosed. Only disclose total values and weighting for this kind of derivative.</w:t>
            </w:r>
          </w:p>
        </w:tc>
      </w:tr>
      <w:tr w:rsidR="00DC48A1" w:rsidRPr="006E709F" w:rsidTr="00CF67DD">
        <w:tc>
          <w:tcPr>
            <w:tcW w:w="1917" w:type="pct"/>
            <w:shd w:val="clear" w:color="auto" w:fill="auto"/>
          </w:tcPr>
          <w:p w:rsidR="00DC48A1" w:rsidRPr="006E709F" w:rsidRDefault="00DC48A1" w:rsidP="00CF67DD">
            <w:pPr>
              <w:pStyle w:val="Tabletext"/>
              <w:rPr>
                <w:sz w:val="16"/>
                <w:szCs w:val="16"/>
              </w:rPr>
            </w:pPr>
            <w:r w:rsidRPr="006E709F">
              <w:rPr>
                <w:sz w:val="16"/>
                <w:szCs w:val="16"/>
              </w:rPr>
              <w:t>Futures</w:t>
            </w:r>
          </w:p>
        </w:tc>
        <w:tc>
          <w:tcPr>
            <w:tcW w:w="3083" w:type="pct"/>
            <w:gridSpan w:val="2"/>
            <w:shd w:val="clear" w:color="auto" w:fill="auto"/>
          </w:tcPr>
          <w:p w:rsidR="00DC48A1" w:rsidRPr="006E709F" w:rsidRDefault="00DC48A1" w:rsidP="00CF67DD">
            <w:pPr>
              <w:pStyle w:val="Tabletext"/>
              <w:rPr>
                <w:i/>
                <w:sz w:val="16"/>
                <w:szCs w:val="16"/>
              </w:rPr>
            </w:pPr>
            <w:r w:rsidRPr="006E709F">
              <w:rPr>
                <w:i/>
                <w:sz w:val="16"/>
                <w:szCs w:val="16"/>
              </w:rPr>
              <w:t>Values and weighting for individual derivatives not disclosed. Only disclose total values and weighting for this kind of derivative.</w:t>
            </w:r>
          </w:p>
        </w:tc>
      </w:tr>
      <w:tr w:rsidR="00DC48A1" w:rsidRPr="006E709F" w:rsidTr="00CF67DD">
        <w:tc>
          <w:tcPr>
            <w:tcW w:w="1917" w:type="pct"/>
            <w:shd w:val="clear" w:color="auto" w:fill="auto"/>
          </w:tcPr>
          <w:p w:rsidR="00DC48A1" w:rsidRPr="006E709F" w:rsidRDefault="00DC48A1" w:rsidP="00CF67DD">
            <w:pPr>
              <w:pStyle w:val="Tabletext"/>
              <w:rPr>
                <w:sz w:val="16"/>
                <w:szCs w:val="16"/>
              </w:rPr>
            </w:pPr>
            <w:r w:rsidRPr="006E709F">
              <w:rPr>
                <w:sz w:val="16"/>
                <w:szCs w:val="16"/>
              </w:rPr>
              <w:t>Options</w:t>
            </w:r>
          </w:p>
        </w:tc>
        <w:tc>
          <w:tcPr>
            <w:tcW w:w="3083" w:type="pct"/>
            <w:gridSpan w:val="2"/>
            <w:shd w:val="clear" w:color="auto" w:fill="auto"/>
          </w:tcPr>
          <w:p w:rsidR="00DC48A1" w:rsidRPr="006E709F" w:rsidRDefault="00DC48A1" w:rsidP="00CF67DD">
            <w:pPr>
              <w:pStyle w:val="Tabletext"/>
              <w:rPr>
                <w:i/>
                <w:sz w:val="16"/>
                <w:szCs w:val="16"/>
              </w:rPr>
            </w:pPr>
            <w:r w:rsidRPr="006E709F">
              <w:rPr>
                <w:i/>
                <w:sz w:val="16"/>
                <w:szCs w:val="16"/>
              </w:rPr>
              <w:t>Values and weighting for individual derivatives not disclosed. Only disclose total values and weighting for this kind of derivative.</w:t>
            </w:r>
          </w:p>
        </w:tc>
      </w:tr>
      <w:tr w:rsidR="00DC48A1" w:rsidRPr="006E709F" w:rsidTr="00CF67DD">
        <w:tc>
          <w:tcPr>
            <w:tcW w:w="1917" w:type="pct"/>
            <w:tcBorders>
              <w:top w:val="single" w:sz="2" w:space="0" w:color="auto"/>
              <w:bottom w:val="single" w:sz="12" w:space="0" w:color="auto"/>
            </w:tcBorders>
            <w:shd w:val="clear" w:color="auto" w:fill="auto"/>
          </w:tcPr>
          <w:p w:rsidR="00DC48A1" w:rsidRPr="006E709F" w:rsidRDefault="00DC48A1" w:rsidP="00CF67DD">
            <w:pPr>
              <w:pStyle w:val="Tabletext"/>
              <w:rPr>
                <w:rFonts w:cs="Arial"/>
                <w:b/>
                <w:bCs/>
                <w:color w:val="000000"/>
                <w:sz w:val="16"/>
                <w:szCs w:val="16"/>
              </w:rPr>
            </w:pPr>
            <w:r w:rsidRPr="006E709F">
              <w:rPr>
                <w:rFonts w:cs="Arial"/>
                <w:b/>
                <w:bCs/>
                <w:color w:val="000000"/>
                <w:sz w:val="16"/>
                <w:szCs w:val="16"/>
              </w:rPr>
              <w:t>Total</w:t>
            </w:r>
          </w:p>
        </w:tc>
        <w:tc>
          <w:tcPr>
            <w:tcW w:w="1583" w:type="pct"/>
            <w:tcBorders>
              <w:top w:val="single" w:sz="2" w:space="0" w:color="auto"/>
              <w:bottom w:val="single" w:sz="12" w:space="0" w:color="auto"/>
            </w:tcBorders>
            <w:shd w:val="clear" w:color="auto" w:fill="auto"/>
          </w:tcPr>
          <w:p w:rsidR="00DC48A1" w:rsidRPr="006E709F" w:rsidRDefault="00DC48A1" w:rsidP="00CF67DD">
            <w:pPr>
              <w:pStyle w:val="Tabletext"/>
              <w:jc w:val="right"/>
              <w:rPr>
                <w:rFonts w:cs="Arial"/>
                <w:bCs/>
                <w:color w:val="000000"/>
                <w:sz w:val="16"/>
                <w:szCs w:val="16"/>
              </w:rPr>
            </w:pPr>
          </w:p>
        </w:tc>
        <w:tc>
          <w:tcPr>
            <w:tcW w:w="1500" w:type="pct"/>
            <w:tcBorders>
              <w:top w:val="single" w:sz="2" w:space="0" w:color="auto"/>
              <w:bottom w:val="single" w:sz="12" w:space="0" w:color="auto"/>
            </w:tcBorders>
            <w:shd w:val="clear" w:color="auto" w:fill="auto"/>
          </w:tcPr>
          <w:p w:rsidR="00DC48A1" w:rsidRPr="006E709F" w:rsidRDefault="00DC48A1" w:rsidP="00CF67DD">
            <w:pPr>
              <w:pStyle w:val="Tabletext"/>
              <w:jc w:val="right"/>
              <w:rPr>
                <w:rFonts w:cs="Arial"/>
                <w:bCs/>
                <w:color w:val="000000"/>
                <w:sz w:val="16"/>
                <w:szCs w:val="16"/>
              </w:rPr>
            </w:pPr>
          </w:p>
        </w:tc>
      </w:tr>
    </w:tbl>
    <w:p w:rsidR="00DC48A1" w:rsidRPr="006E709F" w:rsidRDefault="00DC48A1" w:rsidP="00DC48A1">
      <w:pPr>
        <w:pStyle w:val="ActHead5"/>
      </w:pPr>
      <w:bookmarkStart w:id="54" w:name="_Toc160609743"/>
      <w:r w:rsidRPr="000C4237">
        <w:rPr>
          <w:rStyle w:val="CharSectno"/>
        </w:rPr>
        <w:t>3</w:t>
      </w:r>
      <w:r w:rsidRPr="006E709F">
        <w:t xml:space="preserve">  Table 3—Derivatives by asset class</w:t>
      </w:r>
      <w:bookmarkEnd w:id="54"/>
    </w:p>
    <w:p w:rsidR="00DC48A1" w:rsidRPr="006E709F" w:rsidRDefault="00DC48A1" w:rsidP="00DC48A1">
      <w:pPr>
        <w:pStyle w:val="Tabletext"/>
      </w:pPr>
    </w:p>
    <w:tbl>
      <w:tblPr>
        <w:tblW w:w="0" w:type="auto"/>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39"/>
        <w:gridCol w:w="2410"/>
        <w:gridCol w:w="2551"/>
      </w:tblGrid>
      <w:tr w:rsidR="00DC48A1" w:rsidRPr="006E709F" w:rsidTr="00CF67DD">
        <w:trPr>
          <w:tblHeader/>
        </w:trPr>
        <w:tc>
          <w:tcPr>
            <w:tcW w:w="8500" w:type="dxa"/>
            <w:gridSpan w:val="3"/>
            <w:tcBorders>
              <w:top w:val="single" w:sz="12" w:space="0" w:color="auto"/>
              <w:left w:val="nil"/>
              <w:bottom w:val="single" w:sz="6" w:space="0" w:color="auto"/>
              <w:right w:val="nil"/>
            </w:tcBorders>
            <w:shd w:val="clear" w:color="auto" w:fill="auto"/>
          </w:tcPr>
          <w:p w:rsidR="00DC48A1" w:rsidRPr="006E709F" w:rsidRDefault="00DC48A1" w:rsidP="00CF67DD">
            <w:pPr>
              <w:pStyle w:val="TableHeading"/>
              <w:rPr>
                <w:sz w:val="16"/>
                <w:szCs w:val="16"/>
              </w:rPr>
            </w:pPr>
            <w:r w:rsidRPr="006E709F">
              <w:rPr>
                <w:sz w:val="16"/>
                <w:szCs w:val="16"/>
              </w:rPr>
              <w:t>Portfolio Holdings Information for Investment Option [A]—Derivatives by Asset Class</w:t>
            </w:r>
          </w:p>
        </w:tc>
      </w:tr>
      <w:tr w:rsidR="00DC48A1" w:rsidRPr="006E709F" w:rsidTr="00CF67DD">
        <w:trPr>
          <w:tblHeader/>
        </w:trPr>
        <w:tc>
          <w:tcPr>
            <w:tcW w:w="3539" w:type="dxa"/>
            <w:tcBorders>
              <w:top w:val="single" w:sz="6" w:space="0" w:color="auto"/>
              <w:left w:val="nil"/>
              <w:bottom w:val="single" w:sz="12" w:space="0" w:color="auto"/>
              <w:right w:val="nil"/>
            </w:tcBorders>
            <w:shd w:val="clear" w:color="auto" w:fill="auto"/>
          </w:tcPr>
          <w:p w:rsidR="00DC48A1" w:rsidRPr="006E709F" w:rsidRDefault="00DC48A1" w:rsidP="00CF67DD">
            <w:pPr>
              <w:pStyle w:val="TableHeading"/>
              <w:rPr>
                <w:sz w:val="16"/>
                <w:szCs w:val="16"/>
              </w:rPr>
            </w:pPr>
            <w:r w:rsidRPr="006E709F">
              <w:rPr>
                <w:sz w:val="16"/>
                <w:szCs w:val="16"/>
              </w:rPr>
              <w:t>Asset class</w:t>
            </w:r>
          </w:p>
        </w:tc>
        <w:tc>
          <w:tcPr>
            <w:tcW w:w="2410" w:type="dxa"/>
            <w:tcBorders>
              <w:top w:val="single" w:sz="6" w:space="0" w:color="auto"/>
              <w:left w:val="nil"/>
              <w:bottom w:val="single" w:sz="12" w:space="0" w:color="auto"/>
              <w:right w:val="nil"/>
            </w:tcBorders>
            <w:shd w:val="clear" w:color="auto" w:fill="auto"/>
          </w:tcPr>
          <w:p w:rsidR="00DC48A1" w:rsidRPr="006E709F" w:rsidRDefault="00DC48A1" w:rsidP="00CF67DD">
            <w:pPr>
              <w:pStyle w:val="TableHeading"/>
              <w:rPr>
                <w:sz w:val="16"/>
                <w:szCs w:val="16"/>
              </w:rPr>
            </w:pPr>
            <w:r w:rsidRPr="006E709F">
              <w:rPr>
                <w:sz w:val="16"/>
                <w:szCs w:val="16"/>
              </w:rPr>
              <w:t>Actual asset allocation (% of total assets (including derivatives) in the investment option)</w:t>
            </w:r>
          </w:p>
        </w:tc>
        <w:tc>
          <w:tcPr>
            <w:tcW w:w="2551" w:type="dxa"/>
            <w:tcBorders>
              <w:top w:val="single" w:sz="6" w:space="0" w:color="auto"/>
              <w:left w:val="nil"/>
              <w:bottom w:val="single" w:sz="12" w:space="0" w:color="auto"/>
              <w:right w:val="nil"/>
            </w:tcBorders>
            <w:shd w:val="clear" w:color="auto" w:fill="auto"/>
          </w:tcPr>
          <w:p w:rsidR="00DC48A1" w:rsidRPr="006E709F" w:rsidRDefault="00DC48A1" w:rsidP="00CF67DD">
            <w:pPr>
              <w:pStyle w:val="TableHeading"/>
              <w:rPr>
                <w:sz w:val="16"/>
                <w:szCs w:val="16"/>
              </w:rPr>
            </w:pPr>
            <w:r w:rsidRPr="006E709F">
              <w:rPr>
                <w:sz w:val="16"/>
                <w:szCs w:val="16"/>
              </w:rPr>
              <w:t>Effect of derivatives exposure (% of total assets (including derivatives) in the investment option)</w:t>
            </w:r>
          </w:p>
        </w:tc>
      </w:tr>
      <w:tr w:rsidR="00DC48A1" w:rsidRPr="006E709F" w:rsidTr="00CF67DD">
        <w:tc>
          <w:tcPr>
            <w:tcW w:w="3539" w:type="dxa"/>
            <w:tcBorders>
              <w:top w:val="single" w:sz="2" w:space="0" w:color="auto"/>
              <w:left w:val="nil"/>
              <w:bottom w:val="single" w:sz="2" w:space="0" w:color="auto"/>
              <w:right w:val="nil"/>
            </w:tcBorders>
            <w:shd w:val="clear" w:color="auto" w:fill="auto"/>
          </w:tcPr>
          <w:p w:rsidR="00DC48A1" w:rsidRPr="006E709F" w:rsidRDefault="00DC48A1" w:rsidP="00CF67DD">
            <w:pPr>
              <w:rPr>
                <w:sz w:val="16"/>
                <w:szCs w:val="16"/>
              </w:rPr>
            </w:pPr>
            <w:r w:rsidRPr="006E709F">
              <w:rPr>
                <w:sz w:val="16"/>
                <w:szCs w:val="16"/>
              </w:rPr>
              <w:t>Cash</w:t>
            </w:r>
          </w:p>
        </w:tc>
        <w:tc>
          <w:tcPr>
            <w:tcW w:w="2410"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c>
          <w:tcPr>
            <w:tcW w:w="2551"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r>
      <w:tr w:rsidR="00DC48A1" w:rsidRPr="006E709F" w:rsidTr="00CF67DD">
        <w:trPr>
          <w:trHeight w:val="61"/>
        </w:trPr>
        <w:tc>
          <w:tcPr>
            <w:tcW w:w="3539" w:type="dxa"/>
            <w:tcBorders>
              <w:top w:val="single" w:sz="2" w:space="0" w:color="auto"/>
              <w:left w:val="nil"/>
              <w:bottom w:val="single" w:sz="2" w:space="0" w:color="auto"/>
              <w:right w:val="nil"/>
            </w:tcBorders>
            <w:shd w:val="clear" w:color="auto" w:fill="auto"/>
          </w:tcPr>
          <w:p w:rsidR="00DC48A1" w:rsidRPr="006E709F" w:rsidRDefault="00DC48A1" w:rsidP="00CF67DD">
            <w:pPr>
              <w:rPr>
                <w:sz w:val="16"/>
                <w:szCs w:val="16"/>
              </w:rPr>
            </w:pPr>
            <w:r w:rsidRPr="006E709F">
              <w:rPr>
                <w:sz w:val="16"/>
                <w:szCs w:val="16"/>
              </w:rPr>
              <w:t>Fixed Income</w:t>
            </w:r>
          </w:p>
        </w:tc>
        <w:tc>
          <w:tcPr>
            <w:tcW w:w="2410"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c>
          <w:tcPr>
            <w:tcW w:w="2551"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r>
      <w:tr w:rsidR="00DC48A1" w:rsidRPr="006E709F" w:rsidTr="00CF67DD">
        <w:tc>
          <w:tcPr>
            <w:tcW w:w="3539" w:type="dxa"/>
            <w:tcBorders>
              <w:top w:val="single" w:sz="2" w:space="0" w:color="auto"/>
              <w:left w:val="nil"/>
              <w:bottom w:val="single" w:sz="2" w:space="0" w:color="auto"/>
              <w:right w:val="nil"/>
            </w:tcBorders>
            <w:shd w:val="clear" w:color="auto" w:fill="auto"/>
          </w:tcPr>
          <w:p w:rsidR="00DC48A1" w:rsidRPr="006E709F" w:rsidRDefault="00DC48A1" w:rsidP="00CF67DD">
            <w:pPr>
              <w:rPr>
                <w:sz w:val="16"/>
                <w:szCs w:val="16"/>
              </w:rPr>
            </w:pPr>
            <w:r w:rsidRPr="006E709F">
              <w:rPr>
                <w:sz w:val="16"/>
                <w:szCs w:val="16"/>
              </w:rPr>
              <w:t>Equities</w:t>
            </w:r>
          </w:p>
        </w:tc>
        <w:tc>
          <w:tcPr>
            <w:tcW w:w="2410"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c>
          <w:tcPr>
            <w:tcW w:w="2551"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r>
      <w:tr w:rsidR="00DC48A1" w:rsidRPr="006E709F" w:rsidTr="00CF67DD">
        <w:tc>
          <w:tcPr>
            <w:tcW w:w="3539" w:type="dxa"/>
            <w:tcBorders>
              <w:top w:val="single" w:sz="2" w:space="0" w:color="auto"/>
              <w:left w:val="nil"/>
              <w:bottom w:val="single" w:sz="2" w:space="0" w:color="auto"/>
              <w:right w:val="nil"/>
            </w:tcBorders>
            <w:shd w:val="clear" w:color="auto" w:fill="auto"/>
          </w:tcPr>
          <w:p w:rsidR="00DC48A1" w:rsidRPr="006E709F" w:rsidRDefault="00DC48A1" w:rsidP="00CF67DD">
            <w:pPr>
              <w:rPr>
                <w:sz w:val="16"/>
                <w:szCs w:val="16"/>
              </w:rPr>
            </w:pPr>
            <w:r w:rsidRPr="006E709F">
              <w:rPr>
                <w:sz w:val="16"/>
                <w:szCs w:val="16"/>
              </w:rPr>
              <w:t>Property</w:t>
            </w:r>
          </w:p>
        </w:tc>
        <w:tc>
          <w:tcPr>
            <w:tcW w:w="2410"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c>
          <w:tcPr>
            <w:tcW w:w="2551"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r>
      <w:tr w:rsidR="00DC48A1" w:rsidRPr="006E709F" w:rsidTr="00CF67DD">
        <w:tc>
          <w:tcPr>
            <w:tcW w:w="3539" w:type="dxa"/>
            <w:tcBorders>
              <w:top w:val="single" w:sz="2" w:space="0" w:color="auto"/>
              <w:left w:val="nil"/>
              <w:bottom w:val="single" w:sz="2" w:space="0" w:color="auto"/>
              <w:right w:val="nil"/>
            </w:tcBorders>
            <w:shd w:val="clear" w:color="auto" w:fill="auto"/>
          </w:tcPr>
          <w:p w:rsidR="00DC48A1" w:rsidRPr="006E709F" w:rsidRDefault="00DC48A1" w:rsidP="00CF67DD">
            <w:pPr>
              <w:rPr>
                <w:sz w:val="16"/>
                <w:szCs w:val="16"/>
              </w:rPr>
            </w:pPr>
            <w:r w:rsidRPr="006E709F">
              <w:rPr>
                <w:sz w:val="16"/>
                <w:szCs w:val="16"/>
              </w:rPr>
              <w:t>Infrastructure</w:t>
            </w:r>
          </w:p>
        </w:tc>
        <w:tc>
          <w:tcPr>
            <w:tcW w:w="2410"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c>
          <w:tcPr>
            <w:tcW w:w="2551"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r>
      <w:tr w:rsidR="00DC48A1" w:rsidRPr="006E709F" w:rsidTr="00CF67DD">
        <w:tc>
          <w:tcPr>
            <w:tcW w:w="3539" w:type="dxa"/>
            <w:tcBorders>
              <w:top w:val="single" w:sz="2" w:space="0" w:color="auto"/>
              <w:left w:val="nil"/>
              <w:bottom w:val="single" w:sz="2" w:space="0" w:color="auto"/>
              <w:right w:val="nil"/>
            </w:tcBorders>
            <w:shd w:val="clear" w:color="auto" w:fill="auto"/>
          </w:tcPr>
          <w:p w:rsidR="00DC48A1" w:rsidRPr="006E709F" w:rsidRDefault="00DC48A1" w:rsidP="00CF67DD">
            <w:pPr>
              <w:rPr>
                <w:sz w:val="16"/>
                <w:szCs w:val="16"/>
              </w:rPr>
            </w:pPr>
            <w:r w:rsidRPr="006E709F">
              <w:rPr>
                <w:sz w:val="16"/>
                <w:szCs w:val="16"/>
              </w:rPr>
              <w:t>Alternatives</w:t>
            </w:r>
          </w:p>
        </w:tc>
        <w:tc>
          <w:tcPr>
            <w:tcW w:w="2410"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c>
          <w:tcPr>
            <w:tcW w:w="2551" w:type="dxa"/>
            <w:tcBorders>
              <w:top w:val="single" w:sz="2" w:space="0" w:color="auto"/>
              <w:left w:val="nil"/>
              <w:bottom w:val="single" w:sz="2" w:space="0" w:color="auto"/>
              <w:right w:val="nil"/>
            </w:tcBorders>
            <w:shd w:val="clear" w:color="auto" w:fill="auto"/>
          </w:tcPr>
          <w:p w:rsidR="00DC48A1" w:rsidRPr="006E709F" w:rsidRDefault="00DC48A1" w:rsidP="00CF67DD">
            <w:pPr>
              <w:pStyle w:val="Tabletext"/>
              <w:rPr>
                <w:sz w:val="16"/>
                <w:szCs w:val="16"/>
              </w:rPr>
            </w:pPr>
          </w:p>
        </w:tc>
      </w:tr>
      <w:tr w:rsidR="00DC48A1" w:rsidRPr="006E709F" w:rsidTr="00CF67DD">
        <w:tc>
          <w:tcPr>
            <w:tcW w:w="3539" w:type="dxa"/>
            <w:tcBorders>
              <w:top w:val="single" w:sz="2" w:space="0" w:color="auto"/>
              <w:left w:val="nil"/>
              <w:bottom w:val="single" w:sz="12" w:space="0" w:color="auto"/>
              <w:right w:val="nil"/>
            </w:tcBorders>
            <w:shd w:val="clear" w:color="auto" w:fill="auto"/>
          </w:tcPr>
          <w:p w:rsidR="00DC48A1" w:rsidRPr="006E709F" w:rsidRDefault="00DC48A1" w:rsidP="00CF67DD">
            <w:pPr>
              <w:pStyle w:val="TableHeading"/>
              <w:rPr>
                <w:sz w:val="16"/>
                <w:szCs w:val="16"/>
              </w:rPr>
            </w:pPr>
            <w:r w:rsidRPr="006E709F">
              <w:rPr>
                <w:sz w:val="16"/>
                <w:szCs w:val="16"/>
              </w:rPr>
              <w:t>Total</w:t>
            </w:r>
          </w:p>
        </w:tc>
        <w:tc>
          <w:tcPr>
            <w:tcW w:w="2410" w:type="dxa"/>
            <w:tcBorders>
              <w:top w:val="single" w:sz="2" w:space="0" w:color="auto"/>
              <w:left w:val="nil"/>
              <w:bottom w:val="single" w:sz="12" w:space="0" w:color="auto"/>
              <w:right w:val="nil"/>
            </w:tcBorders>
            <w:shd w:val="clear" w:color="auto" w:fill="auto"/>
          </w:tcPr>
          <w:p w:rsidR="00DC48A1" w:rsidRPr="006E709F" w:rsidRDefault="00DC48A1" w:rsidP="00CF67DD">
            <w:pPr>
              <w:pStyle w:val="Tabletext"/>
              <w:rPr>
                <w:sz w:val="16"/>
                <w:szCs w:val="16"/>
              </w:rPr>
            </w:pPr>
          </w:p>
        </w:tc>
        <w:tc>
          <w:tcPr>
            <w:tcW w:w="2551" w:type="dxa"/>
            <w:tcBorders>
              <w:top w:val="single" w:sz="2" w:space="0" w:color="auto"/>
              <w:left w:val="nil"/>
              <w:bottom w:val="single" w:sz="12" w:space="0" w:color="auto"/>
              <w:right w:val="nil"/>
            </w:tcBorders>
            <w:shd w:val="clear" w:color="auto" w:fill="auto"/>
          </w:tcPr>
          <w:p w:rsidR="00DC48A1" w:rsidRPr="006E709F" w:rsidRDefault="00DC48A1" w:rsidP="00CF67DD">
            <w:pPr>
              <w:pStyle w:val="Tabletext"/>
              <w:rPr>
                <w:sz w:val="16"/>
                <w:szCs w:val="16"/>
              </w:rPr>
            </w:pPr>
          </w:p>
        </w:tc>
      </w:tr>
    </w:tbl>
    <w:p w:rsidR="00DC48A1" w:rsidRPr="006E709F" w:rsidRDefault="00DC48A1" w:rsidP="00DC48A1">
      <w:pPr>
        <w:pStyle w:val="ActHead5"/>
      </w:pPr>
      <w:bookmarkStart w:id="55" w:name="_Toc160609744"/>
      <w:r w:rsidRPr="000C4237">
        <w:rPr>
          <w:rStyle w:val="CharSectno"/>
        </w:rPr>
        <w:t>4</w:t>
      </w:r>
      <w:r w:rsidRPr="006E709F">
        <w:t xml:space="preserve">  Table 4—Derivatives by currency</w:t>
      </w:r>
      <w:bookmarkEnd w:id="55"/>
    </w:p>
    <w:p w:rsidR="00DC48A1" w:rsidRPr="006E709F" w:rsidRDefault="00DC48A1" w:rsidP="00DC48A1">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3539"/>
        <w:gridCol w:w="2410"/>
        <w:gridCol w:w="2551"/>
      </w:tblGrid>
      <w:tr w:rsidR="00DC48A1" w:rsidRPr="006E709F" w:rsidTr="00CF67DD">
        <w:trPr>
          <w:tblHeader/>
        </w:trPr>
        <w:tc>
          <w:tcPr>
            <w:tcW w:w="8500" w:type="dxa"/>
            <w:gridSpan w:val="3"/>
            <w:tcBorders>
              <w:top w:val="single" w:sz="12" w:space="0" w:color="auto"/>
              <w:bottom w:val="single" w:sz="12" w:space="0" w:color="auto"/>
            </w:tcBorders>
            <w:shd w:val="clear" w:color="auto" w:fill="auto"/>
          </w:tcPr>
          <w:p w:rsidR="00DC48A1" w:rsidRPr="006E709F" w:rsidRDefault="00DC48A1" w:rsidP="00CF67DD">
            <w:pPr>
              <w:pStyle w:val="TableHeading"/>
              <w:rPr>
                <w:sz w:val="16"/>
              </w:rPr>
            </w:pPr>
            <w:r w:rsidRPr="006E709F">
              <w:rPr>
                <w:sz w:val="16"/>
              </w:rPr>
              <w:t>Portfolio Holdings Information for Investment Option [A]—Derivatives by Currency</w:t>
            </w:r>
          </w:p>
        </w:tc>
      </w:tr>
      <w:tr w:rsidR="00DC48A1" w:rsidRPr="006E709F" w:rsidTr="00CF67DD">
        <w:trPr>
          <w:tblHeader/>
        </w:trPr>
        <w:tc>
          <w:tcPr>
            <w:tcW w:w="3539" w:type="dxa"/>
            <w:tcBorders>
              <w:top w:val="single" w:sz="12" w:space="0" w:color="auto"/>
              <w:bottom w:val="single" w:sz="12" w:space="0" w:color="auto"/>
            </w:tcBorders>
            <w:shd w:val="clear" w:color="auto" w:fill="auto"/>
          </w:tcPr>
          <w:p w:rsidR="00DC48A1" w:rsidRPr="006E709F" w:rsidRDefault="00DC48A1" w:rsidP="00CF67DD">
            <w:pPr>
              <w:rPr>
                <w:b/>
                <w:bCs/>
                <w:sz w:val="16"/>
              </w:rPr>
            </w:pPr>
            <w:r w:rsidRPr="006E709F">
              <w:rPr>
                <w:b/>
                <w:bCs/>
                <w:sz w:val="16"/>
              </w:rPr>
              <w:t>Currency exposure</w:t>
            </w:r>
          </w:p>
        </w:tc>
        <w:tc>
          <w:tcPr>
            <w:tcW w:w="2410" w:type="dxa"/>
            <w:tcBorders>
              <w:top w:val="single" w:sz="12" w:space="0" w:color="auto"/>
              <w:bottom w:val="single" w:sz="12" w:space="0" w:color="auto"/>
            </w:tcBorders>
            <w:shd w:val="clear" w:color="auto" w:fill="auto"/>
          </w:tcPr>
          <w:p w:rsidR="00DC48A1" w:rsidRPr="006E709F" w:rsidRDefault="00DC48A1" w:rsidP="00CF67DD">
            <w:pPr>
              <w:pStyle w:val="TableHeading"/>
              <w:rPr>
                <w:sz w:val="16"/>
              </w:rPr>
            </w:pPr>
            <w:r w:rsidRPr="006E709F">
              <w:rPr>
                <w:sz w:val="16"/>
              </w:rPr>
              <w:t>Actual currency exposure (% of assets and derivatives under management)</w:t>
            </w:r>
          </w:p>
        </w:tc>
        <w:tc>
          <w:tcPr>
            <w:tcW w:w="2551" w:type="dxa"/>
            <w:tcBorders>
              <w:top w:val="single" w:sz="12" w:space="0" w:color="auto"/>
              <w:bottom w:val="single" w:sz="12" w:space="0" w:color="auto"/>
            </w:tcBorders>
            <w:shd w:val="clear" w:color="auto" w:fill="auto"/>
          </w:tcPr>
          <w:p w:rsidR="00DC48A1" w:rsidRPr="006E709F" w:rsidRDefault="00DC48A1" w:rsidP="00CF67DD">
            <w:pPr>
              <w:pStyle w:val="TableHeading"/>
              <w:rPr>
                <w:sz w:val="16"/>
              </w:rPr>
            </w:pPr>
            <w:r w:rsidRPr="006E709F">
              <w:rPr>
                <w:sz w:val="16"/>
              </w:rPr>
              <w:t>Effect of derivatives exposure (% of assets and derivatives under management)</w:t>
            </w:r>
          </w:p>
        </w:tc>
      </w:tr>
      <w:tr w:rsidR="00DC48A1" w:rsidRPr="006E709F" w:rsidTr="00CF67DD">
        <w:tc>
          <w:tcPr>
            <w:tcW w:w="3539" w:type="dxa"/>
            <w:tcBorders>
              <w:top w:val="single" w:sz="12" w:space="0" w:color="auto"/>
            </w:tcBorders>
            <w:shd w:val="clear" w:color="auto" w:fill="auto"/>
          </w:tcPr>
          <w:p w:rsidR="00DC48A1" w:rsidRPr="006E709F" w:rsidRDefault="00DC48A1" w:rsidP="00CF67DD">
            <w:pPr>
              <w:rPr>
                <w:sz w:val="16"/>
              </w:rPr>
            </w:pPr>
            <w:r w:rsidRPr="006E709F">
              <w:rPr>
                <w:sz w:val="16"/>
              </w:rPr>
              <w:t>AUD</w:t>
            </w:r>
          </w:p>
        </w:tc>
        <w:tc>
          <w:tcPr>
            <w:tcW w:w="2410" w:type="dxa"/>
            <w:tcBorders>
              <w:top w:val="single" w:sz="12" w:space="0" w:color="auto"/>
            </w:tcBorders>
            <w:shd w:val="clear" w:color="auto" w:fill="auto"/>
          </w:tcPr>
          <w:p w:rsidR="00DC48A1" w:rsidRPr="006E709F" w:rsidRDefault="00DC48A1" w:rsidP="00CF67DD">
            <w:pPr>
              <w:pStyle w:val="Tabletext"/>
              <w:rPr>
                <w:sz w:val="16"/>
              </w:rPr>
            </w:pPr>
          </w:p>
        </w:tc>
        <w:tc>
          <w:tcPr>
            <w:tcW w:w="2551" w:type="dxa"/>
            <w:tcBorders>
              <w:top w:val="single" w:sz="12" w:space="0" w:color="auto"/>
            </w:tcBorders>
            <w:shd w:val="clear" w:color="auto" w:fill="auto"/>
          </w:tcPr>
          <w:p w:rsidR="00DC48A1" w:rsidRPr="006E709F" w:rsidRDefault="00DC48A1" w:rsidP="00CF67DD">
            <w:pPr>
              <w:pStyle w:val="Tabletext"/>
              <w:rPr>
                <w:sz w:val="16"/>
              </w:rPr>
            </w:pPr>
          </w:p>
        </w:tc>
      </w:tr>
      <w:tr w:rsidR="00DC48A1" w:rsidRPr="006E709F" w:rsidTr="00CF67DD">
        <w:tc>
          <w:tcPr>
            <w:tcW w:w="3539" w:type="dxa"/>
            <w:shd w:val="clear" w:color="auto" w:fill="auto"/>
          </w:tcPr>
          <w:p w:rsidR="00DC48A1" w:rsidRPr="006E709F" w:rsidRDefault="00DC48A1" w:rsidP="00CF67DD">
            <w:pPr>
              <w:rPr>
                <w:sz w:val="16"/>
              </w:rPr>
            </w:pPr>
            <w:r w:rsidRPr="006E709F">
              <w:rPr>
                <w:sz w:val="16"/>
              </w:rPr>
              <w:t>USD</w:t>
            </w:r>
          </w:p>
        </w:tc>
        <w:tc>
          <w:tcPr>
            <w:tcW w:w="2410" w:type="dxa"/>
            <w:shd w:val="clear" w:color="auto" w:fill="auto"/>
          </w:tcPr>
          <w:p w:rsidR="00DC48A1" w:rsidRPr="006E709F" w:rsidRDefault="00DC48A1" w:rsidP="00CF67DD">
            <w:pPr>
              <w:pStyle w:val="Tabletext"/>
              <w:rPr>
                <w:sz w:val="16"/>
              </w:rPr>
            </w:pPr>
          </w:p>
        </w:tc>
        <w:tc>
          <w:tcPr>
            <w:tcW w:w="2551" w:type="dxa"/>
            <w:shd w:val="clear" w:color="auto" w:fill="auto"/>
          </w:tcPr>
          <w:p w:rsidR="00DC48A1" w:rsidRPr="006E709F" w:rsidRDefault="00DC48A1" w:rsidP="00CF67DD">
            <w:pPr>
              <w:pStyle w:val="Tabletext"/>
              <w:rPr>
                <w:sz w:val="16"/>
              </w:rPr>
            </w:pPr>
          </w:p>
        </w:tc>
      </w:tr>
      <w:tr w:rsidR="00DC48A1" w:rsidRPr="006E709F" w:rsidTr="00CF67DD">
        <w:tc>
          <w:tcPr>
            <w:tcW w:w="3539" w:type="dxa"/>
            <w:tcBorders>
              <w:bottom w:val="single" w:sz="2" w:space="0" w:color="auto"/>
            </w:tcBorders>
            <w:shd w:val="clear" w:color="auto" w:fill="auto"/>
          </w:tcPr>
          <w:p w:rsidR="00DC48A1" w:rsidRPr="006E709F" w:rsidRDefault="00DC48A1" w:rsidP="00CF67DD">
            <w:pPr>
              <w:rPr>
                <w:sz w:val="16"/>
              </w:rPr>
            </w:pPr>
            <w:r w:rsidRPr="006E709F">
              <w:rPr>
                <w:sz w:val="16"/>
              </w:rPr>
              <w:t>Currencies of other developed markets</w:t>
            </w:r>
          </w:p>
        </w:tc>
        <w:tc>
          <w:tcPr>
            <w:tcW w:w="2410" w:type="dxa"/>
            <w:tcBorders>
              <w:bottom w:val="single" w:sz="2" w:space="0" w:color="auto"/>
            </w:tcBorders>
            <w:shd w:val="clear" w:color="auto" w:fill="auto"/>
          </w:tcPr>
          <w:p w:rsidR="00DC48A1" w:rsidRPr="006E709F" w:rsidRDefault="00DC48A1" w:rsidP="00CF67DD">
            <w:pPr>
              <w:pStyle w:val="Tabletext"/>
              <w:rPr>
                <w:sz w:val="16"/>
              </w:rPr>
            </w:pPr>
          </w:p>
        </w:tc>
        <w:tc>
          <w:tcPr>
            <w:tcW w:w="2551" w:type="dxa"/>
            <w:tcBorders>
              <w:bottom w:val="single" w:sz="2" w:space="0" w:color="auto"/>
            </w:tcBorders>
            <w:shd w:val="clear" w:color="auto" w:fill="auto"/>
          </w:tcPr>
          <w:p w:rsidR="00DC48A1" w:rsidRPr="006E709F" w:rsidRDefault="00DC48A1" w:rsidP="00CF67DD">
            <w:pPr>
              <w:pStyle w:val="Tabletext"/>
              <w:rPr>
                <w:sz w:val="16"/>
              </w:rPr>
            </w:pPr>
          </w:p>
        </w:tc>
      </w:tr>
      <w:tr w:rsidR="00DC48A1" w:rsidRPr="006E709F" w:rsidTr="00CF67DD">
        <w:tc>
          <w:tcPr>
            <w:tcW w:w="3539" w:type="dxa"/>
            <w:tcBorders>
              <w:bottom w:val="single" w:sz="12" w:space="0" w:color="auto"/>
            </w:tcBorders>
            <w:shd w:val="clear" w:color="auto" w:fill="auto"/>
          </w:tcPr>
          <w:p w:rsidR="00DC48A1" w:rsidRPr="006E709F" w:rsidRDefault="00DC48A1" w:rsidP="00CF67DD">
            <w:pPr>
              <w:rPr>
                <w:sz w:val="16"/>
              </w:rPr>
            </w:pPr>
            <w:r w:rsidRPr="006E709F">
              <w:rPr>
                <w:sz w:val="16"/>
              </w:rPr>
              <w:t>Currencies of emerging markets</w:t>
            </w:r>
          </w:p>
        </w:tc>
        <w:tc>
          <w:tcPr>
            <w:tcW w:w="2410" w:type="dxa"/>
            <w:tcBorders>
              <w:bottom w:val="single" w:sz="12" w:space="0" w:color="auto"/>
            </w:tcBorders>
            <w:shd w:val="clear" w:color="auto" w:fill="auto"/>
          </w:tcPr>
          <w:p w:rsidR="00DC48A1" w:rsidRPr="006E709F" w:rsidRDefault="00DC48A1" w:rsidP="00CF67DD">
            <w:pPr>
              <w:pStyle w:val="Tabletext"/>
              <w:rPr>
                <w:sz w:val="16"/>
              </w:rPr>
            </w:pPr>
          </w:p>
        </w:tc>
        <w:tc>
          <w:tcPr>
            <w:tcW w:w="2551" w:type="dxa"/>
            <w:tcBorders>
              <w:bottom w:val="single" w:sz="12" w:space="0" w:color="auto"/>
            </w:tcBorders>
            <w:shd w:val="clear" w:color="auto" w:fill="auto"/>
          </w:tcPr>
          <w:p w:rsidR="00DC48A1" w:rsidRPr="006E709F" w:rsidRDefault="00DC48A1" w:rsidP="00CF67DD">
            <w:pPr>
              <w:pStyle w:val="Tabletext"/>
              <w:rPr>
                <w:sz w:val="16"/>
              </w:rPr>
            </w:pPr>
          </w:p>
        </w:tc>
      </w:tr>
    </w:tbl>
    <w:p w:rsidR="00FF5814" w:rsidRPr="006E709F" w:rsidRDefault="00FF5814" w:rsidP="00A801D0">
      <w:pPr>
        <w:pStyle w:val="ActHead1"/>
        <w:pageBreakBefore/>
      </w:pPr>
      <w:bookmarkStart w:id="56" w:name="_Toc160609745"/>
      <w:r w:rsidRPr="000C4237">
        <w:rPr>
          <w:rStyle w:val="CharChapNo"/>
        </w:rPr>
        <w:t>Schedule</w:t>
      </w:r>
      <w:r w:rsidR="00DA13DE" w:rsidRPr="000C4237">
        <w:rPr>
          <w:rStyle w:val="CharChapNo"/>
        </w:rPr>
        <w:t> </w:t>
      </w:r>
      <w:r w:rsidRPr="000C4237">
        <w:rPr>
          <w:rStyle w:val="CharChapNo"/>
        </w:rPr>
        <w:t>9</w:t>
      </w:r>
      <w:r w:rsidR="00A801D0" w:rsidRPr="006E709F">
        <w:t>—</w:t>
      </w:r>
      <w:r w:rsidRPr="000C4237">
        <w:rPr>
          <w:rStyle w:val="CharChapText"/>
        </w:rPr>
        <w:t>Companies authorised to effect transfers under Part</w:t>
      </w:r>
      <w:r w:rsidR="00DA13DE" w:rsidRPr="000C4237">
        <w:rPr>
          <w:rStyle w:val="CharChapText"/>
        </w:rPr>
        <w:t> </w:t>
      </w:r>
      <w:r w:rsidRPr="000C4237">
        <w:rPr>
          <w:rStyle w:val="CharChapText"/>
        </w:rPr>
        <w:t>7.11 of the Act</w:t>
      </w:r>
      <w:bookmarkEnd w:id="56"/>
    </w:p>
    <w:p w:rsidR="00FF5814" w:rsidRPr="006E709F" w:rsidRDefault="00FF5814" w:rsidP="00A801D0">
      <w:pPr>
        <w:pStyle w:val="notemargin"/>
      </w:pPr>
      <w:r w:rsidRPr="006E709F">
        <w:rPr>
          <w:color w:val="000000"/>
        </w:rPr>
        <w:t>(</w:t>
      </w:r>
      <w:r w:rsidR="005378CE" w:rsidRPr="006E709F">
        <w:rPr>
          <w:color w:val="000000"/>
        </w:rPr>
        <w:t>regulation 7</w:t>
      </w:r>
      <w:r w:rsidRPr="006E709F">
        <w:rPr>
          <w:color w:val="000000"/>
        </w:rPr>
        <w:t>.11.01</w:t>
      </w:r>
      <w:r w:rsidRPr="006E709F">
        <w:t>,</w:t>
      </w:r>
      <w:r w:rsidR="00E376FA" w:rsidRPr="006E709F">
        <w:t xml:space="preserve"> </w:t>
      </w:r>
      <w:r w:rsidRPr="006E709F">
        <w:t>definition</w:t>
      </w:r>
      <w:r w:rsidR="00E376FA" w:rsidRPr="006E709F">
        <w:t xml:space="preserve"> </w:t>
      </w:r>
      <w:r w:rsidRPr="006E709F">
        <w:t>of</w:t>
      </w:r>
      <w:r w:rsidR="00E376FA" w:rsidRPr="006E709F">
        <w:t xml:space="preserve"> </w:t>
      </w:r>
      <w:r w:rsidRPr="006E709F">
        <w:rPr>
          <w:b/>
          <w:i/>
        </w:rPr>
        <w:t>beneficial</w:t>
      </w:r>
      <w:r w:rsidR="00E376FA" w:rsidRPr="006E709F">
        <w:rPr>
          <w:b/>
          <w:i/>
        </w:rPr>
        <w:t xml:space="preserve"> </w:t>
      </w:r>
      <w:r w:rsidRPr="006E709F">
        <w:rPr>
          <w:b/>
          <w:i/>
        </w:rPr>
        <w:t>owner</w:t>
      </w:r>
      <w:r w:rsidRPr="006E709F">
        <w:rPr>
          <w:color w:val="000000"/>
        </w:rPr>
        <w:t>)</w:t>
      </w:r>
    </w:p>
    <w:p w:rsidR="00FF5814" w:rsidRPr="006E709F" w:rsidRDefault="00A801D0" w:rsidP="00FF5814">
      <w:pPr>
        <w:pStyle w:val="Header"/>
      </w:pPr>
      <w:r w:rsidRPr="000C4237">
        <w:rPr>
          <w:rStyle w:val="CharPartNo"/>
        </w:rPr>
        <w:t xml:space="preserve"> </w:t>
      </w:r>
      <w:r w:rsidRPr="000C4237">
        <w:rPr>
          <w:rStyle w:val="CharPartText"/>
        </w:rPr>
        <w:t xml:space="preserve"> </w:t>
      </w:r>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7"/>
        <w:gridCol w:w="7732"/>
      </w:tblGrid>
      <w:tr w:rsidR="00FF5814" w:rsidRPr="006E709F" w:rsidTr="00E118FA">
        <w:trPr>
          <w:tblHeader/>
        </w:trPr>
        <w:tc>
          <w:tcPr>
            <w:tcW w:w="467" w:type="pct"/>
            <w:tcBorders>
              <w:top w:val="single" w:sz="12" w:space="0" w:color="auto"/>
              <w:bottom w:val="single" w:sz="12" w:space="0" w:color="auto"/>
            </w:tcBorders>
            <w:shd w:val="clear" w:color="auto" w:fill="auto"/>
          </w:tcPr>
          <w:p w:rsidR="00FF5814" w:rsidRPr="006E709F" w:rsidRDefault="00FF5814" w:rsidP="008C457C">
            <w:pPr>
              <w:pStyle w:val="TableHeading"/>
            </w:pPr>
            <w:r w:rsidRPr="006E709F">
              <w:t>Item</w:t>
            </w:r>
          </w:p>
        </w:tc>
        <w:tc>
          <w:tcPr>
            <w:tcW w:w="4533" w:type="pct"/>
            <w:tcBorders>
              <w:top w:val="single" w:sz="12" w:space="0" w:color="auto"/>
              <w:bottom w:val="single" w:sz="12" w:space="0" w:color="auto"/>
            </w:tcBorders>
            <w:shd w:val="clear" w:color="auto" w:fill="auto"/>
          </w:tcPr>
          <w:p w:rsidR="00FF5814" w:rsidRPr="006E709F" w:rsidRDefault="00FF5814" w:rsidP="008C457C">
            <w:pPr>
              <w:pStyle w:val="TableHeading"/>
            </w:pPr>
            <w:r w:rsidRPr="006E709F">
              <w:t>Companies</w:t>
            </w:r>
          </w:p>
        </w:tc>
      </w:tr>
      <w:tr w:rsidR="00FF5814" w:rsidRPr="006E709F" w:rsidTr="00E118FA">
        <w:tc>
          <w:tcPr>
            <w:tcW w:w="467" w:type="pct"/>
            <w:tcBorders>
              <w:top w:val="single" w:sz="12" w:space="0" w:color="auto"/>
            </w:tcBorders>
            <w:shd w:val="clear" w:color="auto" w:fill="auto"/>
          </w:tcPr>
          <w:p w:rsidR="00FF5814" w:rsidRPr="006E709F" w:rsidRDefault="00FF5814" w:rsidP="00A801D0">
            <w:pPr>
              <w:pStyle w:val="Tabletext"/>
            </w:pPr>
            <w:r w:rsidRPr="006E709F">
              <w:t>1</w:t>
            </w:r>
          </w:p>
        </w:tc>
        <w:tc>
          <w:tcPr>
            <w:tcW w:w="4533" w:type="pct"/>
            <w:tcBorders>
              <w:top w:val="single" w:sz="12" w:space="0" w:color="auto"/>
            </w:tcBorders>
            <w:shd w:val="clear" w:color="auto" w:fill="auto"/>
          </w:tcPr>
          <w:p w:rsidR="00FF5814" w:rsidRPr="006E709F" w:rsidRDefault="00FF5814" w:rsidP="00A801D0">
            <w:pPr>
              <w:pStyle w:val="Tabletext"/>
            </w:pPr>
            <w:r w:rsidRPr="006E709F">
              <w:t>ANZ Nominees Limited</w:t>
            </w:r>
          </w:p>
        </w:tc>
      </w:tr>
      <w:tr w:rsidR="00FF5814" w:rsidRPr="006E709F" w:rsidTr="00E118FA">
        <w:tc>
          <w:tcPr>
            <w:tcW w:w="467" w:type="pct"/>
            <w:shd w:val="clear" w:color="auto" w:fill="auto"/>
          </w:tcPr>
          <w:p w:rsidR="00FF5814" w:rsidRPr="006E709F" w:rsidRDefault="00FF5814" w:rsidP="00A801D0">
            <w:pPr>
              <w:pStyle w:val="Tabletext"/>
            </w:pPr>
            <w:r w:rsidRPr="006E709F">
              <w:t>2</w:t>
            </w:r>
          </w:p>
        </w:tc>
        <w:tc>
          <w:tcPr>
            <w:tcW w:w="4533" w:type="pct"/>
            <w:shd w:val="clear" w:color="auto" w:fill="auto"/>
          </w:tcPr>
          <w:p w:rsidR="00FF5814" w:rsidRPr="006E709F" w:rsidRDefault="00FF5814" w:rsidP="00A801D0">
            <w:pPr>
              <w:pStyle w:val="Tabletext"/>
            </w:pPr>
            <w:r w:rsidRPr="006E709F">
              <w:t>CHESS Depositary Nominees Pty Limited</w:t>
            </w:r>
          </w:p>
        </w:tc>
      </w:tr>
      <w:tr w:rsidR="00FF5814" w:rsidRPr="006E709F" w:rsidTr="00E118FA">
        <w:tc>
          <w:tcPr>
            <w:tcW w:w="467" w:type="pct"/>
            <w:shd w:val="clear" w:color="auto" w:fill="auto"/>
          </w:tcPr>
          <w:p w:rsidR="00FF5814" w:rsidRPr="006E709F" w:rsidRDefault="00FF5814" w:rsidP="00A801D0">
            <w:pPr>
              <w:pStyle w:val="Tabletext"/>
            </w:pPr>
            <w:r w:rsidRPr="006E709F">
              <w:t>3</w:t>
            </w:r>
          </w:p>
        </w:tc>
        <w:tc>
          <w:tcPr>
            <w:tcW w:w="4533" w:type="pct"/>
            <w:shd w:val="clear" w:color="auto" w:fill="auto"/>
          </w:tcPr>
          <w:p w:rsidR="00FF5814" w:rsidRPr="006E709F" w:rsidRDefault="00FF5814" w:rsidP="00A801D0">
            <w:pPr>
              <w:pStyle w:val="Tabletext"/>
            </w:pPr>
            <w:r w:rsidRPr="006E709F">
              <w:t>Equity Nominees Limited</w:t>
            </w:r>
          </w:p>
        </w:tc>
      </w:tr>
      <w:tr w:rsidR="00FF5814" w:rsidRPr="006E709F" w:rsidTr="00E118FA">
        <w:tc>
          <w:tcPr>
            <w:tcW w:w="467" w:type="pct"/>
            <w:shd w:val="clear" w:color="auto" w:fill="auto"/>
          </w:tcPr>
          <w:p w:rsidR="00FF5814" w:rsidRPr="006E709F" w:rsidRDefault="00FF5814" w:rsidP="00A801D0">
            <w:pPr>
              <w:pStyle w:val="Tabletext"/>
            </w:pPr>
            <w:r w:rsidRPr="006E709F">
              <w:t>4</w:t>
            </w:r>
          </w:p>
        </w:tc>
        <w:tc>
          <w:tcPr>
            <w:tcW w:w="4533" w:type="pct"/>
            <w:shd w:val="clear" w:color="auto" w:fill="auto"/>
          </w:tcPr>
          <w:p w:rsidR="00FF5814" w:rsidRPr="006E709F" w:rsidRDefault="00FF5814" w:rsidP="00A801D0">
            <w:pPr>
              <w:pStyle w:val="Tabletext"/>
            </w:pPr>
            <w:r w:rsidRPr="006E709F">
              <w:t>National Nominees Limited</w:t>
            </w:r>
          </w:p>
        </w:tc>
      </w:tr>
      <w:tr w:rsidR="00FF5814" w:rsidRPr="006E709F" w:rsidTr="00E118FA">
        <w:tc>
          <w:tcPr>
            <w:tcW w:w="467" w:type="pct"/>
            <w:shd w:val="clear" w:color="auto" w:fill="auto"/>
          </w:tcPr>
          <w:p w:rsidR="00FF5814" w:rsidRPr="006E709F" w:rsidRDefault="00FF5814" w:rsidP="00A801D0">
            <w:pPr>
              <w:pStyle w:val="Tabletext"/>
            </w:pPr>
            <w:r w:rsidRPr="006E709F">
              <w:t>5</w:t>
            </w:r>
          </w:p>
        </w:tc>
        <w:tc>
          <w:tcPr>
            <w:tcW w:w="4533" w:type="pct"/>
            <w:shd w:val="clear" w:color="auto" w:fill="auto"/>
          </w:tcPr>
          <w:p w:rsidR="00FF5814" w:rsidRPr="006E709F" w:rsidRDefault="00FF5814" w:rsidP="00A801D0">
            <w:pPr>
              <w:pStyle w:val="Tabletext"/>
            </w:pPr>
            <w:r w:rsidRPr="006E709F">
              <w:t>Perpetual Nominees Limited</w:t>
            </w:r>
          </w:p>
        </w:tc>
      </w:tr>
      <w:tr w:rsidR="00FF5814" w:rsidRPr="006E709F" w:rsidTr="00E118FA">
        <w:tc>
          <w:tcPr>
            <w:tcW w:w="467" w:type="pct"/>
            <w:shd w:val="clear" w:color="auto" w:fill="auto"/>
          </w:tcPr>
          <w:p w:rsidR="00FF5814" w:rsidRPr="006E709F" w:rsidRDefault="00FF5814" w:rsidP="00A801D0">
            <w:pPr>
              <w:pStyle w:val="Tabletext"/>
            </w:pPr>
            <w:r w:rsidRPr="006E709F">
              <w:t>6</w:t>
            </w:r>
          </w:p>
        </w:tc>
        <w:tc>
          <w:tcPr>
            <w:tcW w:w="4533" w:type="pct"/>
            <w:shd w:val="clear" w:color="auto" w:fill="auto"/>
          </w:tcPr>
          <w:p w:rsidR="00FF5814" w:rsidRPr="006E709F" w:rsidRDefault="00FF5814" w:rsidP="00A801D0">
            <w:pPr>
              <w:pStyle w:val="Tabletext"/>
            </w:pPr>
            <w:r w:rsidRPr="006E709F">
              <w:t>Sepon (Australia) Pty Limited</w:t>
            </w:r>
          </w:p>
        </w:tc>
      </w:tr>
      <w:tr w:rsidR="00FF5814" w:rsidRPr="006E709F" w:rsidTr="00E118FA">
        <w:tc>
          <w:tcPr>
            <w:tcW w:w="467" w:type="pct"/>
            <w:shd w:val="clear" w:color="auto" w:fill="auto"/>
          </w:tcPr>
          <w:p w:rsidR="00FF5814" w:rsidRPr="006E709F" w:rsidRDefault="00FF5814" w:rsidP="00A801D0">
            <w:pPr>
              <w:pStyle w:val="Tabletext"/>
            </w:pPr>
            <w:r w:rsidRPr="006E709F">
              <w:t>7</w:t>
            </w:r>
          </w:p>
        </w:tc>
        <w:tc>
          <w:tcPr>
            <w:tcW w:w="4533" w:type="pct"/>
            <w:shd w:val="clear" w:color="auto" w:fill="auto"/>
          </w:tcPr>
          <w:p w:rsidR="00FF5814" w:rsidRPr="006E709F" w:rsidRDefault="00FF5814" w:rsidP="00A801D0">
            <w:pPr>
              <w:pStyle w:val="Tabletext"/>
            </w:pPr>
            <w:r w:rsidRPr="006E709F">
              <w:t>State Street Australia Ltd</w:t>
            </w:r>
          </w:p>
        </w:tc>
      </w:tr>
      <w:tr w:rsidR="00FF5814" w:rsidRPr="006E709F" w:rsidTr="00E118FA">
        <w:tc>
          <w:tcPr>
            <w:tcW w:w="467" w:type="pct"/>
            <w:tcBorders>
              <w:bottom w:val="single" w:sz="4" w:space="0" w:color="auto"/>
            </w:tcBorders>
            <w:shd w:val="clear" w:color="auto" w:fill="auto"/>
          </w:tcPr>
          <w:p w:rsidR="00FF5814" w:rsidRPr="006E709F" w:rsidRDefault="00FF5814" w:rsidP="00A801D0">
            <w:pPr>
              <w:pStyle w:val="Tabletext"/>
            </w:pPr>
            <w:r w:rsidRPr="006E709F">
              <w:t>8</w:t>
            </w:r>
          </w:p>
        </w:tc>
        <w:tc>
          <w:tcPr>
            <w:tcW w:w="4533" w:type="pct"/>
            <w:tcBorders>
              <w:bottom w:val="single" w:sz="4" w:space="0" w:color="auto"/>
            </w:tcBorders>
            <w:shd w:val="clear" w:color="auto" w:fill="auto"/>
          </w:tcPr>
          <w:p w:rsidR="00FF5814" w:rsidRPr="006E709F" w:rsidRDefault="00FF5814" w:rsidP="00A801D0">
            <w:pPr>
              <w:pStyle w:val="Tabletext"/>
            </w:pPr>
            <w:r w:rsidRPr="006E709F">
              <w:t>The Trust Company (Nominees) Limited</w:t>
            </w:r>
          </w:p>
        </w:tc>
      </w:tr>
      <w:tr w:rsidR="00FF5814" w:rsidRPr="006E709F" w:rsidTr="00E118FA">
        <w:tc>
          <w:tcPr>
            <w:tcW w:w="467" w:type="pct"/>
            <w:tcBorders>
              <w:bottom w:val="single" w:sz="12" w:space="0" w:color="auto"/>
            </w:tcBorders>
            <w:shd w:val="clear" w:color="auto" w:fill="auto"/>
          </w:tcPr>
          <w:p w:rsidR="00FF5814" w:rsidRPr="006E709F" w:rsidRDefault="00FF5814" w:rsidP="00A801D0">
            <w:pPr>
              <w:pStyle w:val="Tabletext"/>
            </w:pPr>
            <w:r w:rsidRPr="006E709F">
              <w:t>9</w:t>
            </w:r>
          </w:p>
        </w:tc>
        <w:tc>
          <w:tcPr>
            <w:tcW w:w="4533" w:type="pct"/>
            <w:tcBorders>
              <w:bottom w:val="single" w:sz="12" w:space="0" w:color="auto"/>
            </w:tcBorders>
            <w:shd w:val="clear" w:color="auto" w:fill="auto"/>
          </w:tcPr>
          <w:p w:rsidR="00FF5814" w:rsidRPr="006E709F" w:rsidRDefault="00FF5814" w:rsidP="00A801D0">
            <w:pPr>
              <w:pStyle w:val="Tabletext"/>
            </w:pPr>
            <w:r w:rsidRPr="006E709F">
              <w:t>The Trust Company (PTAL) Limited</w:t>
            </w:r>
          </w:p>
        </w:tc>
      </w:tr>
    </w:tbl>
    <w:p w:rsidR="00C648C9" w:rsidRPr="006E709F" w:rsidRDefault="00C648C9" w:rsidP="00583C00">
      <w:pPr>
        <w:sectPr w:rsidR="00C648C9" w:rsidRPr="006E709F" w:rsidSect="0052661F">
          <w:headerReference w:type="even" r:id="rId45"/>
          <w:headerReference w:type="default" r:id="rId46"/>
          <w:footerReference w:type="even" r:id="rId47"/>
          <w:footerReference w:type="default" r:id="rId48"/>
          <w:headerReference w:type="first" r:id="rId49"/>
          <w:footerReference w:type="first" r:id="rId50"/>
          <w:pgSz w:w="11907" w:h="16839" w:code="9"/>
          <w:pgMar w:top="2325" w:right="1797" w:bottom="1440" w:left="1797" w:header="720" w:footer="709" w:gutter="0"/>
          <w:cols w:space="720"/>
          <w:docGrid w:linePitch="299"/>
        </w:sectPr>
      </w:pPr>
    </w:p>
    <w:p w:rsidR="002A22A4" w:rsidRPr="006E709F" w:rsidRDefault="00A801D0" w:rsidP="00A801D0">
      <w:pPr>
        <w:pStyle w:val="ActHead1"/>
        <w:pageBreakBefore/>
      </w:pPr>
      <w:bookmarkStart w:id="57" w:name="_Toc160609746"/>
      <w:r w:rsidRPr="000C4237">
        <w:rPr>
          <w:rStyle w:val="CharChapNo"/>
        </w:rPr>
        <w:t>Schedule</w:t>
      </w:r>
      <w:r w:rsidR="00DA13DE" w:rsidRPr="000C4237">
        <w:rPr>
          <w:rStyle w:val="CharChapNo"/>
        </w:rPr>
        <w:t> </w:t>
      </w:r>
      <w:r w:rsidR="002A22A4" w:rsidRPr="000C4237">
        <w:rPr>
          <w:rStyle w:val="CharChapNo"/>
        </w:rPr>
        <w:t>10</w:t>
      </w:r>
      <w:r w:rsidRPr="006E709F">
        <w:t>—</w:t>
      </w:r>
      <w:r w:rsidR="002A22A4" w:rsidRPr="000C4237">
        <w:rPr>
          <w:rStyle w:val="CharChapText"/>
        </w:rPr>
        <w:t>Disclosure of fees and other costs</w:t>
      </w:r>
      <w:bookmarkEnd w:id="57"/>
    </w:p>
    <w:p w:rsidR="002A22A4" w:rsidRPr="006E709F" w:rsidRDefault="002A22A4" w:rsidP="00A801D0">
      <w:pPr>
        <w:pStyle w:val="notemargin"/>
      </w:pPr>
      <w:r w:rsidRPr="006E709F">
        <w:t>(regulations</w:t>
      </w:r>
      <w:r w:rsidR="00DA13DE" w:rsidRPr="006E709F">
        <w:t> </w:t>
      </w:r>
      <w:r w:rsidRPr="006E709F">
        <w:t>7.9.16K, 7.9.16M and 7.9.16N)</w:t>
      </w:r>
    </w:p>
    <w:p w:rsidR="002A22A4" w:rsidRPr="006E709F" w:rsidRDefault="00A801D0" w:rsidP="00A801D0">
      <w:pPr>
        <w:pStyle w:val="ActHead2"/>
      </w:pPr>
      <w:bookmarkStart w:id="58" w:name="f_Check_Lines_above"/>
      <w:bookmarkStart w:id="59" w:name="_Toc160609747"/>
      <w:bookmarkEnd w:id="58"/>
      <w:r w:rsidRPr="000C4237">
        <w:rPr>
          <w:rStyle w:val="CharPartNo"/>
        </w:rPr>
        <w:t>Part</w:t>
      </w:r>
      <w:r w:rsidR="00DA13DE" w:rsidRPr="000C4237">
        <w:rPr>
          <w:rStyle w:val="CharPartNo"/>
        </w:rPr>
        <w:t> </w:t>
      </w:r>
      <w:r w:rsidR="002A22A4" w:rsidRPr="000C4237">
        <w:rPr>
          <w:rStyle w:val="CharPartNo"/>
        </w:rPr>
        <w:t>1</w:t>
      </w:r>
      <w:r w:rsidRPr="006E709F">
        <w:t>—</w:t>
      </w:r>
      <w:r w:rsidR="002A22A4" w:rsidRPr="000C4237">
        <w:rPr>
          <w:rStyle w:val="CharPartText"/>
        </w:rPr>
        <w:t>Interpretation</w:t>
      </w:r>
      <w:bookmarkEnd w:id="59"/>
    </w:p>
    <w:p w:rsidR="002A22A4" w:rsidRPr="006E709F" w:rsidRDefault="002A22A4" w:rsidP="00D5406C">
      <w:pPr>
        <w:pStyle w:val="ActHead5"/>
      </w:pPr>
      <w:bookmarkStart w:id="60" w:name="_Toc160609748"/>
      <w:r w:rsidRPr="000C4237">
        <w:rPr>
          <w:rStyle w:val="CharSectno"/>
        </w:rPr>
        <w:t>101</w:t>
      </w:r>
      <w:r w:rsidR="00A801D0" w:rsidRPr="006E709F">
        <w:t xml:space="preserve">  </w:t>
      </w:r>
      <w:r w:rsidRPr="006E709F">
        <w:t>Definitions</w:t>
      </w:r>
      <w:bookmarkEnd w:id="60"/>
    </w:p>
    <w:p w:rsidR="002A22A4" w:rsidRPr="006E709F" w:rsidRDefault="002A22A4" w:rsidP="00A801D0">
      <w:pPr>
        <w:pStyle w:val="subsection"/>
      </w:pPr>
      <w:r w:rsidRPr="006E709F">
        <w:tab/>
      </w:r>
      <w:r w:rsidRPr="006E709F">
        <w:tab/>
        <w:t>In this Schedule:</w:t>
      </w:r>
    </w:p>
    <w:p w:rsidR="00677261" w:rsidRPr="006E709F" w:rsidRDefault="00677261" w:rsidP="00677261">
      <w:pPr>
        <w:pStyle w:val="Definition"/>
      </w:pPr>
      <w:r w:rsidRPr="006E709F">
        <w:rPr>
          <w:b/>
          <w:i/>
        </w:rPr>
        <w:t>activity fee</w:t>
      </w:r>
      <w:r w:rsidRPr="006E709F">
        <w:t>, for a superannuation product, has the meaning given by subsection</w:t>
      </w:r>
      <w:r w:rsidR="00DA13DE" w:rsidRPr="006E709F">
        <w:t> </w:t>
      </w:r>
      <w:r w:rsidRPr="006E709F">
        <w:t>29V(7) of the SIS Act.</w:t>
      </w:r>
    </w:p>
    <w:p w:rsidR="00677261" w:rsidRPr="006E709F" w:rsidRDefault="00677261" w:rsidP="00677261">
      <w:pPr>
        <w:pStyle w:val="Definition"/>
      </w:pPr>
      <w:r w:rsidRPr="006E709F">
        <w:rPr>
          <w:b/>
          <w:i/>
        </w:rPr>
        <w:t>administration fee</w:t>
      </w:r>
      <w:r w:rsidRPr="006E709F">
        <w:t>, for a superannuation product, has the meaning given by subsection</w:t>
      </w:r>
      <w:r w:rsidR="00DA13DE" w:rsidRPr="006E709F">
        <w:t> </w:t>
      </w:r>
      <w:r w:rsidRPr="006E709F">
        <w:t>29V(2) of the SIS Act.</w:t>
      </w:r>
    </w:p>
    <w:p w:rsidR="00677261" w:rsidRPr="006E709F" w:rsidRDefault="00677261" w:rsidP="00677261">
      <w:pPr>
        <w:pStyle w:val="Definition"/>
      </w:pPr>
      <w:r w:rsidRPr="006E709F">
        <w:rPr>
          <w:b/>
          <w:i/>
        </w:rPr>
        <w:t>advice fee</w:t>
      </w:r>
      <w:r w:rsidRPr="006E709F">
        <w:t>:</w:t>
      </w:r>
    </w:p>
    <w:p w:rsidR="00677261" w:rsidRPr="006E709F" w:rsidRDefault="00677261" w:rsidP="00677261">
      <w:pPr>
        <w:pStyle w:val="paragraph"/>
      </w:pPr>
      <w:r w:rsidRPr="006E709F">
        <w:tab/>
        <w:t>(a)</w:t>
      </w:r>
      <w:r w:rsidRPr="006E709F">
        <w:tab/>
        <w:t>for a superannuation product—has the meaning given by subsection</w:t>
      </w:r>
      <w:r w:rsidR="00DA13DE" w:rsidRPr="006E709F">
        <w:t> </w:t>
      </w:r>
      <w:r w:rsidRPr="006E709F">
        <w:t>29V(8) of the SIS Act; and</w:t>
      </w:r>
    </w:p>
    <w:p w:rsidR="00677261" w:rsidRPr="006E709F" w:rsidRDefault="00677261" w:rsidP="00677261">
      <w:pPr>
        <w:pStyle w:val="paragraph"/>
      </w:pPr>
      <w:r w:rsidRPr="006E709F">
        <w:tab/>
        <w:t>(b)</w:t>
      </w:r>
      <w:r w:rsidRPr="006E709F">
        <w:tab/>
        <w:t xml:space="preserve">for a </w:t>
      </w:r>
      <w:r w:rsidR="00A7652F" w:rsidRPr="006E709F">
        <w:t>collective investment product</w:t>
      </w:r>
      <w:r w:rsidRPr="006E709F">
        <w:t>—means an amount that is:</w:t>
      </w:r>
    </w:p>
    <w:p w:rsidR="00677261" w:rsidRPr="006E709F" w:rsidRDefault="00677261" w:rsidP="00677261">
      <w:pPr>
        <w:pStyle w:val="paragraphsub"/>
      </w:pPr>
      <w:r w:rsidRPr="006E709F">
        <w:tab/>
        <w:t>(i)</w:t>
      </w:r>
      <w:r w:rsidRPr="006E709F">
        <w:tab/>
        <w:t>paid or payable to a financial adviser for financial product advice to a retail client or product holder about an investment; and</w:t>
      </w:r>
    </w:p>
    <w:p w:rsidR="00677261" w:rsidRPr="006E709F" w:rsidRDefault="00677261" w:rsidP="00677261">
      <w:pPr>
        <w:pStyle w:val="paragraphsub"/>
      </w:pPr>
      <w:r w:rsidRPr="006E709F">
        <w:tab/>
        <w:t>(ii)</w:t>
      </w:r>
      <w:r w:rsidRPr="006E709F">
        <w:tab/>
        <w:t>not included in a contribution fee, withdrawal fee, exit fee, establishment fee or management cost.</w:t>
      </w:r>
    </w:p>
    <w:p w:rsidR="002A22A4" w:rsidRPr="006E709F" w:rsidRDefault="002A22A4" w:rsidP="00A801D0">
      <w:pPr>
        <w:pStyle w:val="Definition"/>
      </w:pPr>
      <w:r w:rsidRPr="006E709F">
        <w:rPr>
          <w:b/>
          <w:i/>
        </w:rPr>
        <w:t>balanced investment option</w:t>
      </w:r>
      <w:r w:rsidRPr="006E709F">
        <w:t xml:space="preserve"> means an investment option in which the ratio of investment in growth assets, such as shares or property, to investment in defensive assets, such as cash or bonds, is as close as practicable to 70:30.</w:t>
      </w:r>
    </w:p>
    <w:p w:rsidR="002A22A4" w:rsidRPr="006E709F" w:rsidRDefault="002A22A4" w:rsidP="00A801D0">
      <w:pPr>
        <w:pStyle w:val="Definition"/>
      </w:pPr>
      <w:r w:rsidRPr="006E709F">
        <w:rPr>
          <w:b/>
          <w:i/>
        </w:rPr>
        <w:t>brokerage</w:t>
      </w:r>
      <w:r w:rsidRPr="006E709F">
        <w:t xml:space="preserve"> means an amount paid or payable to a broker for undertaking a transaction for the acquisition or disposal of a financial product.</w:t>
      </w:r>
    </w:p>
    <w:p w:rsidR="00677261" w:rsidRPr="006E709F" w:rsidRDefault="00677261" w:rsidP="00677261">
      <w:pPr>
        <w:pStyle w:val="Definition"/>
      </w:pPr>
      <w:r w:rsidRPr="006E709F">
        <w:rPr>
          <w:b/>
          <w:i/>
        </w:rPr>
        <w:t>buy</w:t>
      </w:r>
      <w:r w:rsidR="000C4237">
        <w:rPr>
          <w:b/>
          <w:i/>
        </w:rPr>
        <w:noBreakHyphen/>
      </w:r>
      <w:r w:rsidRPr="006E709F">
        <w:rPr>
          <w:b/>
          <w:i/>
        </w:rPr>
        <w:t>sell spread</w:t>
      </w:r>
      <w:r w:rsidRPr="006E709F">
        <w:t>:</w:t>
      </w:r>
    </w:p>
    <w:p w:rsidR="00677261" w:rsidRPr="006E709F" w:rsidRDefault="00677261" w:rsidP="00677261">
      <w:pPr>
        <w:pStyle w:val="paragraph"/>
      </w:pPr>
      <w:r w:rsidRPr="006E709F">
        <w:tab/>
        <w:t>(a)</w:t>
      </w:r>
      <w:r w:rsidRPr="006E709F">
        <w:tab/>
        <w:t>for a superannuation product—has the meaning given by subsection</w:t>
      </w:r>
      <w:r w:rsidR="00DA13DE" w:rsidRPr="006E709F">
        <w:t> </w:t>
      </w:r>
      <w:r w:rsidRPr="006E709F">
        <w:t>29V(4) of the SIS Act; or</w:t>
      </w:r>
    </w:p>
    <w:p w:rsidR="00677261" w:rsidRPr="006E709F" w:rsidRDefault="00677261" w:rsidP="00677261">
      <w:pPr>
        <w:pStyle w:val="paragraph"/>
      </w:pPr>
      <w:r w:rsidRPr="006E709F">
        <w:tab/>
        <w:t>(b)</w:t>
      </w:r>
      <w:r w:rsidRPr="006E709F">
        <w:tab/>
        <w:t xml:space="preserve">for a </w:t>
      </w:r>
      <w:r w:rsidR="00A7652F" w:rsidRPr="006E709F">
        <w:t>collective investment product</w:t>
      </w:r>
      <w:r w:rsidR="001C486F" w:rsidRPr="006E709F">
        <w:t xml:space="preserve"> (other than a security in a retail CCIV)</w:t>
      </w:r>
      <w:r w:rsidRPr="006E709F">
        <w:t>—means an amount, deducted from the value of a financial product of a product holder, that represents an apportionment, among product holders, of the actual or estimated transaction costs incurred by the managed investment scheme</w:t>
      </w:r>
      <w:r w:rsidR="001C486F" w:rsidRPr="006E709F">
        <w:t>; or</w:t>
      </w:r>
    </w:p>
    <w:p w:rsidR="001C486F" w:rsidRPr="006E709F" w:rsidRDefault="001C486F" w:rsidP="001C486F">
      <w:pPr>
        <w:pStyle w:val="paragraph"/>
      </w:pPr>
      <w:r w:rsidRPr="006E709F">
        <w:tab/>
        <w:t>(c)</w:t>
      </w:r>
      <w:r w:rsidRPr="006E709F">
        <w:tab/>
        <w:t>for a collective investment product that is a security in a retail CCIV that is referable to a sub</w:t>
      </w:r>
      <w:r w:rsidR="000C4237">
        <w:noBreakHyphen/>
      </w:r>
      <w:r w:rsidRPr="006E709F">
        <w:t>fund of the CCIV—means an amount, deducted from the value of the security of a product holder, that represents an apportionment, among product holders for the sub</w:t>
      </w:r>
      <w:r w:rsidR="000C4237">
        <w:noBreakHyphen/>
      </w:r>
      <w:r w:rsidRPr="006E709F">
        <w:t>fund, of the actual or estimated transaction costs incurred by the CCIV in respect of sub</w:t>
      </w:r>
      <w:r w:rsidR="000C4237">
        <w:noBreakHyphen/>
      </w:r>
      <w:r w:rsidRPr="006E709F">
        <w:t>fund.</w:t>
      </w:r>
    </w:p>
    <w:p w:rsidR="00A7652F" w:rsidRPr="006E709F" w:rsidRDefault="00A7652F" w:rsidP="00A7652F">
      <w:pPr>
        <w:pStyle w:val="Definition"/>
        <w:rPr>
          <w:highlight w:val="red"/>
        </w:rPr>
      </w:pPr>
      <w:r w:rsidRPr="006E709F">
        <w:rPr>
          <w:b/>
          <w:i/>
        </w:rPr>
        <w:t>collective investment product</w:t>
      </w:r>
      <w:r w:rsidRPr="006E709F">
        <w:rPr>
          <w:i/>
        </w:rPr>
        <w:t xml:space="preserve"> </w:t>
      </w:r>
      <w:r w:rsidRPr="006E709F">
        <w:t>means a managed investment product</w:t>
      </w:r>
      <w:r w:rsidR="001C486F" w:rsidRPr="006E709F">
        <w:t>, a security in a retail CCIV</w:t>
      </w:r>
      <w:r w:rsidRPr="006E709F">
        <w:t xml:space="preserve"> or a foreign passport fund product.</w:t>
      </w:r>
    </w:p>
    <w:p w:rsidR="002A22A4" w:rsidRPr="006E709F" w:rsidRDefault="002A22A4" w:rsidP="00A801D0">
      <w:pPr>
        <w:pStyle w:val="Definition"/>
      </w:pPr>
      <w:r w:rsidRPr="006E709F">
        <w:rPr>
          <w:b/>
          <w:i/>
        </w:rPr>
        <w:t>contribution fee</w:t>
      </w:r>
      <w:r w:rsidRPr="006E709F">
        <w:t xml:space="preserve"> means an amount paid or payable against the initial, and any subsequent, contributions made into a product by or for a retail client for the product.</w:t>
      </w:r>
    </w:p>
    <w:p w:rsidR="002A22A4" w:rsidRPr="006E709F" w:rsidRDefault="00A801D0" w:rsidP="00A801D0">
      <w:pPr>
        <w:pStyle w:val="notetext"/>
      </w:pPr>
      <w:r w:rsidRPr="006E709F">
        <w:t>Note:</w:t>
      </w:r>
      <w:r w:rsidRPr="006E709F">
        <w:tab/>
      </w:r>
      <w:r w:rsidR="002A22A4" w:rsidRPr="006E709F">
        <w:t>A contribution may be made by an employer on behalf of the product holder or retail client.</w:t>
      </w:r>
    </w:p>
    <w:p w:rsidR="002A22A4" w:rsidRPr="006E709F" w:rsidRDefault="002A22A4" w:rsidP="00A801D0">
      <w:pPr>
        <w:pStyle w:val="Definition"/>
      </w:pPr>
      <w:r w:rsidRPr="006E709F">
        <w:rPr>
          <w:b/>
          <w:i/>
        </w:rPr>
        <w:t>distribution costs</w:t>
      </w:r>
      <w:r w:rsidRPr="006E709F">
        <w:t xml:space="preserve"> means the costs or amounts paid or payable for the marketing, offer or sale of a product.</w:t>
      </w:r>
    </w:p>
    <w:p w:rsidR="002A22A4" w:rsidRPr="006E709F" w:rsidRDefault="00A801D0" w:rsidP="00A801D0">
      <w:pPr>
        <w:pStyle w:val="notetext"/>
      </w:pPr>
      <w:r w:rsidRPr="006E709F">
        <w:t>Note:</w:t>
      </w:r>
      <w:r w:rsidRPr="006E709F">
        <w:tab/>
      </w:r>
      <w:r w:rsidR="002A22A4" w:rsidRPr="006E709F">
        <w:t xml:space="preserve">This includes any related adviser remuneration component other than an </w:t>
      </w:r>
      <w:r w:rsidR="00677261" w:rsidRPr="006E709F">
        <w:t>advice fee</w:t>
      </w:r>
      <w:r w:rsidR="002A22A4" w:rsidRPr="006E709F">
        <w:t>.</w:t>
      </w:r>
    </w:p>
    <w:p w:rsidR="002A22A4" w:rsidRPr="006E709F" w:rsidRDefault="002A22A4" w:rsidP="00A801D0">
      <w:pPr>
        <w:pStyle w:val="Definition"/>
      </w:pPr>
      <w:r w:rsidRPr="006E709F">
        <w:rPr>
          <w:b/>
          <w:i/>
        </w:rPr>
        <w:t>establishment fee</w:t>
      </w:r>
      <w:r w:rsidRPr="006E709F">
        <w:t xml:space="preserve"> means an amount paid or payable for the establishment of a client’s interest in a product.</w:t>
      </w:r>
    </w:p>
    <w:p w:rsidR="002A22A4" w:rsidRPr="006E709F" w:rsidRDefault="00A801D0" w:rsidP="00A801D0">
      <w:pPr>
        <w:pStyle w:val="notetext"/>
      </w:pPr>
      <w:r w:rsidRPr="006E709F">
        <w:t>Note:</w:t>
      </w:r>
      <w:r w:rsidRPr="006E709F">
        <w:tab/>
      </w:r>
      <w:r w:rsidR="002A22A4" w:rsidRPr="006E709F">
        <w:t>This does not include contribution fees paid or payable against the initial contribution into the product.</w:t>
      </w:r>
    </w:p>
    <w:p w:rsidR="00677261" w:rsidRPr="006E709F" w:rsidRDefault="00677261" w:rsidP="00677261">
      <w:pPr>
        <w:pStyle w:val="Definition"/>
      </w:pPr>
      <w:r w:rsidRPr="006E709F">
        <w:rPr>
          <w:b/>
          <w:i/>
        </w:rPr>
        <w:t>exit fee</w:t>
      </w:r>
      <w:r w:rsidRPr="006E709F">
        <w:t>:</w:t>
      </w:r>
    </w:p>
    <w:p w:rsidR="00677261" w:rsidRPr="006E709F" w:rsidRDefault="00677261" w:rsidP="00677261">
      <w:pPr>
        <w:pStyle w:val="paragraph"/>
      </w:pPr>
      <w:r w:rsidRPr="006E709F">
        <w:tab/>
        <w:t>(a)</w:t>
      </w:r>
      <w:r w:rsidRPr="006E709F">
        <w:tab/>
        <w:t xml:space="preserve">for a superannuation product—has the meaning given by </w:t>
      </w:r>
      <w:r w:rsidR="00636892" w:rsidRPr="006E709F">
        <w:t>subsection</w:t>
      </w:r>
      <w:r w:rsidR="00DA13DE" w:rsidRPr="006E709F">
        <w:t> </w:t>
      </w:r>
      <w:r w:rsidR="00636892" w:rsidRPr="006E709F">
        <w:t>99BA(2)</w:t>
      </w:r>
      <w:r w:rsidRPr="006E709F">
        <w:t xml:space="preserve"> of the SIS Act; and</w:t>
      </w:r>
    </w:p>
    <w:p w:rsidR="00677261" w:rsidRPr="006E709F" w:rsidRDefault="00677261" w:rsidP="00677261">
      <w:pPr>
        <w:pStyle w:val="paragraph"/>
      </w:pPr>
      <w:r w:rsidRPr="006E709F">
        <w:tab/>
        <w:t>(b)</w:t>
      </w:r>
      <w:r w:rsidRPr="006E709F">
        <w:tab/>
        <w:t xml:space="preserve">for a </w:t>
      </w:r>
      <w:r w:rsidR="00A7652F" w:rsidRPr="006E709F">
        <w:t>collective investment product</w:t>
      </w:r>
      <w:r w:rsidR="001C486F" w:rsidRPr="006E709F">
        <w:t xml:space="preserve"> (other than a security in a retail CCIV)</w:t>
      </w:r>
      <w:r w:rsidRPr="006E709F">
        <w:t>—means an amount paid or payable on the disposal of all interests held in the product</w:t>
      </w:r>
      <w:r w:rsidR="001C486F" w:rsidRPr="006E709F">
        <w:t>; and</w:t>
      </w:r>
    </w:p>
    <w:p w:rsidR="001C486F" w:rsidRPr="006E709F" w:rsidRDefault="001C486F" w:rsidP="001C486F">
      <w:pPr>
        <w:pStyle w:val="paragraph"/>
      </w:pPr>
      <w:r w:rsidRPr="006E709F">
        <w:tab/>
        <w:t>(c)</w:t>
      </w:r>
      <w:r w:rsidRPr="006E709F">
        <w:tab/>
        <w:t>for a collective investment product that is a security in a retail CCIV—means an amount paid or payable on the disposal of the security.</w:t>
      </w:r>
    </w:p>
    <w:p w:rsidR="002A22A4" w:rsidRPr="006E709F" w:rsidRDefault="002A22A4" w:rsidP="00A801D0">
      <w:pPr>
        <w:pStyle w:val="Definition"/>
      </w:pPr>
      <w:r w:rsidRPr="006E709F">
        <w:rPr>
          <w:b/>
          <w:i/>
        </w:rPr>
        <w:t>incidental fees</w:t>
      </w:r>
      <w:r w:rsidRPr="006E709F">
        <w:t xml:space="preserve"> means costs or amounts, other than costs or fees defined in this clause, that are:</w:t>
      </w:r>
    </w:p>
    <w:p w:rsidR="002A22A4" w:rsidRPr="006E709F" w:rsidRDefault="002A22A4" w:rsidP="00A801D0">
      <w:pPr>
        <w:pStyle w:val="paragraph"/>
      </w:pPr>
      <w:r w:rsidRPr="006E709F">
        <w:tab/>
        <w:t>(a)</w:t>
      </w:r>
      <w:r w:rsidRPr="006E709F">
        <w:tab/>
        <w:t>paid or payable in relation to the product; and</w:t>
      </w:r>
    </w:p>
    <w:p w:rsidR="002A22A4" w:rsidRPr="006E709F" w:rsidRDefault="002A22A4" w:rsidP="00A801D0">
      <w:pPr>
        <w:pStyle w:val="paragraph"/>
      </w:pPr>
      <w:r w:rsidRPr="006E709F">
        <w:tab/>
        <w:t>(b)</w:t>
      </w:r>
      <w:r w:rsidRPr="006E709F">
        <w:tab/>
        <w:t>not material to a retail client’s decision to acquire, hold or dispose of his or her interest in the product.</w:t>
      </w:r>
    </w:p>
    <w:p w:rsidR="002A22A4" w:rsidRPr="006E709F" w:rsidRDefault="002A22A4" w:rsidP="00BF7680">
      <w:pPr>
        <w:pStyle w:val="notetext"/>
      </w:pPr>
      <w:r w:rsidRPr="006E709F">
        <w:t>Example</w:t>
      </w:r>
      <w:r w:rsidR="00B51393" w:rsidRPr="006E709F">
        <w:t>:</w:t>
      </w:r>
      <w:r w:rsidR="00B51393" w:rsidRPr="006E709F">
        <w:tab/>
      </w:r>
      <w:r w:rsidRPr="006E709F">
        <w:t>Cheque dishonour fees.</w:t>
      </w:r>
    </w:p>
    <w:p w:rsidR="00677261" w:rsidRPr="006E709F" w:rsidRDefault="00677261" w:rsidP="00677261">
      <w:pPr>
        <w:pStyle w:val="Definition"/>
      </w:pPr>
      <w:r w:rsidRPr="006E709F">
        <w:rPr>
          <w:b/>
          <w:i/>
        </w:rPr>
        <w:t>indirect cost</w:t>
      </w:r>
      <w:r w:rsidRPr="006E709F">
        <w:t xml:space="preserve"> of a MySuper product or an investment option offered by a superannuation entity means any amount that:</w:t>
      </w:r>
    </w:p>
    <w:p w:rsidR="00677261" w:rsidRPr="006E709F" w:rsidRDefault="00677261" w:rsidP="00677261">
      <w:pPr>
        <w:pStyle w:val="paragraph"/>
      </w:pPr>
      <w:r w:rsidRPr="006E709F">
        <w:tab/>
        <w:t>(a)</w:t>
      </w:r>
      <w:r w:rsidRPr="006E709F">
        <w:tab/>
        <w:t>a trustee of the entity knows, or reasonably ought to know, will directly or indirectly reduce the return on the investment of a member of the entity in the MySuper product or investment option; and</w:t>
      </w:r>
    </w:p>
    <w:p w:rsidR="00677261" w:rsidRPr="006E709F" w:rsidRDefault="00677261" w:rsidP="00677261">
      <w:pPr>
        <w:pStyle w:val="paragraph"/>
      </w:pPr>
      <w:r w:rsidRPr="006E709F">
        <w:tab/>
        <w:t>(b)</w:t>
      </w:r>
      <w:r w:rsidRPr="006E709F">
        <w:tab/>
        <w:t>is not charged to the member as a fee.</w:t>
      </w:r>
    </w:p>
    <w:p w:rsidR="00677261" w:rsidRPr="006E709F" w:rsidRDefault="00677261" w:rsidP="00677261">
      <w:pPr>
        <w:pStyle w:val="Definition"/>
      </w:pPr>
      <w:r w:rsidRPr="006E709F">
        <w:rPr>
          <w:b/>
          <w:i/>
        </w:rPr>
        <w:t>insurance fee</w:t>
      </w:r>
      <w:r w:rsidRPr="006E709F">
        <w:t>, for a superannuation product, has the meaning given by subsection</w:t>
      </w:r>
      <w:r w:rsidR="00DA13DE" w:rsidRPr="006E709F">
        <w:t> </w:t>
      </w:r>
      <w:r w:rsidRPr="006E709F">
        <w:t>29V(9) of the SIS Act.</w:t>
      </w:r>
    </w:p>
    <w:p w:rsidR="00677261" w:rsidRPr="006E709F" w:rsidRDefault="00677261" w:rsidP="00677261">
      <w:pPr>
        <w:pStyle w:val="Definition"/>
      </w:pPr>
      <w:r w:rsidRPr="006E709F">
        <w:rPr>
          <w:b/>
          <w:i/>
        </w:rPr>
        <w:t>investment fee</w:t>
      </w:r>
      <w:r w:rsidRPr="006E709F">
        <w:t>, for a superannuation product, has the meaning given by subsection</w:t>
      </w:r>
      <w:r w:rsidR="00DA13DE" w:rsidRPr="006E709F">
        <w:t> </w:t>
      </w:r>
      <w:r w:rsidRPr="006E709F">
        <w:t>29V(3) of the SIS Act.</w:t>
      </w:r>
    </w:p>
    <w:p w:rsidR="00677261" w:rsidRPr="006E709F" w:rsidRDefault="00677261" w:rsidP="00677261">
      <w:pPr>
        <w:pStyle w:val="Definition"/>
      </w:pPr>
      <w:r w:rsidRPr="006E709F">
        <w:rPr>
          <w:b/>
          <w:i/>
        </w:rPr>
        <w:t>lifecycle MySuper product</w:t>
      </w:r>
      <w:r w:rsidRPr="006E709F">
        <w:t xml:space="preserve"> has the meaning given by </w:t>
      </w:r>
      <w:r w:rsidR="005378CE" w:rsidRPr="006E709F">
        <w:t>regulation 7</w:t>
      </w:r>
      <w:r w:rsidRPr="006E709F">
        <w:t>.9.07N.</w:t>
      </w:r>
    </w:p>
    <w:p w:rsidR="00677261" w:rsidRPr="006E709F" w:rsidRDefault="00677261" w:rsidP="00677261">
      <w:pPr>
        <w:pStyle w:val="Definition"/>
      </w:pPr>
      <w:r w:rsidRPr="006E709F">
        <w:rPr>
          <w:b/>
          <w:i/>
        </w:rPr>
        <w:t>lifecycle stage</w:t>
      </w:r>
      <w:r w:rsidRPr="006E709F">
        <w:t xml:space="preserve"> has the meaning given by </w:t>
      </w:r>
      <w:r w:rsidR="005378CE" w:rsidRPr="006E709F">
        <w:t>regulation 7</w:t>
      </w:r>
      <w:r w:rsidRPr="006E709F">
        <w:t>.9.07N.</w:t>
      </w:r>
    </w:p>
    <w:p w:rsidR="00677261" w:rsidRPr="006E709F" w:rsidRDefault="00677261" w:rsidP="00677261">
      <w:pPr>
        <w:pStyle w:val="Definition"/>
      </w:pPr>
      <w:r w:rsidRPr="006E709F">
        <w:rPr>
          <w:b/>
          <w:i/>
        </w:rPr>
        <w:t>performance</w:t>
      </w:r>
      <w:r w:rsidRPr="006E709F">
        <w:t xml:space="preserve">, of a </w:t>
      </w:r>
      <w:r w:rsidR="00A7652F" w:rsidRPr="006E709F">
        <w:t>collective investment product</w:t>
      </w:r>
      <w:r w:rsidRPr="006E709F">
        <w:t>, a superannuation product, a MySuper product or an investment option, includes:</w:t>
      </w:r>
    </w:p>
    <w:p w:rsidR="00677261" w:rsidRPr="006E709F" w:rsidRDefault="00677261" w:rsidP="00677261">
      <w:pPr>
        <w:pStyle w:val="paragraph"/>
      </w:pPr>
      <w:r w:rsidRPr="006E709F">
        <w:tab/>
        <w:t>(a)</w:t>
      </w:r>
      <w:r w:rsidRPr="006E709F">
        <w:tab/>
        <w:t xml:space="preserve">income in relation to the assets of, or attributed to, the </w:t>
      </w:r>
      <w:r w:rsidR="00A7652F" w:rsidRPr="006E709F">
        <w:t>collective investment product</w:t>
      </w:r>
      <w:r w:rsidRPr="006E709F">
        <w:t>, the superannuation product, the MySuper product or the investment option; and</w:t>
      </w:r>
    </w:p>
    <w:p w:rsidR="00677261" w:rsidRPr="006E709F" w:rsidRDefault="00677261" w:rsidP="00677261">
      <w:pPr>
        <w:pStyle w:val="paragraph"/>
      </w:pPr>
      <w:r w:rsidRPr="006E709F">
        <w:tab/>
        <w:t>(b)</w:t>
      </w:r>
      <w:r w:rsidRPr="006E709F">
        <w:tab/>
        <w:t xml:space="preserve">capital appreciation (realised or unrealised) to the value of the </w:t>
      </w:r>
      <w:r w:rsidR="00A7652F" w:rsidRPr="006E709F">
        <w:t>collective investment product</w:t>
      </w:r>
      <w:r w:rsidRPr="006E709F">
        <w:t>, the superannuation product, the MySuper product or the investment option.</w:t>
      </w:r>
    </w:p>
    <w:p w:rsidR="002A22A4" w:rsidRPr="006E709F" w:rsidRDefault="002A22A4" w:rsidP="00A801D0">
      <w:pPr>
        <w:pStyle w:val="Definition"/>
      </w:pPr>
      <w:r w:rsidRPr="006E709F">
        <w:rPr>
          <w:b/>
          <w:i/>
        </w:rPr>
        <w:t>performance fee</w:t>
      </w:r>
      <w:r w:rsidRPr="006E709F">
        <w:t xml:space="preserve"> means an amount paid or payable, calculated by reference to the performance of </w:t>
      </w:r>
      <w:r w:rsidR="00677261" w:rsidRPr="006E709F">
        <w:t xml:space="preserve">a </w:t>
      </w:r>
      <w:r w:rsidR="00A7652F" w:rsidRPr="006E709F">
        <w:t>collective investment product</w:t>
      </w:r>
      <w:r w:rsidR="00677261" w:rsidRPr="006E709F">
        <w:t>, a superannuation product, a MySuper product or an investment option</w:t>
      </w:r>
      <w:r w:rsidRPr="006E709F">
        <w:t>.</w:t>
      </w:r>
    </w:p>
    <w:p w:rsidR="002A22A4" w:rsidRPr="006E709F" w:rsidRDefault="002A22A4" w:rsidP="00A801D0">
      <w:pPr>
        <w:pStyle w:val="Definition"/>
      </w:pPr>
      <w:r w:rsidRPr="006E709F">
        <w:rPr>
          <w:b/>
          <w:i/>
        </w:rPr>
        <w:t>service fees</w:t>
      </w:r>
      <w:r w:rsidRPr="006E709F">
        <w:t xml:space="preserve"> means </w:t>
      </w:r>
      <w:r w:rsidR="00677261" w:rsidRPr="006E709F">
        <w:t>advice fees</w:t>
      </w:r>
      <w:r w:rsidRPr="006E709F">
        <w:t>, special request fees and switching fees.</w:t>
      </w:r>
    </w:p>
    <w:p w:rsidR="001C486F" w:rsidRPr="006E709F" w:rsidRDefault="001C486F" w:rsidP="001C486F">
      <w:pPr>
        <w:pStyle w:val="Definition"/>
      </w:pPr>
      <w:r w:rsidRPr="006E709F">
        <w:rPr>
          <w:b/>
          <w:i/>
        </w:rPr>
        <w:t>special request fees</w:t>
      </w:r>
      <w:r w:rsidRPr="006E709F">
        <w:t xml:space="preserve"> includes fees paid or deducted from a product holder’s collective investment product for a request made to:</w:t>
      </w:r>
    </w:p>
    <w:p w:rsidR="001C486F" w:rsidRPr="006E709F" w:rsidRDefault="001C486F" w:rsidP="001C486F">
      <w:pPr>
        <w:pStyle w:val="paragraph"/>
      </w:pPr>
      <w:r w:rsidRPr="006E709F">
        <w:tab/>
        <w:t>(a)</w:t>
      </w:r>
      <w:r w:rsidRPr="006E709F">
        <w:tab/>
        <w:t>for a product that is a managed investment product for a managed investment scheme—the managed investment scheme; or</w:t>
      </w:r>
    </w:p>
    <w:p w:rsidR="001C486F" w:rsidRPr="006E709F" w:rsidRDefault="001C486F" w:rsidP="001C486F">
      <w:pPr>
        <w:pStyle w:val="paragraph"/>
      </w:pPr>
      <w:r w:rsidRPr="006E709F">
        <w:tab/>
        <w:t>(b)</w:t>
      </w:r>
      <w:r w:rsidRPr="006E709F">
        <w:tab/>
        <w:t>for a product that is a security in a retail CCIV that is referable to a sub</w:t>
      </w:r>
      <w:r w:rsidR="000C4237">
        <w:noBreakHyphen/>
      </w:r>
      <w:r w:rsidRPr="006E709F">
        <w:t>fund of the CCIV—the CCIV in respect of the sub</w:t>
      </w:r>
      <w:r w:rsidR="000C4237">
        <w:noBreakHyphen/>
      </w:r>
      <w:r w:rsidRPr="006E709F">
        <w:t>fund.</w:t>
      </w:r>
    </w:p>
    <w:p w:rsidR="001C486F" w:rsidRPr="006E709F" w:rsidRDefault="001C486F" w:rsidP="001C486F">
      <w:pPr>
        <w:pStyle w:val="notetext"/>
      </w:pPr>
      <w:r w:rsidRPr="006E709F">
        <w:t>Example:</w:t>
      </w:r>
      <w:r w:rsidRPr="006E709F">
        <w:tab/>
        <w:t>This applies to a fee for a request for additional information from a managed investment scheme.</w:t>
      </w:r>
    </w:p>
    <w:p w:rsidR="00677261" w:rsidRPr="006E709F" w:rsidRDefault="00677261" w:rsidP="00677261">
      <w:pPr>
        <w:pStyle w:val="Definition"/>
      </w:pPr>
      <w:r w:rsidRPr="006E709F">
        <w:rPr>
          <w:b/>
          <w:i/>
        </w:rPr>
        <w:t>switching fee</w:t>
      </w:r>
      <w:r w:rsidRPr="006E709F">
        <w:t>:</w:t>
      </w:r>
    </w:p>
    <w:p w:rsidR="00677261" w:rsidRPr="006E709F" w:rsidRDefault="00677261" w:rsidP="00677261">
      <w:pPr>
        <w:pStyle w:val="paragraph"/>
      </w:pPr>
      <w:r w:rsidRPr="006E709F">
        <w:tab/>
        <w:t>(a)</w:t>
      </w:r>
      <w:r w:rsidRPr="006E709F">
        <w:tab/>
        <w:t>for a superannuation product—has the meaning given by subsection</w:t>
      </w:r>
      <w:r w:rsidR="00DA13DE" w:rsidRPr="006E709F">
        <w:t> </w:t>
      </w:r>
      <w:r w:rsidRPr="006E709F">
        <w:t>29V(5) of the SIS Act; or</w:t>
      </w:r>
    </w:p>
    <w:p w:rsidR="00677261" w:rsidRPr="006E709F" w:rsidRDefault="00677261" w:rsidP="00677261">
      <w:pPr>
        <w:pStyle w:val="paragraph"/>
      </w:pPr>
      <w:r w:rsidRPr="006E709F">
        <w:tab/>
        <w:t>(b)</w:t>
      </w:r>
      <w:r w:rsidRPr="006E709F">
        <w:tab/>
        <w:t xml:space="preserve">for a </w:t>
      </w:r>
      <w:r w:rsidR="00A7652F" w:rsidRPr="006E709F">
        <w:t>collective investment product</w:t>
      </w:r>
      <w:r w:rsidRPr="006E709F">
        <w:t xml:space="preserve">—means an amount paid or payable when a product holder transfers all or part of the product holder’s interest in the </w:t>
      </w:r>
      <w:r w:rsidR="00A7652F" w:rsidRPr="006E709F">
        <w:t>collective investment product</w:t>
      </w:r>
      <w:r w:rsidRPr="006E709F">
        <w:t xml:space="preserve"> from one investment option to another.</w:t>
      </w:r>
    </w:p>
    <w:p w:rsidR="002A22A4" w:rsidRPr="006E709F" w:rsidRDefault="002A22A4" w:rsidP="00A801D0">
      <w:pPr>
        <w:pStyle w:val="Definition"/>
      </w:pPr>
      <w:r w:rsidRPr="006E709F">
        <w:rPr>
          <w:b/>
          <w:i/>
        </w:rPr>
        <w:t>withdrawal fee</w:t>
      </w:r>
      <w:r w:rsidR="00636892" w:rsidRPr="006E709F">
        <w:t>, for a collective investment product,</w:t>
      </w:r>
      <w:r w:rsidRPr="006E709F">
        <w:t xml:space="preserve"> means an amount, other than </w:t>
      </w:r>
      <w:r w:rsidR="00677261" w:rsidRPr="006E709F">
        <w:t>an exit fee</w:t>
      </w:r>
      <w:r w:rsidRPr="006E709F">
        <w:t>, paid or payable in respect of:</w:t>
      </w:r>
    </w:p>
    <w:p w:rsidR="001C486F" w:rsidRPr="006E709F" w:rsidRDefault="001C486F" w:rsidP="001C486F">
      <w:pPr>
        <w:pStyle w:val="paragraph"/>
      </w:pPr>
      <w:r w:rsidRPr="006E709F">
        <w:tab/>
        <w:t>(a)</w:t>
      </w:r>
      <w:r w:rsidRPr="006E709F">
        <w:tab/>
        <w:t>for a product (other than a security in a retail CCIV)—a withdrawal or the disposal of an interest in the product; or</w:t>
      </w:r>
    </w:p>
    <w:p w:rsidR="001C486F" w:rsidRPr="006E709F" w:rsidRDefault="001C486F" w:rsidP="001C486F">
      <w:pPr>
        <w:pStyle w:val="paragraph"/>
      </w:pPr>
      <w:r w:rsidRPr="006E709F">
        <w:tab/>
        <w:t>(b)</w:t>
      </w:r>
      <w:r w:rsidRPr="006E709F">
        <w:tab/>
        <w:t>for a product that is a security in a retail CCIV—the disposal of the security.</w:t>
      </w:r>
    </w:p>
    <w:p w:rsidR="002A22A4" w:rsidRPr="006E709F" w:rsidRDefault="002A22A4" w:rsidP="00D5406C">
      <w:pPr>
        <w:pStyle w:val="ActHead5"/>
      </w:pPr>
      <w:bookmarkStart w:id="61" w:name="_Toc160609749"/>
      <w:r w:rsidRPr="000C4237">
        <w:rPr>
          <w:rStyle w:val="CharSectno"/>
        </w:rPr>
        <w:t>102</w:t>
      </w:r>
      <w:r w:rsidR="00A801D0" w:rsidRPr="006E709F">
        <w:t xml:space="preserve">  </w:t>
      </w:r>
      <w:r w:rsidR="00CC3948" w:rsidRPr="006E709F">
        <w:t xml:space="preserve">Meaning of </w:t>
      </w:r>
      <w:r w:rsidR="00CC3948" w:rsidRPr="006E709F">
        <w:rPr>
          <w:i/>
        </w:rPr>
        <w:t>management costs</w:t>
      </w:r>
      <w:bookmarkEnd w:id="61"/>
    </w:p>
    <w:p w:rsidR="002A22A4" w:rsidRPr="006E709F" w:rsidRDefault="002A22A4" w:rsidP="00A801D0">
      <w:pPr>
        <w:pStyle w:val="subsection"/>
      </w:pPr>
      <w:r w:rsidRPr="006E709F">
        <w:tab/>
        <w:t>(1)</w:t>
      </w:r>
      <w:r w:rsidRPr="006E709F">
        <w:tab/>
      </w:r>
      <w:r w:rsidR="00677261" w:rsidRPr="006E709F">
        <w:rPr>
          <w:b/>
          <w:i/>
        </w:rPr>
        <w:t>Management costs</w:t>
      </w:r>
      <w:r w:rsidR="00677261" w:rsidRPr="006E709F">
        <w:t xml:space="preserve">, for a </w:t>
      </w:r>
      <w:r w:rsidR="0098212A" w:rsidRPr="006E709F">
        <w:t>collective investment product</w:t>
      </w:r>
      <w:r w:rsidR="00677261" w:rsidRPr="006E709F">
        <w:t>, means any of the following:</w:t>
      </w:r>
    </w:p>
    <w:p w:rsidR="00677261" w:rsidRPr="006E709F" w:rsidRDefault="00677261" w:rsidP="00677261">
      <w:pPr>
        <w:pStyle w:val="paragraph"/>
      </w:pPr>
      <w:r w:rsidRPr="006E709F">
        <w:tab/>
        <w:t>(a)</w:t>
      </w:r>
      <w:r w:rsidRPr="006E709F">
        <w:tab/>
      </w:r>
      <w:r w:rsidR="001C486F" w:rsidRPr="006E709F">
        <w:t>for a product that is a managed investment product for a managed investment scheme—</w:t>
      </w:r>
      <w:r w:rsidRPr="006E709F">
        <w:t>an amount payable for administering the managed investment scheme;</w:t>
      </w:r>
    </w:p>
    <w:p w:rsidR="001C486F" w:rsidRPr="006E709F" w:rsidRDefault="001C486F" w:rsidP="001C486F">
      <w:pPr>
        <w:pStyle w:val="paragraph"/>
      </w:pPr>
      <w:r w:rsidRPr="006E709F">
        <w:tab/>
        <w:t>(aa)</w:t>
      </w:r>
      <w:r w:rsidRPr="006E709F">
        <w:tab/>
        <w:t>for a product that is a security in a retail CCIV that is referable to a sub</w:t>
      </w:r>
      <w:r w:rsidR="000C4237">
        <w:noBreakHyphen/>
      </w:r>
      <w:r w:rsidRPr="006E709F">
        <w:t>fund of the CCIV—the amount payable for administering the sub</w:t>
      </w:r>
      <w:r w:rsidR="000C4237">
        <w:noBreakHyphen/>
      </w:r>
      <w:r w:rsidRPr="006E709F">
        <w:t>fund;</w:t>
      </w:r>
    </w:p>
    <w:p w:rsidR="002A22A4" w:rsidRPr="006E709F" w:rsidRDefault="002A22A4" w:rsidP="00A801D0">
      <w:pPr>
        <w:pStyle w:val="paragraph"/>
      </w:pPr>
      <w:r w:rsidRPr="006E709F">
        <w:tab/>
        <w:t>(b)</w:t>
      </w:r>
      <w:r w:rsidRPr="006E709F">
        <w:tab/>
        <w:t>for a custodial arrangement</w:t>
      </w:r>
      <w:r w:rsidR="00A801D0" w:rsidRPr="006E709F">
        <w:t>—</w:t>
      </w:r>
      <w:r w:rsidRPr="006E709F">
        <w:t>the cost involved, or amount paid or payable, for gaining access to, or participating in, the arrangement;</w:t>
      </w:r>
    </w:p>
    <w:p w:rsidR="002A22A4" w:rsidRPr="006E709F" w:rsidRDefault="002A22A4" w:rsidP="00A801D0">
      <w:pPr>
        <w:pStyle w:val="paragraph"/>
      </w:pPr>
      <w:r w:rsidRPr="006E709F">
        <w:tab/>
        <w:t>(c)</w:t>
      </w:r>
      <w:r w:rsidRPr="006E709F">
        <w:tab/>
        <w:t>distribution costs;</w:t>
      </w:r>
    </w:p>
    <w:p w:rsidR="001C486F" w:rsidRPr="006E709F" w:rsidRDefault="001C486F" w:rsidP="001C486F">
      <w:pPr>
        <w:pStyle w:val="paragraph"/>
      </w:pPr>
      <w:r w:rsidRPr="006E709F">
        <w:tab/>
        <w:t>(d)</w:t>
      </w:r>
      <w:r w:rsidRPr="006E709F">
        <w:tab/>
        <w:t>for a product that is a managed investment product for a managed investment scheme or is a security in a retail CCIV that is referable to a sub</w:t>
      </w:r>
      <w:r w:rsidR="000C4237">
        <w:noBreakHyphen/>
      </w:r>
      <w:r w:rsidRPr="006E709F">
        <w:t>fund of the CCIV—other expenses and reimbursements in relation to the managed investment scheme or the sub</w:t>
      </w:r>
      <w:r w:rsidR="000C4237">
        <w:noBreakHyphen/>
      </w:r>
      <w:r w:rsidRPr="006E709F">
        <w:t>fund;</w:t>
      </w:r>
    </w:p>
    <w:p w:rsidR="001C486F" w:rsidRPr="006E709F" w:rsidRDefault="001C486F" w:rsidP="001C486F">
      <w:pPr>
        <w:pStyle w:val="paragraph"/>
      </w:pPr>
      <w:r w:rsidRPr="006E709F">
        <w:tab/>
        <w:t>(e)</w:t>
      </w:r>
      <w:r w:rsidRPr="006E709F">
        <w:tab/>
        <w:t>for a product that is a managed investment product for a managed investment scheme or is a security in a retail CCIV that is referable to a sub</w:t>
      </w:r>
      <w:r w:rsidR="000C4237">
        <w:noBreakHyphen/>
      </w:r>
      <w:r w:rsidRPr="006E709F">
        <w:t>fund of the CCIV—amounts paid or payable for investing in the assets of the managed investment scheme or in the assets of the sub</w:t>
      </w:r>
      <w:r w:rsidR="000C4237">
        <w:noBreakHyphen/>
      </w:r>
      <w:r w:rsidRPr="006E709F">
        <w:t>fund;</w:t>
      </w:r>
    </w:p>
    <w:p w:rsidR="002A22A4" w:rsidRPr="006E709F" w:rsidRDefault="002A22A4" w:rsidP="00A801D0">
      <w:pPr>
        <w:pStyle w:val="paragraph"/>
      </w:pPr>
      <w:r w:rsidRPr="006E709F">
        <w:tab/>
        <w:t>(f)</w:t>
      </w:r>
      <w:r w:rsidRPr="006E709F">
        <w:tab/>
        <w:t>amounts deducted from a common fund by way of fees, costs, charges or expenses, including:</w:t>
      </w:r>
    </w:p>
    <w:p w:rsidR="002A22A4" w:rsidRPr="006E709F" w:rsidRDefault="002A22A4" w:rsidP="00A801D0">
      <w:pPr>
        <w:pStyle w:val="paragraphsub"/>
      </w:pPr>
      <w:r w:rsidRPr="006E709F">
        <w:tab/>
        <w:t>(i)</w:t>
      </w:r>
      <w:r w:rsidRPr="006E709F">
        <w:tab/>
        <w:t>amounts retrieved by an external fund manager or a product issuer; and</w:t>
      </w:r>
    </w:p>
    <w:p w:rsidR="002A22A4" w:rsidRPr="006E709F" w:rsidRDefault="002A22A4" w:rsidP="00A801D0">
      <w:pPr>
        <w:pStyle w:val="paragraphsub"/>
      </w:pPr>
      <w:r w:rsidRPr="006E709F">
        <w:tab/>
        <w:t>(ii)</w:t>
      </w:r>
      <w:r w:rsidRPr="006E709F">
        <w:tab/>
        <w:t>amounts deducted from returns before allocation to the fund;</w:t>
      </w:r>
    </w:p>
    <w:p w:rsidR="002A22A4" w:rsidRPr="006E709F" w:rsidRDefault="002A22A4" w:rsidP="00A801D0">
      <w:pPr>
        <w:pStyle w:val="paragraph"/>
      </w:pPr>
      <w:r w:rsidRPr="006E709F">
        <w:tab/>
        <w:t>(g)</w:t>
      </w:r>
      <w:r w:rsidRPr="006E709F">
        <w:tab/>
        <w:t>estimated performance fees;</w:t>
      </w:r>
    </w:p>
    <w:p w:rsidR="002A22A4" w:rsidRPr="006E709F" w:rsidRDefault="002A22A4" w:rsidP="00A801D0">
      <w:pPr>
        <w:pStyle w:val="paragraph"/>
      </w:pPr>
      <w:r w:rsidRPr="006E709F">
        <w:tab/>
        <w:t>(h)</w:t>
      </w:r>
      <w:r w:rsidRPr="006E709F">
        <w:tab/>
        <w:t>any other investment</w:t>
      </w:r>
      <w:r w:rsidR="000C4237">
        <w:noBreakHyphen/>
      </w:r>
      <w:r w:rsidRPr="006E709F">
        <w:t>related expenses and reimbursements, including any associated with custodial arrangements.</w:t>
      </w:r>
    </w:p>
    <w:p w:rsidR="002A22A4" w:rsidRPr="006E709F" w:rsidRDefault="002A22A4" w:rsidP="00A801D0">
      <w:pPr>
        <w:pStyle w:val="subsection"/>
      </w:pPr>
      <w:r w:rsidRPr="006E709F">
        <w:tab/>
        <w:t>(2)</w:t>
      </w:r>
      <w:r w:rsidRPr="006E709F">
        <w:tab/>
        <w:t>The following fees and costs are not management costs</w:t>
      </w:r>
      <w:r w:rsidR="00677261" w:rsidRPr="006E709F">
        <w:t xml:space="preserve"> for a </w:t>
      </w:r>
      <w:r w:rsidR="0098212A" w:rsidRPr="006E709F">
        <w:t>collective investment product</w:t>
      </w:r>
      <w:r w:rsidRPr="006E709F">
        <w:t>:</w:t>
      </w:r>
    </w:p>
    <w:p w:rsidR="002A22A4" w:rsidRPr="006E709F" w:rsidRDefault="002A22A4" w:rsidP="00A801D0">
      <w:pPr>
        <w:pStyle w:val="paragraph"/>
      </w:pPr>
      <w:r w:rsidRPr="006E709F">
        <w:tab/>
        <w:t>(a)</w:t>
      </w:r>
      <w:r w:rsidRPr="006E709F">
        <w:tab/>
        <w:t>a contribution fee;</w:t>
      </w:r>
    </w:p>
    <w:p w:rsidR="002A22A4" w:rsidRPr="006E709F" w:rsidRDefault="002A22A4" w:rsidP="00A801D0">
      <w:pPr>
        <w:pStyle w:val="paragraph"/>
      </w:pPr>
      <w:r w:rsidRPr="006E709F">
        <w:tab/>
        <w:t>(b)</w:t>
      </w:r>
      <w:r w:rsidRPr="006E709F">
        <w:tab/>
        <w:t>transactional and operational costs;</w:t>
      </w:r>
    </w:p>
    <w:p w:rsidR="002A22A4" w:rsidRPr="006E709F" w:rsidRDefault="002A22A4" w:rsidP="00A801D0">
      <w:pPr>
        <w:pStyle w:val="paragraph"/>
      </w:pPr>
      <w:r w:rsidRPr="006E709F">
        <w:tab/>
        <w:t>(c)</w:t>
      </w:r>
      <w:r w:rsidRPr="006E709F">
        <w:tab/>
        <w:t>an additional service fee;</w:t>
      </w:r>
    </w:p>
    <w:p w:rsidR="002A22A4" w:rsidRPr="006E709F" w:rsidRDefault="002A22A4" w:rsidP="00A801D0">
      <w:pPr>
        <w:pStyle w:val="paragraph"/>
      </w:pPr>
      <w:r w:rsidRPr="006E709F">
        <w:tab/>
        <w:t>(d)</w:t>
      </w:r>
      <w:r w:rsidRPr="006E709F">
        <w:tab/>
        <w:t>an establishment fee;</w:t>
      </w:r>
    </w:p>
    <w:p w:rsidR="002A22A4" w:rsidRPr="006E709F" w:rsidRDefault="002A22A4" w:rsidP="00A801D0">
      <w:pPr>
        <w:pStyle w:val="paragraph"/>
      </w:pPr>
      <w:r w:rsidRPr="006E709F">
        <w:tab/>
        <w:t>(e)</w:t>
      </w:r>
      <w:r w:rsidRPr="006E709F">
        <w:tab/>
        <w:t>a switching fee;</w:t>
      </w:r>
    </w:p>
    <w:p w:rsidR="00677261" w:rsidRPr="006E709F" w:rsidRDefault="00677261" w:rsidP="00677261">
      <w:pPr>
        <w:pStyle w:val="paragraph"/>
      </w:pPr>
      <w:r w:rsidRPr="006E709F">
        <w:tab/>
        <w:t>(f)</w:t>
      </w:r>
      <w:r w:rsidRPr="006E709F">
        <w:tab/>
        <w:t>an exit fee;</w:t>
      </w:r>
    </w:p>
    <w:p w:rsidR="002A22A4" w:rsidRPr="006E709F" w:rsidRDefault="002A22A4" w:rsidP="00A801D0">
      <w:pPr>
        <w:pStyle w:val="paragraph"/>
      </w:pPr>
      <w:r w:rsidRPr="006E709F">
        <w:tab/>
        <w:t>(g)</w:t>
      </w:r>
      <w:r w:rsidRPr="006E709F">
        <w:tab/>
        <w:t>a withdrawal fee;</w:t>
      </w:r>
    </w:p>
    <w:p w:rsidR="002A22A4" w:rsidRPr="006E709F" w:rsidRDefault="002A22A4" w:rsidP="00A801D0">
      <w:pPr>
        <w:pStyle w:val="paragraph"/>
      </w:pPr>
      <w:r w:rsidRPr="006E709F">
        <w:tab/>
        <w:t>(h)</w:t>
      </w:r>
      <w:r w:rsidRPr="006E709F">
        <w:tab/>
        <w:t>costs (related to a specific asset or activity to produce income) that an investor would incur if he or she invested directly in the asset;</w:t>
      </w:r>
    </w:p>
    <w:p w:rsidR="002A22A4" w:rsidRPr="006E709F" w:rsidRDefault="002A22A4" w:rsidP="00A801D0">
      <w:pPr>
        <w:pStyle w:val="paragraph"/>
      </w:pPr>
      <w:r w:rsidRPr="006E709F">
        <w:tab/>
        <w:t>(i)</w:t>
      </w:r>
      <w:r w:rsidRPr="006E709F">
        <w:tab/>
        <w:t>incidental fees.</w:t>
      </w:r>
    </w:p>
    <w:p w:rsidR="002A22A4" w:rsidRPr="006E709F" w:rsidRDefault="002A22A4" w:rsidP="00D5406C">
      <w:pPr>
        <w:pStyle w:val="ActHead5"/>
      </w:pPr>
      <w:bookmarkStart w:id="62" w:name="_Toc160609750"/>
      <w:r w:rsidRPr="000C4237">
        <w:rPr>
          <w:rStyle w:val="CharSectno"/>
        </w:rPr>
        <w:t>103</w:t>
      </w:r>
      <w:r w:rsidR="00A801D0" w:rsidRPr="006E709F">
        <w:t xml:space="preserve">  </w:t>
      </w:r>
      <w:r w:rsidR="00CC3948" w:rsidRPr="006E709F">
        <w:t xml:space="preserve">Meaning of </w:t>
      </w:r>
      <w:r w:rsidR="00CC3948" w:rsidRPr="006E709F">
        <w:rPr>
          <w:i/>
        </w:rPr>
        <w:t>transactional and operational costs</w:t>
      </w:r>
      <w:bookmarkEnd w:id="62"/>
    </w:p>
    <w:p w:rsidR="002A22A4" w:rsidRPr="006E709F" w:rsidRDefault="002A22A4" w:rsidP="00A801D0">
      <w:pPr>
        <w:pStyle w:val="subsection"/>
      </w:pPr>
      <w:r w:rsidRPr="006E709F">
        <w:tab/>
      </w:r>
      <w:r w:rsidRPr="006E709F">
        <w:tab/>
      </w:r>
      <w:r w:rsidRPr="006E709F">
        <w:rPr>
          <w:b/>
          <w:i/>
        </w:rPr>
        <w:t>Transactional and operational costs</w:t>
      </w:r>
      <w:r w:rsidRPr="006E709F">
        <w:t xml:space="preserve"> include the following:</w:t>
      </w:r>
    </w:p>
    <w:p w:rsidR="002A22A4" w:rsidRPr="006E709F" w:rsidRDefault="002A22A4" w:rsidP="00A801D0">
      <w:pPr>
        <w:pStyle w:val="paragraph"/>
      </w:pPr>
      <w:r w:rsidRPr="006E709F">
        <w:tab/>
        <w:t>(a)</w:t>
      </w:r>
      <w:r w:rsidRPr="006E709F">
        <w:tab/>
        <w:t>brokerage;</w:t>
      </w:r>
    </w:p>
    <w:p w:rsidR="002A22A4" w:rsidRPr="006E709F" w:rsidRDefault="002A22A4" w:rsidP="00A801D0">
      <w:pPr>
        <w:pStyle w:val="paragraph"/>
      </w:pPr>
      <w:r w:rsidRPr="006E709F">
        <w:tab/>
        <w:t>(b)</w:t>
      </w:r>
      <w:r w:rsidRPr="006E709F">
        <w:tab/>
        <w:t>buy</w:t>
      </w:r>
      <w:r w:rsidR="000C4237">
        <w:noBreakHyphen/>
      </w:r>
      <w:r w:rsidRPr="006E709F">
        <w:t>sell spread;</w:t>
      </w:r>
    </w:p>
    <w:p w:rsidR="002A22A4" w:rsidRPr="006E709F" w:rsidRDefault="002A22A4" w:rsidP="00A801D0">
      <w:pPr>
        <w:pStyle w:val="paragraph"/>
      </w:pPr>
      <w:r w:rsidRPr="006E709F">
        <w:tab/>
        <w:t>(c)</w:t>
      </w:r>
      <w:r w:rsidRPr="006E709F">
        <w:tab/>
        <w:t>settlement costs (including custody costs);</w:t>
      </w:r>
    </w:p>
    <w:p w:rsidR="002A22A4" w:rsidRPr="006E709F" w:rsidRDefault="002A22A4" w:rsidP="00A801D0">
      <w:pPr>
        <w:pStyle w:val="paragraph"/>
      </w:pPr>
      <w:r w:rsidRPr="006E709F">
        <w:tab/>
        <w:t>(d)</w:t>
      </w:r>
      <w:r w:rsidRPr="006E709F">
        <w:tab/>
        <w:t>clearing costs;</w:t>
      </w:r>
    </w:p>
    <w:p w:rsidR="002A22A4" w:rsidRPr="006E709F" w:rsidRDefault="002A22A4" w:rsidP="00A801D0">
      <w:pPr>
        <w:pStyle w:val="paragraph"/>
      </w:pPr>
      <w:r w:rsidRPr="006E709F">
        <w:tab/>
        <w:t>(e)</w:t>
      </w:r>
      <w:r w:rsidRPr="006E709F">
        <w:tab/>
        <w:t>stamp duty on an investment transaction.</w:t>
      </w:r>
    </w:p>
    <w:p w:rsidR="002A22A4" w:rsidRPr="006E709F" w:rsidRDefault="002A22A4" w:rsidP="00D5406C">
      <w:pPr>
        <w:pStyle w:val="ActHead5"/>
      </w:pPr>
      <w:bookmarkStart w:id="63" w:name="_Toc160609751"/>
      <w:r w:rsidRPr="000C4237">
        <w:rPr>
          <w:rStyle w:val="CharSectno"/>
        </w:rPr>
        <w:t>104</w:t>
      </w:r>
      <w:r w:rsidR="00A801D0" w:rsidRPr="006E709F">
        <w:t xml:space="preserve">  </w:t>
      </w:r>
      <w:r w:rsidR="00CC3948" w:rsidRPr="006E709F">
        <w:t xml:space="preserve">Meaning of </w:t>
      </w:r>
      <w:r w:rsidR="00CC3948" w:rsidRPr="006E709F">
        <w:rPr>
          <w:i/>
        </w:rPr>
        <w:t>indirect cost ratio (ICR)</w:t>
      </w:r>
      <w:bookmarkEnd w:id="63"/>
    </w:p>
    <w:p w:rsidR="00677261" w:rsidRPr="006E709F" w:rsidRDefault="00677261" w:rsidP="00677261">
      <w:pPr>
        <w:pStyle w:val="subsection"/>
      </w:pPr>
      <w:r w:rsidRPr="006E709F">
        <w:tab/>
        <w:t>(1)</w:t>
      </w:r>
      <w:r w:rsidRPr="006E709F">
        <w:tab/>
        <w:t xml:space="preserve">The </w:t>
      </w:r>
      <w:r w:rsidRPr="006E709F">
        <w:rPr>
          <w:b/>
          <w:i/>
        </w:rPr>
        <w:t xml:space="preserve">indirect cost ratio </w:t>
      </w:r>
      <w:r w:rsidRPr="006E709F">
        <w:t>(</w:t>
      </w:r>
      <w:r w:rsidRPr="006E709F">
        <w:rPr>
          <w:b/>
          <w:i/>
        </w:rPr>
        <w:t>ICR</w:t>
      </w:r>
      <w:r w:rsidRPr="006E709F">
        <w:t>), for a MySuper product or an investment option offered by a superannuation entity, is the ratio of the total of the indirect costs for the MySuper product or investment option, to the total average net assets of the superannuation entity attributed to the MySuper product or investment option.</w:t>
      </w:r>
    </w:p>
    <w:p w:rsidR="00677261" w:rsidRPr="006E709F" w:rsidRDefault="00677261" w:rsidP="00677261">
      <w:pPr>
        <w:pStyle w:val="notetext"/>
      </w:pPr>
      <w:r w:rsidRPr="006E709F">
        <w:t>Note:</w:t>
      </w:r>
      <w:r w:rsidRPr="006E709F">
        <w:tab/>
        <w:t>A fee deducted directly from a member’s account is not included in the indirect cost ratio.</w:t>
      </w:r>
    </w:p>
    <w:p w:rsidR="00677261" w:rsidRPr="006E709F" w:rsidRDefault="00677261" w:rsidP="00677261">
      <w:pPr>
        <w:pStyle w:val="subsection"/>
      </w:pPr>
      <w:r w:rsidRPr="006E709F">
        <w:tab/>
        <w:t>(1A)</w:t>
      </w:r>
      <w:r w:rsidRPr="006E709F">
        <w:tab/>
        <w:t xml:space="preserve">The </w:t>
      </w:r>
      <w:r w:rsidRPr="006E709F">
        <w:rPr>
          <w:b/>
          <w:i/>
        </w:rPr>
        <w:t xml:space="preserve">indirect cost ratio </w:t>
      </w:r>
      <w:r w:rsidRPr="006E709F">
        <w:t>(</w:t>
      </w:r>
      <w:r w:rsidRPr="006E709F">
        <w:rPr>
          <w:b/>
          <w:i/>
        </w:rPr>
        <w:t>ICR</w:t>
      </w:r>
      <w:r w:rsidRPr="006E709F">
        <w:t>), for an investment option offered by a managed investment scheme, is the ratio of the management costs for the option that are not deducted directly from a product holder’s account, to the total average net assets of the managed investment scheme that relates to the investment option.</w:t>
      </w:r>
    </w:p>
    <w:p w:rsidR="00677261" w:rsidRPr="006E709F" w:rsidRDefault="00677261" w:rsidP="00677261">
      <w:pPr>
        <w:pStyle w:val="notetext"/>
      </w:pPr>
      <w:r w:rsidRPr="006E709F">
        <w:t>Note:</w:t>
      </w:r>
      <w:r w:rsidRPr="006E709F">
        <w:tab/>
        <w:t>A fee deducted directly from a product holder’s account is not included in the indirect cost ratio.</w:t>
      </w:r>
    </w:p>
    <w:p w:rsidR="001C486F" w:rsidRPr="006E709F" w:rsidRDefault="001C486F" w:rsidP="001C486F">
      <w:pPr>
        <w:pStyle w:val="subsection"/>
      </w:pPr>
      <w:bookmarkStart w:id="64" w:name="_Hlk96337762"/>
      <w:r w:rsidRPr="006E709F">
        <w:tab/>
        <w:t>(1B)</w:t>
      </w:r>
      <w:r w:rsidRPr="006E709F">
        <w:tab/>
        <w:t>For an investment option that is a sub</w:t>
      </w:r>
      <w:r w:rsidR="000C4237">
        <w:noBreakHyphen/>
      </w:r>
      <w:r w:rsidRPr="006E709F">
        <w:t xml:space="preserve">fund of a retail CCIV, the </w:t>
      </w:r>
      <w:r w:rsidRPr="006E709F">
        <w:rPr>
          <w:b/>
          <w:i/>
        </w:rPr>
        <w:t>indirect cost ratio</w:t>
      </w:r>
      <w:r w:rsidRPr="006E709F">
        <w:t xml:space="preserve"> (</w:t>
      </w:r>
      <w:r w:rsidRPr="006E709F">
        <w:rPr>
          <w:b/>
          <w:i/>
        </w:rPr>
        <w:t>ICR</w:t>
      </w:r>
      <w:r w:rsidRPr="006E709F">
        <w:t>) for the option is the ratio of the management costs for all</w:t>
      </w:r>
      <w:r w:rsidRPr="006E709F">
        <w:rPr>
          <w:i/>
        </w:rPr>
        <w:t xml:space="preserve"> </w:t>
      </w:r>
      <w:r w:rsidRPr="006E709F">
        <w:t>securities referable to the sub</w:t>
      </w:r>
      <w:r w:rsidR="000C4237">
        <w:noBreakHyphen/>
      </w:r>
      <w:r w:rsidRPr="006E709F">
        <w:t>fund that are not deducted directly from a product holder’s account to the total average net assets of the sub</w:t>
      </w:r>
      <w:r w:rsidR="000C4237">
        <w:noBreakHyphen/>
      </w:r>
      <w:r w:rsidRPr="006E709F">
        <w:t>fund.</w:t>
      </w:r>
    </w:p>
    <w:p w:rsidR="001C486F" w:rsidRPr="006E709F" w:rsidRDefault="001C486F" w:rsidP="001C486F">
      <w:pPr>
        <w:pStyle w:val="notetext"/>
      </w:pPr>
      <w:r w:rsidRPr="006E709F">
        <w:t>Note:</w:t>
      </w:r>
      <w:r w:rsidRPr="006E709F">
        <w:tab/>
        <w:t>A fee deducted directly from a product holder’s account is not included in the indirect cost ratio.</w:t>
      </w:r>
    </w:p>
    <w:bookmarkEnd w:id="64"/>
    <w:p w:rsidR="002A22A4" w:rsidRPr="006E709F" w:rsidRDefault="002A22A4" w:rsidP="00A801D0">
      <w:pPr>
        <w:pStyle w:val="subsection"/>
      </w:pPr>
      <w:r w:rsidRPr="006E709F">
        <w:tab/>
        <w:t>(2)</w:t>
      </w:r>
      <w:r w:rsidRPr="006E709F">
        <w:tab/>
        <w:t>The ICR for a Product Disclosure Statement is to be determined for the financial year before the Product Disclosure Statement is issued.</w:t>
      </w:r>
    </w:p>
    <w:p w:rsidR="002A22A4" w:rsidRPr="006E709F" w:rsidRDefault="002A22A4" w:rsidP="00A801D0">
      <w:pPr>
        <w:pStyle w:val="subsection"/>
      </w:pPr>
      <w:r w:rsidRPr="006E709F">
        <w:tab/>
        <w:t>(3)</w:t>
      </w:r>
      <w:r w:rsidRPr="006E709F">
        <w:tab/>
        <w:t>The ICR for a periodic statement is to be determined over the latest reporting period.</w:t>
      </w:r>
    </w:p>
    <w:p w:rsidR="002A22A4" w:rsidRPr="006E709F" w:rsidRDefault="00A801D0" w:rsidP="00A801D0">
      <w:pPr>
        <w:pStyle w:val="ActHead2"/>
        <w:pageBreakBefore/>
      </w:pPr>
      <w:bookmarkStart w:id="65" w:name="_Toc160609752"/>
      <w:r w:rsidRPr="000C4237">
        <w:rPr>
          <w:rStyle w:val="CharPartNo"/>
        </w:rPr>
        <w:t>Part</w:t>
      </w:r>
      <w:r w:rsidR="00DA13DE" w:rsidRPr="000C4237">
        <w:rPr>
          <w:rStyle w:val="CharPartNo"/>
        </w:rPr>
        <w:t> </w:t>
      </w:r>
      <w:r w:rsidR="002A22A4" w:rsidRPr="000C4237">
        <w:rPr>
          <w:rStyle w:val="CharPartNo"/>
        </w:rPr>
        <w:t>2</w:t>
      </w:r>
      <w:r w:rsidRPr="006E709F">
        <w:t>—</w:t>
      </w:r>
      <w:r w:rsidR="002A22A4" w:rsidRPr="000C4237">
        <w:rPr>
          <w:rStyle w:val="CharPartText"/>
        </w:rPr>
        <w:t>Fees and Costs Template, example of annual fees and costs and Consumer Advisory Warning for Product Disclosure Statements</w:t>
      </w:r>
      <w:bookmarkEnd w:id="65"/>
    </w:p>
    <w:p w:rsidR="00677261" w:rsidRPr="006E709F" w:rsidRDefault="00677261" w:rsidP="00677261">
      <w:pPr>
        <w:pStyle w:val="ActHead3"/>
      </w:pPr>
      <w:bookmarkStart w:id="66" w:name="_Toc160609753"/>
      <w:r w:rsidRPr="000C4237">
        <w:rPr>
          <w:rStyle w:val="CharDivNo"/>
        </w:rPr>
        <w:t>Division</w:t>
      </w:r>
      <w:r w:rsidR="00DA13DE" w:rsidRPr="000C4237">
        <w:rPr>
          <w:rStyle w:val="CharDivNo"/>
        </w:rPr>
        <w:t> </w:t>
      </w:r>
      <w:r w:rsidRPr="000C4237">
        <w:rPr>
          <w:rStyle w:val="CharDivNo"/>
        </w:rPr>
        <w:t>1</w:t>
      </w:r>
      <w:r w:rsidRPr="006E709F">
        <w:t>—</w:t>
      </w:r>
      <w:r w:rsidRPr="000C4237">
        <w:rPr>
          <w:rStyle w:val="CharDivText"/>
        </w:rPr>
        <w:t>The fees and costs template for superannuation products</w:t>
      </w:r>
      <w:bookmarkEnd w:id="66"/>
    </w:p>
    <w:p w:rsidR="00677261" w:rsidRPr="006E709F" w:rsidRDefault="00677261" w:rsidP="00677261">
      <w:pPr>
        <w:pStyle w:val="ActHead5"/>
      </w:pPr>
      <w:bookmarkStart w:id="67" w:name="_Toc160609754"/>
      <w:r w:rsidRPr="000C4237">
        <w:rPr>
          <w:rStyle w:val="CharSectno"/>
        </w:rPr>
        <w:t>201</w:t>
      </w:r>
      <w:r w:rsidRPr="006E709F">
        <w:t xml:space="preserve">  Template for superannuation products</w:t>
      </w:r>
      <w:bookmarkEnd w:id="67"/>
    </w:p>
    <w:p w:rsidR="00677261" w:rsidRPr="006E709F" w:rsidRDefault="00677261" w:rsidP="000858E6">
      <w:pPr>
        <w:spacing w:before="120" w:line="276" w:lineRule="auto"/>
        <w:rPr>
          <w:rFonts w:ascii="Arial" w:hAnsi="Arial" w:cs="Arial"/>
          <w:b/>
          <w:sz w:val="24"/>
          <w:szCs w:val="24"/>
        </w:rPr>
      </w:pPr>
      <w:r w:rsidRPr="006E709F">
        <w:rPr>
          <w:rFonts w:ascii="Arial" w:hAnsi="Arial" w:cs="Arial"/>
          <w:b/>
          <w:sz w:val="24"/>
          <w:szCs w:val="24"/>
        </w:rPr>
        <w:t>Fees and other costs</w:t>
      </w:r>
    </w:p>
    <w:p w:rsidR="00677261" w:rsidRPr="006E709F" w:rsidRDefault="00677261" w:rsidP="00677261">
      <w:pPr>
        <w:spacing w:line="240" w:lineRule="auto"/>
      </w:pPr>
      <w:r w:rsidRPr="006E709F">
        <w:rPr>
          <w:rFonts w:ascii="Arial" w:hAnsi="Arial" w:cs="Arial"/>
          <w:sz w:val="19"/>
          <w:szCs w:val="19"/>
        </w:rPr>
        <w:t>T</w:t>
      </w:r>
      <w:r w:rsidRPr="006E709F">
        <w:t>his document shows fees and other costs that you may be charged. These fees and other costs may be deducted from your money, from the returns on your investment or from the assets of the superannuation entity as a whole.</w:t>
      </w:r>
    </w:p>
    <w:p w:rsidR="00677261" w:rsidRPr="006E709F" w:rsidRDefault="00677261" w:rsidP="00677261">
      <w:pPr>
        <w:spacing w:line="240" w:lineRule="auto"/>
      </w:pPr>
    </w:p>
    <w:p w:rsidR="00677261" w:rsidRPr="006E709F" w:rsidRDefault="00677261" w:rsidP="00677261">
      <w:pPr>
        <w:spacing w:line="240" w:lineRule="auto"/>
      </w:pPr>
      <w:r w:rsidRPr="006E709F">
        <w:t>Other fees, such as activity fees, advice fees for personal advice and insurance fees, may also be charged, but these will depend on the nature of the activity, advice or insurance chosen by you.</w:t>
      </w:r>
      <w:r w:rsidR="00636892" w:rsidRPr="006E709F">
        <w:t xml:space="preserve"> Entry fees and exit fees cannot be charged.</w:t>
      </w:r>
    </w:p>
    <w:p w:rsidR="00677261" w:rsidRPr="006E709F" w:rsidRDefault="00677261" w:rsidP="00677261">
      <w:pPr>
        <w:spacing w:line="240" w:lineRule="auto"/>
      </w:pPr>
    </w:p>
    <w:p w:rsidR="00677261" w:rsidRPr="006E709F" w:rsidRDefault="00677261" w:rsidP="00677261">
      <w:pPr>
        <w:spacing w:line="240" w:lineRule="auto"/>
      </w:pPr>
      <w:r w:rsidRPr="006E709F">
        <w:t>Taxes, insurance fees and other costs relating to insurance are set out in another part of this document.</w:t>
      </w:r>
    </w:p>
    <w:p w:rsidR="00677261" w:rsidRPr="006E709F" w:rsidRDefault="00677261" w:rsidP="00677261"/>
    <w:p w:rsidR="00677261" w:rsidRPr="006E709F" w:rsidRDefault="00677261" w:rsidP="00677261">
      <w:pPr>
        <w:spacing w:line="240" w:lineRule="auto"/>
      </w:pPr>
      <w:r w:rsidRPr="006E709F">
        <w:t>You should read all the information about fees and other costs because it is important to understand their impact on your investment.</w:t>
      </w:r>
    </w:p>
    <w:p w:rsidR="00677261" w:rsidRPr="006E709F" w:rsidRDefault="00677261" w:rsidP="00677261">
      <w:pPr>
        <w:spacing w:line="240" w:lineRule="auto"/>
      </w:pPr>
    </w:p>
    <w:p w:rsidR="00677261" w:rsidRPr="006E709F" w:rsidRDefault="00677261" w:rsidP="00677261">
      <w:pPr>
        <w:spacing w:line="240" w:lineRule="auto"/>
      </w:pPr>
      <w:r w:rsidRPr="006E709F">
        <w:rPr>
          <w:i/>
        </w:rPr>
        <w:t xml:space="preserve">[If relevant] </w:t>
      </w:r>
      <w:r w:rsidRPr="006E709F">
        <w:t xml:space="preserve">The fees and other costs for each MySuper product offered by the superannuation entity, and each investment option offered by the entity, are set out on page </w:t>
      </w:r>
      <w:r w:rsidRPr="006E709F">
        <w:rPr>
          <w:i/>
        </w:rPr>
        <w:t>[insert page number]</w:t>
      </w:r>
      <w:r w:rsidRPr="006E709F">
        <w:t>.</w:t>
      </w:r>
    </w:p>
    <w:p w:rsidR="000858E6" w:rsidRPr="006E709F" w:rsidRDefault="000858E6" w:rsidP="000858E6">
      <w:pPr>
        <w:spacing w:line="240" w:lineRule="auto"/>
        <w:rPr>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843"/>
        <w:gridCol w:w="2844"/>
        <w:gridCol w:w="2842"/>
      </w:tblGrid>
      <w:tr w:rsidR="00677261" w:rsidRPr="006E709F" w:rsidTr="00E118FA">
        <w:trPr>
          <w:tblHeader/>
        </w:trPr>
        <w:tc>
          <w:tcPr>
            <w:tcW w:w="5000" w:type="pct"/>
            <w:gridSpan w:val="3"/>
            <w:tcBorders>
              <w:top w:val="single" w:sz="12" w:space="0" w:color="auto"/>
              <w:bottom w:val="single" w:sz="6" w:space="0" w:color="auto"/>
            </w:tcBorders>
            <w:shd w:val="clear" w:color="auto" w:fill="auto"/>
          </w:tcPr>
          <w:p w:rsidR="00677261" w:rsidRPr="006E709F" w:rsidRDefault="00677261" w:rsidP="006A221B">
            <w:pPr>
              <w:pStyle w:val="TableHeading"/>
              <w:rPr>
                <w:i/>
              </w:rPr>
            </w:pPr>
            <w:r w:rsidRPr="006E709F">
              <w:rPr>
                <w:i/>
              </w:rPr>
              <w:t>[Name of superannuation product]</w:t>
            </w:r>
          </w:p>
        </w:tc>
      </w:tr>
      <w:tr w:rsidR="00677261" w:rsidRPr="006E709F" w:rsidTr="00E118FA">
        <w:trPr>
          <w:tblHeader/>
        </w:trPr>
        <w:tc>
          <w:tcPr>
            <w:tcW w:w="1667" w:type="pct"/>
            <w:tcBorders>
              <w:top w:val="single" w:sz="6" w:space="0" w:color="auto"/>
              <w:bottom w:val="single" w:sz="12" w:space="0" w:color="auto"/>
            </w:tcBorders>
            <w:shd w:val="clear" w:color="auto" w:fill="auto"/>
          </w:tcPr>
          <w:p w:rsidR="00677261" w:rsidRPr="006E709F" w:rsidRDefault="00677261" w:rsidP="006A221B">
            <w:pPr>
              <w:pStyle w:val="TableHeading"/>
              <w:rPr>
                <w:i/>
              </w:rPr>
            </w:pPr>
            <w:r w:rsidRPr="006E709F">
              <w:rPr>
                <w:i/>
              </w:rPr>
              <w:t>Type of fee</w:t>
            </w:r>
          </w:p>
        </w:tc>
        <w:tc>
          <w:tcPr>
            <w:tcW w:w="1667" w:type="pct"/>
            <w:tcBorders>
              <w:top w:val="single" w:sz="6" w:space="0" w:color="auto"/>
              <w:bottom w:val="single" w:sz="12" w:space="0" w:color="auto"/>
            </w:tcBorders>
            <w:shd w:val="clear" w:color="auto" w:fill="auto"/>
          </w:tcPr>
          <w:p w:rsidR="00677261" w:rsidRPr="006E709F" w:rsidRDefault="00677261" w:rsidP="006A221B">
            <w:pPr>
              <w:pStyle w:val="TableHeading"/>
            </w:pPr>
            <w:r w:rsidRPr="006E709F">
              <w:t>Amount</w:t>
            </w:r>
          </w:p>
        </w:tc>
        <w:tc>
          <w:tcPr>
            <w:tcW w:w="1666" w:type="pct"/>
            <w:tcBorders>
              <w:top w:val="single" w:sz="6" w:space="0" w:color="auto"/>
              <w:bottom w:val="single" w:sz="12" w:space="0" w:color="auto"/>
            </w:tcBorders>
            <w:shd w:val="clear" w:color="auto" w:fill="auto"/>
          </w:tcPr>
          <w:p w:rsidR="00677261" w:rsidRPr="006E709F" w:rsidRDefault="00677261" w:rsidP="006A221B">
            <w:pPr>
              <w:pStyle w:val="TableHeading"/>
            </w:pPr>
            <w:r w:rsidRPr="006E709F">
              <w:t>How and when paid</w:t>
            </w:r>
          </w:p>
        </w:tc>
      </w:tr>
      <w:tr w:rsidR="00677261" w:rsidRPr="006E709F" w:rsidTr="00E118FA">
        <w:tc>
          <w:tcPr>
            <w:tcW w:w="1667" w:type="pct"/>
            <w:tcBorders>
              <w:top w:val="single" w:sz="12" w:space="0" w:color="auto"/>
            </w:tcBorders>
            <w:shd w:val="clear" w:color="auto" w:fill="auto"/>
          </w:tcPr>
          <w:p w:rsidR="00677261" w:rsidRPr="006E709F" w:rsidRDefault="00636892" w:rsidP="006A221B">
            <w:pPr>
              <w:pStyle w:val="Tabletext"/>
              <w:rPr>
                <w:i/>
              </w:rPr>
            </w:pPr>
            <w:r w:rsidRPr="006E709F">
              <w:rPr>
                <w:i/>
              </w:rPr>
              <w:t>Investment fee¹</w:t>
            </w:r>
          </w:p>
        </w:tc>
        <w:tc>
          <w:tcPr>
            <w:tcW w:w="1667" w:type="pct"/>
            <w:tcBorders>
              <w:top w:val="single" w:sz="12" w:space="0" w:color="auto"/>
            </w:tcBorders>
            <w:shd w:val="clear" w:color="auto" w:fill="auto"/>
          </w:tcPr>
          <w:p w:rsidR="00677261" w:rsidRPr="006E709F" w:rsidRDefault="00677261" w:rsidP="006A221B">
            <w:pPr>
              <w:pStyle w:val="Tabletext"/>
              <w:rPr>
                <w:i/>
              </w:rPr>
            </w:pPr>
          </w:p>
        </w:tc>
        <w:tc>
          <w:tcPr>
            <w:tcW w:w="1666" w:type="pct"/>
            <w:tcBorders>
              <w:top w:val="single" w:sz="12" w:space="0" w:color="auto"/>
            </w:tcBorders>
            <w:shd w:val="clear" w:color="auto" w:fill="auto"/>
          </w:tcPr>
          <w:p w:rsidR="00677261" w:rsidRPr="006E709F" w:rsidRDefault="00677261" w:rsidP="006A221B">
            <w:pPr>
              <w:pStyle w:val="Tabletext"/>
              <w:rPr>
                <w:i/>
              </w:rPr>
            </w:pPr>
          </w:p>
        </w:tc>
      </w:tr>
      <w:tr w:rsidR="00677261" w:rsidRPr="006E709F" w:rsidTr="00E118FA">
        <w:tc>
          <w:tcPr>
            <w:tcW w:w="1667" w:type="pct"/>
            <w:shd w:val="clear" w:color="auto" w:fill="auto"/>
          </w:tcPr>
          <w:p w:rsidR="00677261" w:rsidRPr="006E709F" w:rsidRDefault="00636892" w:rsidP="006A221B">
            <w:pPr>
              <w:pStyle w:val="Tabletext"/>
              <w:rPr>
                <w:i/>
              </w:rPr>
            </w:pPr>
            <w:r w:rsidRPr="006E709F">
              <w:rPr>
                <w:i/>
              </w:rPr>
              <w:t>Administration fee¹</w:t>
            </w:r>
          </w:p>
        </w:tc>
        <w:tc>
          <w:tcPr>
            <w:tcW w:w="1667" w:type="pct"/>
            <w:shd w:val="clear" w:color="auto" w:fill="auto"/>
          </w:tcPr>
          <w:p w:rsidR="00677261" w:rsidRPr="006E709F" w:rsidRDefault="00677261" w:rsidP="006A221B">
            <w:pPr>
              <w:pStyle w:val="Tabletext"/>
              <w:rPr>
                <w:i/>
              </w:rPr>
            </w:pPr>
          </w:p>
        </w:tc>
        <w:tc>
          <w:tcPr>
            <w:tcW w:w="1666" w:type="pct"/>
            <w:shd w:val="clear" w:color="auto" w:fill="auto"/>
          </w:tcPr>
          <w:p w:rsidR="00677261" w:rsidRPr="006E709F" w:rsidRDefault="00677261" w:rsidP="006A221B">
            <w:pPr>
              <w:pStyle w:val="Tabletext"/>
              <w:rPr>
                <w:i/>
              </w:rPr>
            </w:pPr>
          </w:p>
        </w:tc>
      </w:tr>
      <w:tr w:rsidR="00677261" w:rsidRPr="006E709F" w:rsidTr="00E118FA">
        <w:tc>
          <w:tcPr>
            <w:tcW w:w="1667" w:type="pct"/>
            <w:shd w:val="clear" w:color="auto" w:fill="auto"/>
          </w:tcPr>
          <w:p w:rsidR="00677261" w:rsidRPr="006E709F" w:rsidRDefault="00677261" w:rsidP="006A221B">
            <w:pPr>
              <w:pStyle w:val="Tabletext"/>
              <w:rPr>
                <w:i/>
              </w:rPr>
            </w:pPr>
            <w:r w:rsidRPr="006E709F">
              <w:rPr>
                <w:i/>
              </w:rPr>
              <w:t>Buy</w:t>
            </w:r>
            <w:r w:rsidR="000C4237">
              <w:rPr>
                <w:i/>
              </w:rPr>
              <w:noBreakHyphen/>
            </w:r>
            <w:r w:rsidRPr="006E709F">
              <w:rPr>
                <w:i/>
              </w:rPr>
              <w:t>sell spread</w:t>
            </w:r>
          </w:p>
        </w:tc>
        <w:tc>
          <w:tcPr>
            <w:tcW w:w="1667" w:type="pct"/>
            <w:shd w:val="clear" w:color="auto" w:fill="auto"/>
          </w:tcPr>
          <w:p w:rsidR="00677261" w:rsidRPr="006E709F" w:rsidRDefault="00677261" w:rsidP="006A221B">
            <w:pPr>
              <w:pStyle w:val="Tabletext"/>
              <w:rPr>
                <w:i/>
              </w:rPr>
            </w:pPr>
          </w:p>
        </w:tc>
        <w:tc>
          <w:tcPr>
            <w:tcW w:w="1666" w:type="pct"/>
            <w:shd w:val="clear" w:color="auto" w:fill="auto"/>
          </w:tcPr>
          <w:p w:rsidR="00677261" w:rsidRPr="006E709F" w:rsidRDefault="00677261" w:rsidP="006A221B">
            <w:pPr>
              <w:pStyle w:val="Tabletext"/>
              <w:rPr>
                <w:i/>
              </w:rPr>
            </w:pPr>
          </w:p>
        </w:tc>
      </w:tr>
      <w:tr w:rsidR="00677261" w:rsidRPr="006E709F" w:rsidTr="00E118FA">
        <w:tc>
          <w:tcPr>
            <w:tcW w:w="1667" w:type="pct"/>
            <w:shd w:val="clear" w:color="auto" w:fill="auto"/>
          </w:tcPr>
          <w:p w:rsidR="00677261" w:rsidRPr="006E709F" w:rsidRDefault="00677261" w:rsidP="006A221B">
            <w:pPr>
              <w:pStyle w:val="Tabletext"/>
              <w:rPr>
                <w:i/>
              </w:rPr>
            </w:pPr>
            <w:r w:rsidRPr="006E709F">
              <w:rPr>
                <w:i/>
              </w:rPr>
              <w:t>Switching fee</w:t>
            </w:r>
          </w:p>
        </w:tc>
        <w:tc>
          <w:tcPr>
            <w:tcW w:w="1667" w:type="pct"/>
            <w:shd w:val="clear" w:color="auto" w:fill="auto"/>
          </w:tcPr>
          <w:p w:rsidR="00677261" w:rsidRPr="006E709F" w:rsidRDefault="00677261" w:rsidP="006A221B">
            <w:pPr>
              <w:pStyle w:val="Tabletext"/>
              <w:rPr>
                <w:i/>
              </w:rPr>
            </w:pPr>
          </w:p>
        </w:tc>
        <w:tc>
          <w:tcPr>
            <w:tcW w:w="1666" w:type="pct"/>
            <w:shd w:val="clear" w:color="auto" w:fill="auto"/>
          </w:tcPr>
          <w:p w:rsidR="00677261" w:rsidRPr="006E709F" w:rsidRDefault="00677261" w:rsidP="006A221B">
            <w:pPr>
              <w:pStyle w:val="Tabletext"/>
              <w:rPr>
                <w:i/>
              </w:rPr>
            </w:pPr>
          </w:p>
        </w:tc>
      </w:tr>
      <w:tr w:rsidR="00677261" w:rsidRPr="006E709F" w:rsidTr="00E118FA">
        <w:tc>
          <w:tcPr>
            <w:tcW w:w="1667" w:type="pct"/>
            <w:tcBorders>
              <w:bottom w:val="single" w:sz="4" w:space="0" w:color="auto"/>
            </w:tcBorders>
            <w:shd w:val="clear" w:color="auto" w:fill="auto"/>
          </w:tcPr>
          <w:p w:rsidR="00677261" w:rsidRPr="006E709F" w:rsidRDefault="00677261" w:rsidP="006A221B">
            <w:pPr>
              <w:pStyle w:val="Tabletext"/>
              <w:rPr>
                <w:i/>
              </w:rPr>
            </w:pPr>
            <w:r w:rsidRPr="006E709F">
              <w:rPr>
                <w:i/>
              </w:rPr>
              <w:t>Advice fees</w:t>
            </w:r>
          </w:p>
          <w:p w:rsidR="00677261" w:rsidRPr="006E709F" w:rsidRDefault="00677261" w:rsidP="006A221B">
            <w:pPr>
              <w:pStyle w:val="Tabletext"/>
            </w:pPr>
            <w:r w:rsidRPr="006E709F">
              <w:t>relating to all members investing in a particular MySuper product or investment option</w:t>
            </w:r>
          </w:p>
        </w:tc>
        <w:tc>
          <w:tcPr>
            <w:tcW w:w="1667" w:type="pct"/>
            <w:tcBorders>
              <w:bottom w:val="single" w:sz="4" w:space="0" w:color="auto"/>
            </w:tcBorders>
            <w:shd w:val="clear" w:color="auto" w:fill="auto"/>
          </w:tcPr>
          <w:p w:rsidR="00677261" w:rsidRPr="006E709F" w:rsidRDefault="00677261" w:rsidP="005133DE">
            <w:pPr>
              <w:pStyle w:val="Tabletext"/>
            </w:pPr>
          </w:p>
        </w:tc>
        <w:tc>
          <w:tcPr>
            <w:tcW w:w="1666" w:type="pct"/>
            <w:tcBorders>
              <w:bottom w:val="single" w:sz="4" w:space="0" w:color="auto"/>
            </w:tcBorders>
            <w:shd w:val="clear" w:color="auto" w:fill="auto"/>
          </w:tcPr>
          <w:p w:rsidR="00677261" w:rsidRPr="006E709F" w:rsidRDefault="00677261" w:rsidP="005133DE">
            <w:pPr>
              <w:pStyle w:val="Tabletext"/>
            </w:pPr>
          </w:p>
        </w:tc>
      </w:tr>
      <w:tr w:rsidR="00677261" w:rsidRPr="006E709F" w:rsidTr="00E118FA">
        <w:tc>
          <w:tcPr>
            <w:tcW w:w="1667" w:type="pct"/>
            <w:shd w:val="clear" w:color="auto" w:fill="auto"/>
          </w:tcPr>
          <w:p w:rsidR="00677261" w:rsidRPr="006E709F" w:rsidRDefault="00636892" w:rsidP="006A221B">
            <w:pPr>
              <w:pStyle w:val="Tabletext"/>
              <w:rPr>
                <w:i/>
              </w:rPr>
            </w:pPr>
            <w:r w:rsidRPr="006E709F">
              <w:rPr>
                <w:i/>
              </w:rPr>
              <w:t>Other fees and costs²</w:t>
            </w:r>
          </w:p>
        </w:tc>
        <w:tc>
          <w:tcPr>
            <w:tcW w:w="1667" w:type="pct"/>
            <w:shd w:val="clear" w:color="auto" w:fill="auto"/>
          </w:tcPr>
          <w:p w:rsidR="00677261" w:rsidRPr="006E709F" w:rsidRDefault="00677261" w:rsidP="006A221B">
            <w:pPr>
              <w:pStyle w:val="Tabletext"/>
              <w:rPr>
                <w:i/>
              </w:rPr>
            </w:pPr>
          </w:p>
        </w:tc>
        <w:tc>
          <w:tcPr>
            <w:tcW w:w="1666" w:type="pct"/>
            <w:shd w:val="clear" w:color="auto" w:fill="auto"/>
          </w:tcPr>
          <w:p w:rsidR="00677261" w:rsidRPr="006E709F" w:rsidRDefault="00677261" w:rsidP="006A221B">
            <w:pPr>
              <w:pStyle w:val="Tabletext"/>
              <w:rPr>
                <w:i/>
              </w:rPr>
            </w:pPr>
          </w:p>
        </w:tc>
      </w:tr>
      <w:tr w:rsidR="00677261" w:rsidRPr="006E709F" w:rsidTr="00E118FA">
        <w:tc>
          <w:tcPr>
            <w:tcW w:w="1667" w:type="pct"/>
            <w:tcBorders>
              <w:bottom w:val="single" w:sz="12" w:space="0" w:color="auto"/>
            </w:tcBorders>
            <w:shd w:val="clear" w:color="auto" w:fill="auto"/>
          </w:tcPr>
          <w:p w:rsidR="00677261" w:rsidRPr="006E709F" w:rsidRDefault="00636892" w:rsidP="006A221B">
            <w:pPr>
              <w:pStyle w:val="Tabletext"/>
              <w:rPr>
                <w:i/>
              </w:rPr>
            </w:pPr>
            <w:r w:rsidRPr="006E709F">
              <w:rPr>
                <w:i/>
              </w:rPr>
              <w:t>Indirect cost ratio¹</w:t>
            </w:r>
          </w:p>
        </w:tc>
        <w:tc>
          <w:tcPr>
            <w:tcW w:w="1667" w:type="pct"/>
            <w:tcBorders>
              <w:bottom w:val="single" w:sz="12" w:space="0" w:color="auto"/>
            </w:tcBorders>
            <w:shd w:val="clear" w:color="auto" w:fill="auto"/>
          </w:tcPr>
          <w:p w:rsidR="00677261" w:rsidRPr="006E709F" w:rsidRDefault="00677261" w:rsidP="006A221B">
            <w:pPr>
              <w:pStyle w:val="Tabletext"/>
              <w:rPr>
                <w:i/>
              </w:rPr>
            </w:pPr>
          </w:p>
        </w:tc>
        <w:tc>
          <w:tcPr>
            <w:tcW w:w="1666" w:type="pct"/>
            <w:tcBorders>
              <w:bottom w:val="single" w:sz="12" w:space="0" w:color="auto"/>
            </w:tcBorders>
            <w:shd w:val="clear" w:color="auto" w:fill="auto"/>
          </w:tcPr>
          <w:p w:rsidR="00677261" w:rsidRPr="006E709F" w:rsidRDefault="00677261" w:rsidP="006A221B">
            <w:pPr>
              <w:pStyle w:val="Tabletext"/>
              <w:rPr>
                <w:i/>
              </w:rPr>
            </w:pPr>
          </w:p>
        </w:tc>
      </w:tr>
    </w:tbl>
    <w:p w:rsidR="00636892" w:rsidRPr="006E709F" w:rsidRDefault="00636892" w:rsidP="00636892">
      <w:pPr>
        <w:pStyle w:val="notemargin"/>
      </w:pPr>
      <w:r w:rsidRPr="006E709F">
        <w:t>1.</w:t>
      </w:r>
      <w:r w:rsidRPr="006E709F">
        <w:tab/>
        <w:t>If your account balance for a product offered by the superannuation entity is less than $6,000 at the end of the entity’s income year, the total combined amount of administration fees, investment fees and indirect costs charged to you is capped at 3% of the account balance. Any amount charged in excess of that cap must be refunded.</w:t>
      </w:r>
    </w:p>
    <w:p w:rsidR="00677261" w:rsidRPr="006E709F" w:rsidRDefault="00636892" w:rsidP="00677261">
      <w:pPr>
        <w:pStyle w:val="notemargin"/>
        <w:rPr>
          <w:i/>
        </w:rPr>
      </w:pPr>
      <w:r w:rsidRPr="006E709F">
        <w:t>2</w:t>
      </w:r>
      <w:r w:rsidR="00677261" w:rsidRPr="006E709F">
        <w:t>.</w:t>
      </w:r>
      <w:r w:rsidR="00677261" w:rsidRPr="006E709F">
        <w:tab/>
      </w:r>
      <w:r w:rsidR="00677261" w:rsidRPr="006E709F">
        <w:rPr>
          <w:i/>
        </w:rPr>
        <w:t>[If there are other fees and costs, such as activity fees, advice fees for personal advice or insurance fees, include a cross</w:t>
      </w:r>
      <w:r w:rsidR="000C4237">
        <w:rPr>
          <w:i/>
        </w:rPr>
        <w:noBreakHyphen/>
      </w:r>
      <w:r w:rsidR="00677261" w:rsidRPr="006E709F">
        <w:rPr>
          <w:i/>
        </w:rPr>
        <w:t>reference to the “Additional Explanation of Fees and Costs”.]</w:t>
      </w:r>
    </w:p>
    <w:p w:rsidR="00677261" w:rsidRPr="006E709F" w:rsidRDefault="00677261" w:rsidP="001A180A">
      <w:pPr>
        <w:pStyle w:val="ActHead3"/>
        <w:pageBreakBefore/>
      </w:pPr>
      <w:bookmarkStart w:id="68" w:name="_Toc160609755"/>
      <w:r w:rsidRPr="000C4237">
        <w:rPr>
          <w:rStyle w:val="CharDivNo"/>
        </w:rPr>
        <w:t>Division</w:t>
      </w:r>
      <w:r w:rsidR="00DA13DE" w:rsidRPr="000C4237">
        <w:rPr>
          <w:rStyle w:val="CharDivNo"/>
        </w:rPr>
        <w:t> </w:t>
      </w:r>
      <w:r w:rsidRPr="000C4237">
        <w:rPr>
          <w:rStyle w:val="CharDivNo"/>
        </w:rPr>
        <w:t>2</w:t>
      </w:r>
      <w:r w:rsidRPr="006E709F">
        <w:t>—</w:t>
      </w:r>
      <w:r w:rsidRPr="000C4237">
        <w:rPr>
          <w:rStyle w:val="CharDivText"/>
        </w:rPr>
        <w:t xml:space="preserve">The fees and costs template for </w:t>
      </w:r>
      <w:r w:rsidR="0098212A" w:rsidRPr="000C4237">
        <w:rPr>
          <w:rStyle w:val="CharDivText"/>
        </w:rPr>
        <w:t>collective investment products</w:t>
      </w:r>
      <w:bookmarkEnd w:id="68"/>
    </w:p>
    <w:p w:rsidR="00677261" w:rsidRPr="006E709F" w:rsidRDefault="00677261" w:rsidP="00677261">
      <w:pPr>
        <w:pStyle w:val="ActHead5"/>
      </w:pPr>
      <w:bookmarkStart w:id="69" w:name="_Toc160609756"/>
      <w:r w:rsidRPr="000C4237">
        <w:rPr>
          <w:rStyle w:val="CharSectno"/>
        </w:rPr>
        <w:t>202</w:t>
      </w:r>
      <w:r w:rsidRPr="006E709F">
        <w:t xml:space="preserve">  Template for a multiple fee structure—</w:t>
      </w:r>
      <w:r w:rsidR="0098212A" w:rsidRPr="006E709F">
        <w:t>collective investment products</w:t>
      </w:r>
      <w:bookmarkEnd w:id="69"/>
    </w:p>
    <w:p w:rsidR="00677261" w:rsidRPr="006E709F" w:rsidRDefault="00677261" w:rsidP="000858E6">
      <w:pPr>
        <w:spacing w:before="240" w:line="276" w:lineRule="auto"/>
        <w:rPr>
          <w:rFonts w:ascii="Arial" w:hAnsi="Arial" w:cs="Arial"/>
          <w:b/>
          <w:sz w:val="24"/>
          <w:szCs w:val="24"/>
        </w:rPr>
      </w:pPr>
      <w:r w:rsidRPr="006E709F">
        <w:rPr>
          <w:rFonts w:ascii="Arial" w:hAnsi="Arial" w:cs="Arial"/>
          <w:b/>
          <w:sz w:val="24"/>
          <w:szCs w:val="24"/>
        </w:rPr>
        <w:t>Fees and other costs</w:t>
      </w:r>
    </w:p>
    <w:p w:rsidR="00677261" w:rsidRPr="006E709F" w:rsidRDefault="00677261" w:rsidP="00677261">
      <w:pPr>
        <w:spacing w:line="240" w:lineRule="auto"/>
      </w:pPr>
      <w:r w:rsidRPr="006E709F">
        <w:rPr>
          <w:rFonts w:ascii="Arial" w:hAnsi="Arial" w:cs="Arial"/>
          <w:sz w:val="19"/>
          <w:szCs w:val="19"/>
        </w:rPr>
        <w:t>T</w:t>
      </w:r>
      <w:r w:rsidRPr="006E709F">
        <w:t xml:space="preserve">his document shows fees and other costs that you may be charged. These fees and costs may be deducted from your money, from the returns on your investment or from the assets of the </w:t>
      </w:r>
      <w:r w:rsidR="001C486F" w:rsidRPr="006E709F">
        <w:rPr>
          <w:i/>
        </w:rPr>
        <w:t>[managed investment scheme / retail CCIV]</w:t>
      </w:r>
      <w:r w:rsidRPr="006E709F">
        <w:t xml:space="preserve"> as a whole.</w:t>
      </w:r>
    </w:p>
    <w:p w:rsidR="00677261" w:rsidRPr="006E709F" w:rsidRDefault="00677261" w:rsidP="00677261">
      <w:pPr>
        <w:spacing w:line="240" w:lineRule="auto"/>
        <w:rPr>
          <w:sz w:val="16"/>
          <w:szCs w:val="16"/>
        </w:rPr>
      </w:pPr>
    </w:p>
    <w:p w:rsidR="00677261" w:rsidRPr="006E709F" w:rsidRDefault="00677261" w:rsidP="00677261">
      <w:pPr>
        <w:spacing w:line="240" w:lineRule="auto"/>
      </w:pPr>
      <w:r w:rsidRPr="006E709F">
        <w:t>Taxes and insurance costs are set out in another part of this document.</w:t>
      </w:r>
    </w:p>
    <w:p w:rsidR="00677261" w:rsidRPr="006E709F" w:rsidRDefault="00677261" w:rsidP="00677261">
      <w:pPr>
        <w:spacing w:line="240" w:lineRule="auto"/>
        <w:rPr>
          <w:sz w:val="16"/>
          <w:szCs w:val="16"/>
        </w:rPr>
      </w:pPr>
    </w:p>
    <w:p w:rsidR="00677261" w:rsidRPr="006E709F" w:rsidRDefault="00677261" w:rsidP="00677261">
      <w:pPr>
        <w:spacing w:line="240" w:lineRule="auto"/>
      </w:pPr>
      <w:r w:rsidRPr="006E709F">
        <w:t>You have 2 different fee payment options:</w:t>
      </w:r>
    </w:p>
    <w:p w:rsidR="00677261" w:rsidRPr="006E709F" w:rsidRDefault="00677261" w:rsidP="00677261">
      <w:pPr>
        <w:pStyle w:val="paragraph"/>
      </w:pPr>
      <w:r w:rsidRPr="006E709F">
        <w:tab/>
        <w:t>(a)</w:t>
      </w:r>
      <w:r w:rsidRPr="006E709F">
        <w:tab/>
        <w:t xml:space="preserve">to pay contribution fees upfront, at the time when you make each investment into the </w:t>
      </w:r>
      <w:r w:rsidR="001C486F" w:rsidRPr="006E709F">
        <w:rPr>
          <w:i/>
        </w:rPr>
        <w:t>[managed investment scheme / retail CCIV]</w:t>
      </w:r>
      <w:r w:rsidRPr="006E709F">
        <w:t>; or</w:t>
      </w:r>
    </w:p>
    <w:p w:rsidR="00677261" w:rsidRPr="006E709F" w:rsidRDefault="00677261" w:rsidP="00677261">
      <w:pPr>
        <w:pStyle w:val="paragraph"/>
      </w:pPr>
      <w:r w:rsidRPr="006E709F">
        <w:tab/>
        <w:t>(b)</w:t>
      </w:r>
      <w:r w:rsidRPr="006E709F">
        <w:tab/>
        <w:t>to pay contribution fees later (for example, on the termination of your investment or by way of other increased fees).</w:t>
      </w:r>
    </w:p>
    <w:p w:rsidR="00677261" w:rsidRPr="006E709F" w:rsidRDefault="00677261" w:rsidP="00677261">
      <w:pPr>
        <w:pStyle w:val="notemargin"/>
        <w:spacing w:line="240" w:lineRule="auto"/>
      </w:pPr>
      <w:r w:rsidRPr="006E709F">
        <w:t>Note:</w:t>
      </w:r>
      <w:r w:rsidRPr="006E709F">
        <w:tab/>
        <w:t>You may pay more in total fees if you choose to pay contribution fees later.</w:t>
      </w:r>
    </w:p>
    <w:p w:rsidR="00677261" w:rsidRPr="006E709F" w:rsidRDefault="00677261" w:rsidP="00677261">
      <w:pPr>
        <w:pStyle w:val="notemargin"/>
        <w:spacing w:line="240" w:lineRule="auto"/>
      </w:pPr>
    </w:p>
    <w:p w:rsidR="00677261" w:rsidRPr="006E709F" w:rsidRDefault="00677261" w:rsidP="00677261">
      <w:pPr>
        <w:spacing w:line="240" w:lineRule="auto"/>
      </w:pPr>
      <w:r w:rsidRPr="006E709F">
        <w:t>You should read all the information about fees and costs because it is important to understand their impact on your investment.</w:t>
      </w:r>
    </w:p>
    <w:p w:rsidR="00677261" w:rsidRPr="006E709F" w:rsidRDefault="00677261" w:rsidP="00677261">
      <w:pPr>
        <w:spacing w:line="240" w:lineRule="auto"/>
        <w:rPr>
          <w:sz w:val="16"/>
          <w:szCs w:val="16"/>
        </w:rPr>
      </w:pPr>
    </w:p>
    <w:p w:rsidR="00677261" w:rsidRPr="006E709F" w:rsidRDefault="00677261" w:rsidP="006A221B">
      <w:pPr>
        <w:spacing w:line="240" w:lineRule="auto"/>
      </w:pPr>
      <w:r w:rsidRPr="006E709F">
        <w:rPr>
          <w:i/>
        </w:rPr>
        <w:t>[If relevant]</w:t>
      </w:r>
      <w:r w:rsidRPr="006E709F">
        <w:t xml:space="preserve"> Fees and costs for particular investment options are set out on page </w:t>
      </w:r>
      <w:r w:rsidRPr="006E709F">
        <w:rPr>
          <w:i/>
        </w:rPr>
        <w:t>[insert page number]</w:t>
      </w:r>
      <w:r w:rsidRPr="006E709F">
        <w:t>.</w:t>
      </w:r>
    </w:p>
    <w:p w:rsidR="006A221B" w:rsidRPr="006E709F" w:rsidRDefault="006A221B" w:rsidP="006A221B">
      <w:pPr>
        <w:spacing w:line="240" w:lineRule="auto"/>
        <w:rPr>
          <w:sz w:val="16"/>
          <w:szCs w:val="16"/>
        </w:rPr>
      </w:pPr>
    </w:p>
    <w:tbl>
      <w:tblPr>
        <w:tblW w:w="5000" w:type="pct"/>
        <w:tblBorders>
          <w:top w:val="single" w:sz="12" w:space="0" w:color="auto"/>
          <w:bottom w:val="single" w:sz="2" w:space="0" w:color="auto"/>
          <w:insideH w:val="single" w:sz="12" w:space="0" w:color="auto"/>
        </w:tblBorders>
        <w:tblLook w:val="0000" w:firstRow="0" w:lastRow="0" w:firstColumn="0" w:lastColumn="0" w:noHBand="0" w:noVBand="0"/>
      </w:tblPr>
      <w:tblGrid>
        <w:gridCol w:w="2385"/>
        <w:gridCol w:w="1881"/>
        <w:gridCol w:w="2132"/>
        <w:gridCol w:w="2131"/>
      </w:tblGrid>
      <w:tr w:rsidR="00677261" w:rsidRPr="006E709F" w:rsidTr="00E118FA">
        <w:trPr>
          <w:tblHeader/>
        </w:trPr>
        <w:tc>
          <w:tcPr>
            <w:tcW w:w="5000" w:type="pct"/>
            <w:gridSpan w:val="4"/>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F2E0A">
            <w:pPr>
              <w:pStyle w:val="TableHeading"/>
              <w:rPr>
                <w:i/>
              </w:rPr>
            </w:pPr>
            <w:r w:rsidRPr="006E709F">
              <w:rPr>
                <w:i/>
              </w:rPr>
              <w:t xml:space="preserve">[Name of </w:t>
            </w:r>
            <w:r w:rsidR="0098212A" w:rsidRPr="006E709F">
              <w:rPr>
                <w:i/>
              </w:rPr>
              <w:t>collective investment product</w:t>
            </w:r>
            <w:r w:rsidRPr="006E709F">
              <w:rPr>
                <w:i/>
              </w:rPr>
              <w:t>]</w:t>
            </w:r>
          </w:p>
        </w:tc>
      </w:tr>
      <w:tr w:rsidR="00677261" w:rsidRPr="006E709F" w:rsidTr="00E118FA">
        <w:trPr>
          <w:tblHeader/>
        </w:trPr>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r w:rsidRPr="006E709F">
              <w:rPr>
                <w:b/>
              </w:rPr>
              <w:t>Type of fee or cost</w:t>
            </w:r>
          </w:p>
        </w:tc>
        <w:tc>
          <w:tcPr>
            <w:tcW w:w="2353" w:type="pct"/>
            <w:gridSpan w:val="2"/>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r w:rsidRPr="006E709F">
              <w:rPr>
                <w:b/>
              </w:rPr>
              <w:t xml:space="preserve">Amount </w:t>
            </w: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r w:rsidRPr="006E709F">
              <w:rPr>
                <w:b/>
              </w:rPr>
              <w:t>How and when paid</w:t>
            </w:r>
          </w:p>
        </w:tc>
      </w:tr>
      <w:tr w:rsidR="00677261" w:rsidRPr="006E709F" w:rsidTr="00E118FA">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r w:rsidRPr="006E709F">
              <w:rPr>
                <w:b/>
              </w:rPr>
              <w:t>Option to pay contribution fees upfront</w:t>
            </w: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r w:rsidRPr="006E709F">
              <w:rPr>
                <w:b/>
              </w:rPr>
              <w:t>Option to pay contribution fees later</w:t>
            </w: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p>
        </w:tc>
      </w:tr>
      <w:tr w:rsidR="00677261" w:rsidRPr="006E709F" w:rsidTr="00E118FA">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F2E0A">
            <w:pPr>
              <w:pStyle w:val="Tabletext"/>
              <w:rPr>
                <w:b/>
              </w:rPr>
            </w:pPr>
            <w:r w:rsidRPr="006E709F">
              <w:rPr>
                <w:b/>
              </w:rPr>
              <w:t xml:space="preserve">Fees when your money moves in or out of the </w:t>
            </w:r>
            <w:r w:rsidR="0098212A" w:rsidRPr="006E709F">
              <w:rPr>
                <w:b/>
              </w:rPr>
              <w:t>product</w:t>
            </w: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b/>
              </w:rPr>
            </w:pPr>
          </w:p>
        </w:tc>
      </w:tr>
      <w:tr w:rsidR="00677261" w:rsidRPr="006E709F" w:rsidTr="00E118FA">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i/>
              </w:rPr>
            </w:pPr>
            <w:r w:rsidRPr="006E709F">
              <w:rPr>
                <w:i/>
              </w:rPr>
              <w:t>Establishment fee</w:t>
            </w:r>
          </w:p>
          <w:p w:rsidR="00677261" w:rsidRPr="006E709F" w:rsidRDefault="00677261" w:rsidP="006A221B">
            <w:pPr>
              <w:pStyle w:val="Tabletext"/>
            </w:pPr>
            <w:r w:rsidRPr="006E709F">
              <w:t>The fee to open your investment</w:t>
            </w: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r>
      <w:tr w:rsidR="00677261" w:rsidRPr="006E709F" w:rsidTr="00E118FA">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i/>
              </w:rPr>
            </w:pPr>
            <w:r w:rsidRPr="006E709F">
              <w:rPr>
                <w:i/>
              </w:rPr>
              <w:t>Contribution fee¹</w:t>
            </w:r>
          </w:p>
          <w:p w:rsidR="00677261" w:rsidRPr="006E709F" w:rsidRDefault="00677261" w:rsidP="006A221B">
            <w:pPr>
              <w:pStyle w:val="Tabletext"/>
            </w:pPr>
            <w:r w:rsidRPr="006E709F">
              <w:t>The fee on each amount contributed to your investment</w:t>
            </w: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r>
      <w:tr w:rsidR="00677261" w:rsidRPr="006E709F" w:rsidTr="00E118FA">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i/>
              </w:rPr>
            </w:pPr>
            <w:r w:rsidRPr="006E709F">
              <w:rPr>
                <w:i/>
              </w:rPr>
              <w:t>Withdrawal fee¹</w:t>
            </w:r>
          </w:p>
          <w:p w:rsidR="00677261" w:rsidRPr="006E709F" w:rsidRDefault="00677261" w:rsidP="006A221B">
            <w:pPr>
              <w:pStyle w:val="Tabletext"/>
            </w:pPr>
            <w:r w:rsidRPr="006E709F">
              <w:t>The fee on each amount you take out of your investment</w:t>
            </w: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r>
      <w:tr w:rsidR="00677261" w:rsidRPr="006E709F" w:rsidTr="00E118FA">
        <w:trPr>
          <w:cantSplit/>
        </w:trPr>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i/>
              </w:rPr>
            </w:pPr>
            <w:r w:rsidRPr="006E709F">
              <w:rPr>
                <w:i/>
              </w:rPr>
              <w:t>Exit fee¹</w:t>
            </w:r>
          </w:p>
          <w:p w:rsidR="00677261" w:rsidRPr="006E709F" w:rsidRDefault="00677261" w:rsidP="006A221B">
            <w:pPr>
              <w:pStyle w:val="Tabletext"/>
            </w:pPr>
            <w:r w:rsidRPr="006E709F">
              <w:t>The fee to close your investment</w:t>
            </w: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r>
      <w:tr w:rsidR="00677261" w:rsidRPr="006E709F" w:rsidTr="00E118FA">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rPr>
                <w:b/>
              </w:rPr>
            </w:pPr>
            <w:r w:rsidRPr="006E709F">
              <w:rPr>
                <w:b/>
              </w:rPr>
              <w:t>Management costs</w:t>
            </w: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r>
      <w:tr w:rsidR="00677261" w:rsidRPr="006E709F" w:rsidTr="00E118FA">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i/>
              </w:rPr>
            </w:pPr>
            <w:r w:rsidRPr="006E709F">
              <w:rPr>
                <w:i/>
              </w:rPr>
              <w:t>The fees and costs for managing your investment¹</w:t>
            </w:r>
          </w:p>
          <w:p w:rsidR="00677261" w:rsidRPr="006E709F" w:rsidRDefault="00677261" w:rsidP="006A221B">
            <w:pPr>
              <w:pStyle w:val="Tabletext"/>
            </w:pPr>
            <w:r w:rsidRPr="006E709F">
              <w:t xml:space="preserve">The amount you pay for specific investment options is shown at page </w:t>
            </w:r>
            <w:r w:rsidRPr="006E709F">
              <w:rPr>
                <w:i/>
              </w:rPr>
              <w:t>[insert page number]</w:t>
            </w:r>
            <w:r w:rsidRPr="006E709F">
              <w:t xml:space="preserve"> </w:t>
            </w: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r>
      <w:tr w:rsidR="00677261" w:rsidRPr="006E709F" w:rsidTr="00E118FA">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rPr>
                <w:b/>
              </w:rPr>
            </w:pPr>
            <w:r w:rsidRPr="006E709F">
              <w:rPr>
                <w:b/>
              </w:rPr>
              <w:t>Service fees²</w:t>
            </w: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r>
      <w:tr w:rsidR="00677261" w:rsidRPr="006E709F" w:rsidTr="00E118FA">
        <w:tc>
          <w:tcPr>
            <w:tcW w:w="1398"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i/>
              </w:rPr>
            </w:pPr>
            <w:r w:rsidRPr="006E709F">
              <w:rPr>
                <w:i/>
              </w:rPr>
              <w:t>Switching fee</w:t>
            </w:r>
          </w:p>
          <w:p w:rsidR="00677261" w:rsidRPr="006E709F" w:rsidRDefault="00677261" w:rsidP="006A221B">
            <w:pPr>
              <w:pStyle w:val="Tabletext"/>
            </w:pPr>
            <w:r w:rsidRPr="006E709F">
              <w:t>The fee for changing investment options</w:t>
            </w:r>
          </w:p>
        </w:tc>
        <w:tc>
          <w:tcPr>
            <w:tcW w:w="1103"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5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5133DE">
            <w:pPr>
              <w:pStyle w:val="Tabletext"/>
            </w:pPr>
          </w:p>
        </w:tc>
      </w:tr>
    </w:tbl>
    <w:p w:rsidR="00677261" w:rsidRPr="006E709F" w:rsidRDefault="00677261" w:rsidP="00677261">
      <w:pPr>
        <w:pStyle w:val="notemargin"/>
      </w:pPr>
      <w:r w:rsidRPr="006E709F">
        <w:rPr>
          <w:bCs/>
        </w:rPr>
        <w:t>1.</w:t>
      </w:r>
      <w:r w:rsidRPr="006E709F">
        <w:rPr>
          <w:bCs/>
        </w:rPr>
        <w:tab/>
      </w:r>
      <w:r w:rsidRPr="006E709F">
        <w:t>This fee includes an amount payable to an adviser. (See Division</w:t>
      </w:r>
      <w:r w:rsidR="00DA13DE" w:rsidRPr="006E709F">
        <w:t> </w:t>
      </w:r>
      <w:r w:rsidRPr="006E709F">
        <w:t>4, “Adviser remuneration” under the heading “Additional Explanation of Fees and Costs”.)</w:t>
      </w:r>
    </w:p>
    <w:p w:rsidR="00677261" w:rsidRPr="006E709F" w:rsidRDefault="00677261" w:rsidP="00677261">
      <w:pPr>
        <w:pStyle w:val="notemargin"/>
        <w:rPr>
          <w:i/>
        </w:rPr>
      </w:pPr>
      <w:r w:rsidRPr="006E709F">
        <w:rPr>
          <w:bCs/>
        </w:rPr>
        <w:t>2</w:t>
      </w:r>
      <w:r w:rsidRPr="006E709F">
        <w:t>.</w:t>
      </w:r>
      <w:r w:rsidRPr="006E709F">
        <w:tab/>
      </w:r>
      <w:r w:rsidRPr="006E709F">
        <w:rPr>
          <w:i/>
        </w:rPr>
        <w:t>[If there are other service fees, such as advice fees or special request fees, include a cross</w:t>
      </w:r>
      <w:r w:rsidR="000C4237">
        <w:rPr>
          <w:i/>
        </w:rPr>
        <w:noBreakHyphen/>
      </w:r>
      <w:r w:rsidRPr="006E709F">
        <w:rPr>
          <w:i/>
        </w:rPr>
        <w:t>reference to the “Additional Explanation of Fees and Costs”.]</w:t>
      </w:r>
    </w:p>
    <w:p w:rsidR="00677261" w:rsidRPr="006E709F" w:rsidRDefault="00677261" w:rsidP="00677261">
      <w:pPr>
        <w:pStyle w:val="ActHead5"/>
      </w:pPr>
      <w:bookmarkStart w:id="70" w:name="_Toc160609757"/>
      <w:r w:rsidRPr="000C4237">
        <w:rPr>
          <w:rStyle w:val="CharSectno"/>
        </w:rPr>
        <w:t>202A</w:t>
      </w:r>
      <w:r w:rsidRPr="006E709F">
        <w:t xml:space="preserve">  Template for single fee structure—</w:t>
      </w:r>
      <w:r w:rsidR="0098212A" w:rsidRPr="006E709F">
        <w:t>collective investment products</w:t>
      </w:r>
      <w:bookmarkEnd w:id="70"/>
    </w:p>
    <w:p w:rsidR="00677261" w:rsidRPr="006E709F" w:rsidRDefault="00677261" w:rsidP="000858E6">
      <w:pPr>
        <w:spacing w:before="240" w:line="276" w:lineRule="auto"/>
        <w:rPr>
          <w:rFonts w:ascii="Arial" w:hAnsi="Arial" w:cs="Arial"/>
          <w:b/>
          <w:sz w:val="24"/>
          <w:szCs w:val="24"/>
        </w:rPr>
      </w:pPr>
      <w:r w:rsidRPr="006E709F">
        <w:rPr>
          <w:rFonts w:ascii="Arial" w:hAnsi="Arial" w:cs="Arial"/>
          <w:b/>
          <w:sz w:val="24"/>
          <w:szCs w:val="24"/>
        </w:rPr>
        <w:t>Fees and other costs</w:t>
      </w:r>
    </w:p>
    <w:p w:rsidR="00677261" w:rsidRPr="006E709F" w:rsidRDefault="00677261" w:rsidP="00677261">
      <w:pPr>
        <w:spacing w:line="240" w:lineRule="auto"/>
      </w:pPr>
      <w:r w:rsidRPr="006E709F">
        <w:rPr>
          <w:rFonts w:ascii="Arial" w:hAnsi="Arial" w:cs="Arial"/>
          <w:sz w:val="19"/>
          <w:szCs w:val="19"/>
        </w:rPr>
        <w:t>T</w:t>
      </w:r>
      <w:r w:rsidRPr="006E709F">
        <w:t xml:space="preserve">his document shows fees and other costs that you may be charged. These fees and costs may be deducted from your money, from the returns on your investment or from the assets of the </w:t>
      </w:r>
      <w:r w:rsidR="001C486F" w:rsidRPr="006E709F">
        <w:rPr>
          <w:i/>
        </w:rPr>
        <w:t>[managed investment scheme / retail CCIV]</w:t>
      </w:r>
      <w:r w:rsidRPr="006E709F">
        <w:t xml:space="preserve"> as a whole.</w:t>
      </w:r>
    </w:p>
    <w:p w:rsidR="00677261" w:rsidRPr="006E709F" w:rsidRDefault="00677261" w:rsidP="00677261">
      <w:pPr>
        <w:spacing w:line="240" w:lineRule="auto"/>
      </w:pPr>
    </w:p>
    <w:p w:rsidR="00677261" w:rsidRPr="006E709F" w:rsidRDefault="00677261" w:rsidP="00677261">
      <w:pPr>
        <w:spacing w:line="240" w:lineRule="auto"/>
      </w:pPr>
      <w:r w:rsidRPr="006E709F">
        <w:t>Taxes and insurance costs are set out in another part of this document.</w:t>
      </w:r>
    </w:p>
    <w:p w:rsidR="00677261" w:rsidRPr="006E709F" w:rsidRDefault="00677261" w:rsidP="00677261">
      <w:pPr>
        <w:spacing w:line="240" w:lineRule="auto"/>
      </w:pPr>
    </w:p>
    <w:p w:rsidR="00677261" w:rsidRPr="006E709F" w:rsidRDefault="00677261" w:rsidP="00677261">
      <w:pPr>
        <w:spacing w:line="240" w:lineRule="auto"/>
      </w:pPr>
      <w:r w:rsidRPr="006E709F">
        <w:t>You should read all the information about fees and costs because it is important to understand their impact on your investment.</w:t>
      </w:r>
    </w:p>
    <w:p w:rsidR="00677261" w:rsidRPr="006E709F" w:rsidRDefault="00677261" w:rsidP="00677261">
      <w:pPr>
        <w:spacing w:line="240" w:lineRule="auto"/>
      </w:pPr>
    </w:p>
    <w:p w:rsidR="00677261" w:rsidRPr="006E709F" w:rsidRDefault="00677261" w:rsidP="00677261">
      <w:pPr>
        <w:spacing w:line="240" w:lineRule="auto"/>
      </w:pPr>
      <w:r w:rsidRPr="006E709F">
        <w:rPr>
          <w:i/>
        </w:rPr>
        <w:t>[If relevant]</w:t>
      </w:r>
      <w:r w:rsidRPr="006E709F">
        <w:t xml:space="preserve"> Fees and costs for particular investment options are set out on page </w:t>
      </w:r>
      <w:r w:rsidRPr="006E709F">
        <w:rPr>
          <w:i/>
        </w:rPr>
        <w:t>[insert page number]</w:t>
      </w:r>
      <w:r w:rsidRPr="006E709F">
        <w:t>.</w:t>
      </w:r>
    </w:p>
    <w:p w:rsidR="000858E6" w:rsidRPr="006E709F" w:rsidRDefault="000858E6" w:rsidP="00677261">
      <w:pPr>
        <w:spacing w:line="240" w:lineRule="auto"/>
        <w:rPr>
          <w:sz w:val="16"/>
          <w:szCs w:val="16"/>
        </w:rPr>
      </w:pPr>
    </w:p>
    <w:tbl>
      <w:tblPr>
        <w:tblW w:w="5000" w:type="pct"/>
        <w:tblBorders>
          <w:top w:val="single" w:sz="12" w:space="0" w:color="auto"/>
          <w:bottom w:val="single" w:sz="2" w:space="0" w:color="auto"/>
          <w:insideH w:val="single" w:sz="12" w:space="0" w:color="auto"/>
        </w:tblBorders>
        <w:tblLook w:val="0000" w:firstRow="0" w:lastRow="0" w:firstColumn="0" w:lastColumn="0" w:noHBand="0" w:noVBand="0"/>
      </w:tblPr>
      <w:tblGrid>
        <w:gridCol w:w="2130"/>
        <w:gridCol w:w="4265"/>
        <w:gridCol w:w="2134"/>
      </w:tblGrid>
      <w:tr w:rsidR="00677261" w:rsidRPr="006E709F" w:rsidTr="00E118FA">
        <w:trPr>
          <w:tblHeader/>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F2E0A">
            <w:pPr>
              <w:pStyle w:val="TableHeading"/>
              <w:rPr>
                <w:i/>
              </w:rPr>
            </w:pPr>
            <w:r w:rsidRPr="006E709F">
              <w:rPr>
                <w:i/>
              </w:rPr>
              <w:t xml:space="preserve">[Name of </w:t>
            </w:r>
            <w:r w:rsidR="0098212A" w:rsidRPr="006E709F">
              <w:rPr>
                <w:i/>
              </w:rPr>
              <w:t>collective investment product</w:t>
            </w:r>
            <w:r w:rsidRPr="006E709F">
              <w:rPr>
                <w:i/>
              </w:rPr>
              <w:t>]</w:t>
            </w:r>
          </w:p>
        </w:tc>
      </w:tr>
      <w:tr w:rsidR="00677261" w:rsidRPr="006E709F" w:rsidTr="00E118FA">
        <w:trPr>
          <w:tblHeader/>
        </w:trPr>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Heading"/>
            </w:pPr>
            <w:r w:rsidRPr="006E709F">
              <w:t>Type of fee or cost</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Heading"/>
            </w:pPr>
            <w:r w:rsidRPr="006E709F">
              <w:t xml:space="preserve">Amount </w:t>
            </w: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Heading"/>
            </w:pPr>
            <w:r w:rsidRPr="006E709F">
              <w:t>How and when paid</w:t>
            </w:r>
          </w:p>
        </w:tc>
      </w:tr>
      <w:tr w:rsidR="00677261" w:rsidRPr="006E709F" w:rsidTr="00E118FA">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F2E0A">
            <w:pPr>
              <w:pStyle w:val="TableHeading"/>
            </w:pPr>
            <w:r w:rsidRPr="006E709F">
              <w:t xml:space="preserve">Fees when your money moves in or out of the </w:t>
            </w:r>
            <w:r w:rsidR="00BD52AE" w:rsidRPr="006E709F">
              <w:t>product</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Heading"/>
            </w:pP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Heading"/>
            </w:pPr>
          </w:p>
        </w:tc>
      </w:tr>
      <w:tr w:rsidR="00677261" w:rsidRPr="006E709F" w:rsidTr="00E118FA">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A221B">
            <w:pPr>
              <w:pStyle w:val="Tabletext"/>
              <w:rPr>
                <w:i/>
              </w:rPr>
            </w:pPr>
            <w:r w:rsidRPr="006E709F">
              <w:rPr>
                <w:i/>
              </w:rPr>
              <w:t>Establishment fee</w:t>
            </w:r>
          </w:p>
          <w:p w:rsidR="00677261" w:rsidRPr="006E709F" w:rsidRDefault="00677261" w:rsidP="00DA6FFD">
            <w:pPr>
              <w:pStyle w:val="Tabletext"/>
            </w:pPr>
            <w:r w:rsidRPr="006E709F">
              <w:t>The fee to open your investment</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r>
      <w:tr w:rsidR="00677261" w:rsidRPr="006E709F" w:rsidTr="00E118FA">
        <w:trPr>
          <w:cantSplit/>
        </w:trPr>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text"/>
              <w:rPr>
                <w:i/>
              </w:rPr>
            </w:pPr>
            <w:r w:rsidRPr="006E709F">
              <w:rPr>
                <w:i/>
              </w:rPr>
              <w:t>Contribution fee¹</w:t>
            </w:r>
          </w:p>
          <w:p w:rsidR="00677261" w:rsidRPr="006E709F" w:rsidRDefault="00677261" w:rsidP="00DA6FFD">
            <w:pPr>
              <w:pStyle w:val="Tabletext"/>
            </w:pPr>
            <w:r w:rsidRPr="006E709F">
              <w:t>The fee on each amount contributed to your investment</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r>
      <w:tr w:rsidR="00677261" w:rsidRPr="006E709F" w:rsidTr="00E118FA">
        <w:trPr>
          <w:cantSplit/>
        </w:trPr>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text"/>
              <w:rPr>
                <w:i/>
              </w:rPr>
            </w:pPr>
            <w:r w:rsidRPr="006E709F">
              <w:rPr>
                <w:i/>
              </w:rPr>
              <w:t>Withdrawal fee¹</w:t>
            </w:r>
          </w:p>
          <w:p w:rsidR="00677261" w:rsidRPr="006E709F" w:rsidRDefault="00677261" w:rsidP="00DA6FFD">
            <w:pPr>
              <w:pStyle w:val="Tabletext"/>
            </w:pPr>
            <w:r w:rsidRPr="006E709F">
              <w:t>The fee on each amount you take out of your investment</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r>
      <w:tr w:rsidR="00677261" w:rsidRPr="006E709F" w:rsidTr="00E118FA">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text"/>
              <w:rPr>
                <w:i/>
              </w:rPr>
            </w:pPr>
            <w:r w:rsidRPr="006E709F">
              <w:rPr>
                <w:i/>
              </w:rPr>
              <w:t>Exit fee¹</w:t>
            </w:r>
          </w:p>
          <w:p w:rsidR="00677261" w:rsidRPr="006E709F" w:rsidRDefault="00677261" w:rsidP="00DA6FFD">
            <w:pPr>
              <w:pStyle w:val="Tabletext"/>
            </w:pPr>
            <w:r w:rsidRPr="006E709F">
              <w:t>The fee to close your investment</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0858E6">
            <w:pPr>
              <w:keepNext/>
              <w:keepLines/>
              <w:spacing w:line="240" w:lineRule="auto"/>
            </w:pP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0858E6">
            <w:pPr>
              <w:keepNext/>
              <w:keepLines/>
              <w:spacing w:line="240" w:lineRule="auto"/>
            </w:pPr>
          </w:p>
        </w:tc>
      </w:tr>
      <w:tr w:rsidR="00677261" w:rsidRPr="006E709F" w:rsidTr="00E118FA">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Heading"/>
            </w:pPr>
            <w:r w:rsidRPr="006E709F">
              <w:t>Management costs</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Heading"/>
            </w:pP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Heading"/>
            </w:pPr>
          </w:p>
        </w:tc>
      </w:tr>
      <w:tr w:rsidR="00677261" w:rsidRPr="006E709F" w:rsidTr="00E118FA">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text"/>
              <w:rPr>
                <w:i/>
              </w:rPr>
            </w:pPr>
            <w:r w:rsidRPr="006E709F">
              <w:rPr>
                <w:i/>
              </w:rPr>
              <w:t>The fees and costs for managing your investment¹</w:t>
            </w:r>
          </w:p>
          <w:p w:rsidR="00677261" w:rsidRPr="006E709F" w:rsidRDefault="00677261" w:rsidP="00DA6FFD">
            <w:pPr>
              <w:pStyle w:val="Tabletext"/>
            </w:pPr>
            <w:r w:rsidRPr="006E709F">
              <w:t xml:space="preserve">The amount you pay for specific investment options is shown at page </w:t>
            </w:r>
            <w:r w:rsidRPr="006E709F">
              <w:rPr>
                <w:i/>
              </w:rPr>
              <w:t>[insert page number]</w:t>
            </w:r>
            <w:r w:rsidRPr="006E709F">
              <w:t xml:space="preserve"> </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r>
      <w:tr w:rsidR="00677261" w:rsidRPr="006E709F" w:rsidTr="00E118FA">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Heading"/>
            </w:pPr>
            <w:r w:rsidRPr="006E709F">
              <w:t>Service fees²</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Heading"/>
            </w:pP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Heading"/>
            </w:pPr>
          </w:p>
        </w:tc>
      </w:tr>
      <w:tr w:rsidR="00677261" w:rsidRPr="006E709F" w:rsidTr="00E118FA">
        <w:tc>
          <w:tcPr>
            <w:tcW w:w="1249"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A53AD1">
            <w:pPr>
              <w:pStyle w:val="Tabletext"/>
              <w:rPr>
                <w:i/>
              </w:rPr>
            </w:pPr>
            <w:r w:rsidRPr="006E709F">
              <w:rPr>
                <w:i/>
              </w:rPr>
              <w:t>Switching fee</w:t>
            </w:r>
          </w:p>
          <w:p w:rsidR="00677261" w:rsidRPr="006E709F" w:rsidRDefault="00677261" w:rsidP="00DA6FFD">
            <w:pPr>
              <w:pStyle w:val="Tabletext"/>
            </w:pPr>
            <w:r w:rsidRPr="006E709F">
              <w:t>The fee for changing investment options</w:t>
            </w:r>
          </w:p>
        </w:tc>
        <w:tc>
          <w:tcPr>
            <w:tcW w:w="2500"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c>
          <w:tcPr>
            <w:tcW w:w="1251" w:type="pct"/>
            <w:tcBorders>
              <w:top w:val="single" w:sz="2" w:space="0" w:color="auto"/>
              <w:left w:val="single" w:sz="2" w:space="0" w:color="auto"/>
              <w:bottom w:val="single" w:sz="2" w:space="0" w:color="auto"/>
              <w:right w:val="single" w:sz="2" w:space="0" w:color="auto"/>
            </w:tcBorders>
            <w:shd w:val="clear" w:color="auto" w:fill="auto"/>
          </w:tcPr>
          <w:p w:rsidR="00677261" w:rsidRPr="006E709F" w:rsidRDefault="00677261" w:rsidP="00677261">
            <w:pPr>
              <w:spacing w:line="240" w:lineRule="auto"/>
            </w:pPr>
          </w:p>
        </w:tc>
      </w:tr>
    </w:tbl>
    <w:p w:rsidR="00677261" w:rsidRPr="006E709F" w:rsidRDefault="00677261" w:rsidP="00677261">
      <w:pPr>
        <w:pStyle w:val="notemargin"/>
      </w:pPr>
      <w:r w:rsidRPr="006E709F">
        <w:rPr>
          <w:bCs/>
        </w:rPr>
        <w:t>1.</w:t>
      </w:r>
      <w:r w:rsidRPr="006E709F">
        <w:rPr>
          <w:bCs/>
        </w:rPr>
        <w:tab/>
      </w:r>
      <w:r w:rsidRPr="006E709F">
        <w:t>This fee includes an amount payable to an adviser. (See Division</w:t>
      </w:r>
      <w:r w:rsidR="00DA13DE" w:rsidRPr="006E709F">
        <w:t> </w:t>
      </w:r>
      <w:r w:rsidRPr="006E709F">
        <w:t>4, “Adviser remuneration” under the heading “Additional Explanation of Fees and Costs”.)</w:t>
      </w:r>
    </w:p>
    <w:p w:rsidR="00677261" w:rsidRPr="006E709F" w:rsidRDefault="00677261" w:rsidP="00677261">
      <w:pPr>
        <w:pStyle w:val="notemargin"/>
      </w:pPr>
      <w:r w:rsidRPr="006E709F">
        <w:rPr>
          <w:bCs/>
        </w:rPr>
        <w:t>2</w:t>
      </w:r>
      <w:r w:rsidRPr="006E709F">
        <w:t>.</w:t>
      </w:r>
      <w:r w:rsidRPr="006E709F">
        <w:tab/>
      </w:r>
      <w:r w:rsidRPr="006E709F">
        <w:rPr>
          <w:i/>
        </w:rPr>
        <w:t>[If there are other service fees, such as advice fees or special request fees, include a cross</w:t>
      </w:r>
      <w:r w:rsidR="000C4237">
        <w:rPr>
          <w:i/>
        </w:rPr>
        <w:noBreakHyphen/>
      </w:r>
      <w:r w:rsidRPr="006E709F">
        <w:rPr>
          <w:i/>
        </w:rPr>
        <w:t>reference to the “Additional Explanation of Fees and Costs”.]</w:t>
      </w:r>
    </w:p>
    <w:p w:rsidR="002A22A4" w:rsidRPr="006E709F" w:rsidRDefault="00A801D0" w:rsidP="00A801D0">
      <w:pPr>
        <w:pStyle w:val="ActHead3"/>
        <w:pageBreakBefore/>
      </w:pPr>
      <w:bookmarkStart w:id="71" w:name="_Toc160609758"/>
      <w:r w:rsidRPr="000C4237">
        <w:rPr>
          <w:rStyle w:val="CharDivNo"/>
        </w:rPr>
        <w:t>Division</w:t>
      </w:r>
      <w:r w:rsidR="00DA13DE" w:rsidRPr="000C4237">
        <w:rPr>
          <w:rStyle w:val="CharDivNo"/>
        </w:rPr>
        <w:t> </w:t>
      </w:r>
      <w:r w:rsidR="002A22A4" w:rsidRPr="000C4237">
        <w:rPr>
          <w:rStyle w:val="CharDivNo"/>
        </w:rPr>
        <w:t>3</w:t>
      </w:r>
      <w:r w:rsidR="0069387B" w:rsidRPr="006E709F">
        <w:t>—</w:t>
      </w:r>
      <w:r w:rsidR="002A22A4" w:rsidRPr="000C4237">
        <w:rPr>
          <w:rStyle w:val="CharDivText"/>
        </w:rPr>
        <w:t>How to fill in the template</w:t>
      </w:r>
      <w:bookmarkEnd w:id="71"/>
    </w:p>
    <w:p w:rsidR="002A22A4" w:rsidRPr="006E709F" w:rsidRDefault="002A22A4" w:rsidP="00D5406C">
      <w:pPr>
        <w:pStyle w:val="ActHead5"/>
      </w:pPr>
      <w:bookmarkStart w:id="72" w:name="_Toc160609759"/>
      <w:r w:rsidRPr="000C4237">
        <w:rPr>
          <w:rStyle w:val="CharSectno"/>
        </w:rPr>
        <w:t>203</w:t>
      </w:r>
      <w:r w:rsidR="00A801D0" w:rsidRPr="006E709F">
        <w:t xml:space="preserve">  </w:t>
      </w:r>
      <w:r w:rsidRPr="006E709F">
        <w:t>The preamble</w:t>
      </w:r>
      <w:bookmarkEnd w:id="72"/>
    </w:p>
    <w:p w:rsidR="002A22A4" w:rsidRPr="006E709F" w:rsidRDefault="002A22A4" w:rsidP="00A801D0">
      <w:pPr>
        <w:pStyle w:val="subsection"/>
      </w:pPr>
      <w:r w:rsidRPr="006E709F">
        <w:tab/>
      </w:r>
      <w:r w:rsidRPr="006E709F">
        <w:tab/>
        <w:t>The material in the preamble to the template should only include matters that are relevant to the product.</w:t>
      </w:r>
    </w:p>
    <w:p w:rsidR="002A22A4" w:rsidRPr="006E709F" w:rsidRDefault="002A22A4" w:rsidP="00BF7680">
      <w:pPr>
        <w:pStyle w:val="notetext"/>
      </w:pPr>
      <w:r w:rsidRPr="006E709F">
        <w:t>Example</w:t>
      </w:r>
      <w:r w:rsidR="00B51393" w:rsidRPr="006E709F">
        <w:t>:</w:t>
      </w:r>
      <w:r w:rsidR="00B51393" w:rsidRPr="006E709F">
        <w:tab/>
      </w:r>
      <w:r w:rsidRPr="006E709F">
        <w:t xml:space="preserve">Insurance costs will generally not be relevant to a </w:t>
      </w:r>
      <w:r w:rsidR="00BD52AE" w:rsidRPr="006E709F">
        <w:t>collective investment product</w:t>
      </w:r>
      <w:r w:rsidRPr="006E709F">
        <w:t>.</w:t>
      </w:r>
    </w:p>
    <w:p w:rsidR="002A22A4" w:rsidRPr="006E709F" w:rsidRDefault="002A22A4" w:rsidP="0054091E">
      <w:pPr>
        <w:pStyle w:val="ActHead5"/>
      </w:pPr>
      <w:bookmarkStart w:id="73" w:name="_Toc160609760"/>
      <w:r w:rsidRPr="000C4237">
        <w:rPr>
          <w:rStyle w:val="CharSectno"/>
        </w:rPr>
        <w:t>204</w:t>
      </w:r>
      <w:r w:rsidR="00A801D0" w:rsidRPr="006E709F">
        <w:t xml:space="preserve">  </w:t>
      </w:r>
      <w:r w:rsidRPr="006E709F">
        <w:t>Column 2</w:t>
      </w:r>
      <w:r w:rsidR="00A801D0" w:rsidRPr="006E709F">
        <w:t>—</w:t>
      </w:r>
      <w:r w:rsidRPr="006E709F">
        <w:t>presentation of amounts</w:t>
      </w:r>
      <w:bookmarkEnd w:id="73"/>
    </w:p>
    <w:p w:rsidR="002A22A4" w:rsidRPr="006E709F" w:rsidRDefault="002A22A4" w:rsidP="00A801D0">
      <w:pPr>
        <w:pStyle w:val="subsection"/>
      </w:pPr>
      <w:r w:rsidRPr="006E709F">
        <w:tab/>
        <w:t>(1)</w:t>
      </w:r>
      <w:r w:rsidRPr="006E709F">
        <w:tab/>
        <w:t>This clause, clause</w:t>
      </w:r>
      <w:r w:rsidR="00DA13DE" w:rsidRPr="006E709F">
        <w:t> </w:t>
      </w:r>
      <w:r w:rsidRPr="006E709F">
        <w:t>205 and clause</w:t>
      </w:r>
      <w:r w:rsidR="00DA13DE" w:rsidRPr="006E709F">
        <w:t> </w:t>
      </w:r>
      <w:r w:rsidRPr="006E709F">
        <w:t>206 are subject to regulations</w:t>
      </w:r>
      <w:r w:rsidR="00DA13DE" w:rsidRPr="006E709F">
        <w:t> </w:t>
      </w:r>
      <w:r w:rsidRPr="006E709F">
        <w:t>7.9.15A, 7.9.15B and 7.9.15C.</w:t>
      </w:r>
    </w:p>
    <w:p w:rsidR="002A22A4" w:rsidRPr="006E709F" w:rsidRDefault="002A22A4" w:rsidP="00A801D0">
      <w:pPr>
        <w:pStyle w:val="subsection"/>
      </w:pPr>
      <w:r w:rsidRPr="006E709F">
        <w:tab/>
        <w:t>(2)</w:t>
      </w:r>
      <w:r w:rsidRPr="006E709F">
        <w:tab/>
        <w:t>If a particular fee or cost is not charged, ‘nil’, ‘zero’, ‘0’ or ‘not applicable’ (if it would not be misleading) must be written in column 2 opposite the type of fee or cost.</w:t>
      </w:r>
    </w:p>
    <w:p w:rsidR="002A22A4" w:rsidRPr="006E709F" w:rsidRDefault="002A22A4" w:rsidP="00A801D0">
      <w:pPr>
        <w:pStyle w:val="subsection"/>
      </w:pPr>
      <w:r w:rsidRPr="006E709F">
        <w:tab/>
        <w:t>(3)</w:t>
      </w:r>
      <w:r w:rsidRPr="006E709F">
        <w:tab/>
        <w:t>If it is not possible to determine a single amount or percentage of a fee or cost, it may be written as a range of fees or costs.</w:t>
      </w:r>
    </w:p>
    <w:p w:rsidR="002A22A4" w:rsidRPr="006E709F" w:rsidRDefault="002A22A4" w:rsidP="00A801D0">
      <w:pPr>
        <w:pStyle w:val="subsection"/>
      </w:pPr>
      <w:r w:rsidRPr="006E709F">
        <w:tab/>
        <w:t>(4)</w:t>
      </w:r>
      <w:r w:rsidRPr="006E709F">
        <w:tab/>
        <w:t>If the exact amount of a fee or cost paid or payable is not known, an amount that is a reasonable estimate of the amount attributable to the retail client must be shown.</w:t>
      </w:r>
    </w:p>
    <w:p w:rsidR="002A22A4" w:rsidRPr="006E709F" w:rsidRDefault="002A22A4" w:rsidP="00A801D0">
      <w:pPr>
        <w:pStyle w:val="subsection"/>
      </w:pPr>
      <w:r w:rsidRPr="006E709F">
        <w:tab/>
        <w:t>(5)</w:t>
      </w:r>
      <w:r w:rsidRPr="006E709F">
        <w:tab/>
        <w:t xml:space="preserve">An amount set out in accordance with </w:t>
      </w:r>
      <w:r w:rsidR="00DA13DE" w:rsidRPr="006E709F">
        <w:t>subclause (</w:t>
      </w:r>
      <w:r w:rsidRPr="006E709F">
        <w:t>4) must be clearly designated as an estimate.</w:t>
      </w:r>
    </w:p>
    <w:p w:rsidR="002A22A4" w:rsidRPr="006E709F" w:rsidRDefault="002A22A4" w:rsidP="00A801D0">
      <w:pPr>
        <w:pStyle w:val="subsection"/>
      </w:pPr>
      <w:r w:rsidRPr="006E709F">
        <w:tab/>
        <w:t>(6)</w:t>
      </w:r>
      <w:r w:rsidRPr="006E709F">
        <w:tab/>
        <w:t>If an amount or cost has a number of components, the amount of each component must be listed separately.</w:t>
      </w:r>
    </w:p>
    <w:p w:rsidR="002A22A4" w:rsidRPr="006E709F" w:rsidRDefault="002A22A4" w:rsidP="00BF7680">
      <w:pPr>
        <w:pStyle w:val="notetext"/>
      </w:pPr>
      <w:r w:rsidRPr="006E709F">
        <w:t>Example</w:t>
      </w:r>
      <w:r w:rsidR="00B51393" w:rsidRPr="006E709F">
        <w:t>:</w:t>
      </w:r>
      <w:r w:rsidR="00B51393" w:rsidRPr="006E709F">
        <w:tab/>
      </w:r>
      <w:r w:rsidRPr="006E709F">
        <w:t xml:space="preserve">Management costs: 1.8% of </w:t>
      </w:r>
      <w:r w:rsidR="00D40A21" w:rsidRPr="006E709F">
        <w:t>product holder’s balance</w:t>
      </w:r>
      <w:r w:rsidRPr="006E709F">
        <w:t xml:space="preserve"> + $70 per year.</w:t>
      </w:r>
    </w:p>
    <w:p w:rsidR="00BD52AE" w:rsidRPr="006E709F" w:rsidRDefault="00BD52AE" w:rsidP="00BD52AE">
      <w:pPr>
        <w:pStyle w:val="subsection"/>
      </w:pPr>
      <w:r w:rsidRPr="006E709F">
        <w:tab/>
        <w:t>(7)</w:t>
      </w:r>
      <w:r w:rsidRPr="006E709F">
        <w:tab/>
        <w:t>A cost or amount paid or payable must include (if applicable):</w:t>
      </w:r>
    </w:p>
    <w:p w:rsidR="00BD52AE" w:rsidRPr="006E709F" w:rsidRDefault="00BD52AE" w:rsidP="00BD52AE">
      <w:pPr>
        <w:pStyle w:val="paragraph"/>
      </w:pPr>
      <w:r w:rsidRPr="006E709F">
        <w:tab/>
        <w:t>(a)</w:t>
      </w:r>
      <w:r w:rsidRPr="006E709F">
        <w:tab/>
        <w:t>for each collective investment product:</w:t>
      </w:r>
    </w:p>
    <w:p w:rsidR="00BD52AE" w:rsidRPr="006E709F" w:rsidRDefault="00BD52AE" w:rsidP="00BD52AE">
      <w:pPr>
        <w:pStyle w:val="paragraphsub"/>
      </w:pPr>
      <w:r w:rsidRPr="006E709F">
        <w:tab/>
        <w:t>(i)</w:t>
      </w:r>
      <w:r w:rsidRPr="006E709F">
        <w:tab/>
        <w:t>GST, after being reduced by any reduced input tax credits; and</w:t>
      </w:r>
    </w:p>
    <w:p w:rsidR="00BD52AE" w:rsidRPr="006E709F" w:rsidRDefault="00BD52AE" w:rsidP="00BD52AE">
      <w:pPr>
        <w:pStyle w:val="paragraphsub"/>
      </w:pPr>
      <w:r w:rsidRPr="006E709F">
        <w:tab/>
        <w:t>(ii)</w:t>
      </w:r>
      <w:r w:rsidRPr="006E709F">
        <w:tab/>
        <w:t>stamp duty; and</w:t>
      </w:r>
    </w:p>
    <w:p w:rsidR="00BD52AE" w:rsidRPr="006E709F" w:rsidRDefault="00BD52AE" w:rsidP="00BD52AE">
      <w:pPr>
        <w:pStyle w:val="paragraph"/>
      </w:pPr>
      <w:r w:rsidRPr="006E709F">
        <w:tab/>
        <w:t>(b)</w:t>
      </w:r>
      <w:r w:rsidRPr="006E709F">
        <w:tab/>
        <w:t>for each collective investment product offered by an Australian passport fund or a notified foreign passport fund:</w:t>
      </w:r>
    </w:p>
    <w:p w:rsidR="00BD52AE" w:rsidRPr="006E709F" w:rsidRDefault="00BD52AE" w:rsidP="00BD52AE">
      <w:pPr>
        <w:pStyle w:val="paragraphsub"/>
      </w:pPr>
      <w:r w:rsidRPr="006E709F">
        <w:tab/>
        <w:t>(i)</w:t>
      </w:r>
      <w:r w:rsidRPr="006E709F">
        <w:tab/>
        <w:t>any indirect taxes equivalent to GST that are payable in another jurisdiction, after being reduced by any applicable tax credits that are available in that jurisdiction; and</w:t>
      </w:r>
    </w:p>
    <w:p w:rsidR="00BD52AE" w:rsidRPr="006E709F" w:rsidRDefault="00BD52AE" w:rsidP="00BD52AE">
      <w:pPr>
        <w:pStyle w:val="paragraphsub"/>
      </w:pPr>
      <w:r w:rsidRPr="006E709F">
        <w:tab/>
        <w:t>(ii)</w:t>
      </w:r>
      <w:r w:rsidRPr="006E709F">
        <w:tab/>
        <w:t>any duties equivalent to stamp duty that are payable in another jurisdiction.</w:t>
      </w:r>
    </w:p>
    <w:p w:rsidR="00D40A21" w:rsidRPr="006E709F" w:rsidRDefault="00D40A21" w:rsidP="00D40A21">
      <w:pPr>
        <w:pStyle w:val="ActHead5"/>
      </w:pPr>
      <w:bookmarkStart w:id="74" w:name="_Toc160609761"/>
      <w:r w:rsidRPr="000C4237">
        <w:rPr>
          <w:rStyle w:val="CharSectno"/>
        </w:rPr>
        <w:t>205</w:t>
      </w:r>
      <w:r w:rsidRPr="006E709F">
        <w:t xml:space="preserve">  Column 2—include information for each MySuper product or investment option</w:t>
      </w:r>
      <w:bookmarkEnd w:id="74"/>
    </w:p>
    <w:p w:rsidR="00D40A21" w:rsidRPr="006E709F" w:rsidRDefault="00D40A21" w:rsidP="00D40A21">
      <w:pPr>
        <w:pStyle w:val="subsection"/>
      </w:pPr>
      <w:r w:rsidRPr="006E709F">
        <w:tab/>
        <w:t>(1)</w:t>
      </w:r>
      <w:r w:rsidRPr="006E709F">
        <w:tab/>
        <w:t>The fee information must be set out:</w:t>
      </w:r>
    </w:p>
    <w:p w:rsidR="00D40A21" w:rsidRPr="006E709F" w:rsidRDefault="00D40A21" w:rsidP="00D40A21">
      <w:pPr>
        <w:pStyle w:val="paragraph"/>
      </w:pPr>
      <w:r w:rsidRPr="006E709F">
        <w:tab/>
        <w:t>(a)</w:t>
      </w:r>
      <w:r w:rsidRPr="006E709F">
        <w:tab/>
        <w:t>for superannuation products—for each MySuper product and each investment option offered by the relevant superannuation entity; and</w:t>
      </w:r>
    </w:p>
    <w:p w:rsidR="00D40A21" w:rsidRPr="006E709F" w:rsidRDefault="00D40A21" w:rsidP="00D40A21">
      <w:pPr>
        <w:pStyle w:val="paragraph"/>
      </w:pPr>
      <w:r w:rsidRPr="006E709F">
        <w:tab/>
        <w:t>(b)</w:t>
      </w:r>
      <w:r w:rsidRPr="006E709F">
        <w:tab/>
        <w:t xml:space="preserve">for </w:t>
      </w:r>
      <w:r w:rsidR="00BD52AE" w:rsidRPr="006E709F">
        <w:t>collective investment products</w:t>
      </w:r>
      <w:r w:rsidRPr="006E709F">
        <w:t>—for each investment option offered by the relevant managed investment scheme</w:t>
      </w:r>
      <w:r w:rsidR="00B800B7" w:rsidRPr="006E709F">
        <w:t xml:space="preserve"> or retail CCIV</w:t>
      </w:r>
      <w:r w:rsidRPr="006E709F">
        <w:t>.</w:t>
      </w:r>
    </w:p>
    <w:p w:rsidR="00D40A21" w:rsidRPr="006E709F" w:rsidRDefault="00D40A21" w:rsidP="00D40A21">
      <w:pPr>
        <w:pStyle w:val="subsection"/>
      </w:pPr>
      <w:r w:rsidRPr="006E709F">
        <w:tab/>
        <w:t>(2)</w:t>
      </w:r>
      <w:r w:rsidRPr="006E709F">
        <w:tab/>
        <w:t>It may be:</w:t>
      </w:r>
    </w:p>
    <w:p w:rsidR="00D40A21" w:rsidRPr="006E709F" w:rsidRDefault="00D40A21" w:rsidP="00D40A21">
      <w:pPr>
        <w:pStyle w:val="paragraph"/>
      </w:pPr>
      <w:r w:rsidRPr="006E709F">
        <w:tab/>
        <w:t>(a)</w:t>
      </w:r>
      <w:r w:rsidRPr="006E709F">
        <w:tab/>
        <w:t>set out in the table; or</w:t>
      </w:r>
    </w:p>
    <w:p w:rsidR="00D40A21" w:rsidRPr="006E709F" w:rsidRDefault="00D40A21" w:rsidP="00D40A21">
      <w:pPr>
        <w:pStyle w:val="paragraph"/>
      </w:pPr>
      <w:r w:rsidRPr="006E709F">
        <w:tab/>
        <w:t>(b)</w:t>
      </w:r>
      <w:r w:rsidRPr="006E709F">
        <w:tab/>
        <w:t>cross</w:t>
      </w:r>
      <w:r w:rsidR="000C4237">
        <w:noBreakHyphen/>
      </w:r>
      <w:r w:rsidRPr="006E709F">
        <w:t>referenced in the table to another section of the Product Disclosure Statement that contains the relevant fee information.</w:t>
      </w:r>
    </w:p>
    <w:p w:rsidR="002A22A4" w:rsidRPr="006E709F" w:rsidRDefault="002A22A4" w:rsidP="00D5406C">
      <w:pPr>
        <w:pStyle w:val="ActHead5"/>
      </w:pPr>
      <w:bookmarkStart w:id="75" w:name="_Toc160609762"/>
      <w:r w:rsidRPr="000C4237">
        <w:rPr>
          <w:rStyle w:val="CharSectno"/>
        </w:rPr>
        <w:t>206</w:t>
      </w:r>
      <w:r w:rsidR="00A801D0" w:rsidRPr="006E709F">
        <w:t xml:space="preserve">  </w:t>
      </w:r>
      <w:r w:rsidRPr="006E709F">
        <w:t>Presentation of multiple fee payment options</w:t>
      </w:r>
      <w:bookmarkEnd w:id="75"/>
    </w:p>
    <w:p w:rsidR="002A22A4" w:rsidRPr="006E709F" w:rsidRDefault="002A22A4" w:rsidP="00A801D0">
      <w:pPr>
        <w:pStyle w:val="subsection"/>
      </w:pPr>
      <w:r w:rsidRPr="006E709F">
        <w:tab/>
      </w:r>
      <w:r w:rsidRPr="006E709F">
        <w:tab/>
        <w:t xml:space="preserve">If </w:t>
      </w:r>
      <w:r w:rsidR="00D40A21" w:rsidRPr="006E709F">
        <w:t>a superannuation entity</w:t>
      </w:r>
      <w:r w:rsidR="00B800B7" w:rsidRPr="006E709F">
        <w:t>, managed investment scheme or retail CCIV</w:t>
      </w:r>
      <w:r w:rsidRPr="006E709F">
        <w:t xml:space="preserve"> has more than 2 options for the payment of fees:</w:t>
      </w:r>
    </w:p>
    <w:p w:rsidR="002A22A4" w:rsidRPr="006E709F" w:rsidRDefault="002A22A4" w:rsidP="00A801D0">
      <w:pPr>
        <w:pStyle w:val="paragraph"/>
      </w:pPr>
      <w:r w:rsidRPr="006E709F">
        <w:tab/>
        <w:t>(a)</w:t>
      </w:r>
      <w:r w:rsidRPr="006E709F">
        <w:tab/>
        <w:t>the number of fee payment options must be set out in the preamble; and</w:t>
      </w:r>
    </w:p>
    <w:p w:rsidR="002A22A4" w:rsidRPr="006E709F" w:rsidRDefault="002A22A4" w:rsidP="00A801D0">
      <w:pPr>
        <w:pStyle w:val="paragraph"/>
      </w:pPr>
      <w:r w:rsidRPr="006E709F">
        <w:tab/>
        <w:t>(b)</w:t>
      </w:r>
      <w:r w:rsidRPr="006E709F">
        <w:tab/>
        <w:t>details of all fee payment options must be set out in the template.</w:t>
      </w:r>
    </w:p>
    <w:p w:rsidR="002A22A4" w:rsidRPr="006E709F" w:rsidRDefault="002A22A4" w:rsidP="00D5406C">
      <w:pPr>
        <w:pStyle w:val="ActHead5"/>
      </w:pPr>
      <w:bookmarkStart w:id="76" w:name="_Toc160609763"/>
      <w:r w:rsidRPr="000C4237">
        <w:rPr>
          <w:rStyle w:val="CharSectno"/>
        </w:rPr>
        <w:t>207</w:t>
      </w:r>
      <w:r w:rsidR="00A801D0" w:rsidRPr="006E709F">
        <w:t xml:space="preserve">  </w:t>
      </w:r>
      <w:r w:rsidRPr="006E709F">
        <w:t>Column 3</w:t>
      </w:r>
      <w:r w:rsidR="00A801D0" w:rsidRPr="006E709F">
        <w:t>—</w:t>
      </w:r>
      <w:r w:rsidRPr="006E709F">
        <w:t>how and when fees and costs are payable</w:t>
      </w:r>
      <w:bookmarkEnd w:id="76"/>
    </w:p>
    <w:p w:rsidR="002A22A4" w:rsidRPr="006E709F" w:rsidRDefault="002A22A4" w:rsidP="00A801D0">
      <w:pPr>
        <w:pStyle w:val="subsection"/>
      </w:pPr>
      <w:r w:rsidRPr="006E709F">
        <w:tab/>
      </w:r>
      <w:r w:rsidRPr="006E709F">
        <w:tab/>
        <w:t>Column 3 of the template must set out:</w:t>
      </w:r>
    </w:p>
    <w:p w:rsidR="002A22A4" w:rsidRPr="006E709F" w:rsidRDefault="002A22A4" w:rsidP="00A801D0">
      <w:pPr>
        <w:pStyle w:val="paragraph"/>
      </w:pPr>
      <w:r w:rsidRPr="006E709F">
        <w:tab/>
        <w:t>(a)</w:t>
      </w:r>
      <w:r w:rsidRPr="006E709F">
        <w:tab/>
        <w:t>how the fee is or will be recovered, for example by deduction from:</w:t>
      </w:r>
    </w:p>
    <w:p w:rsidR="002A22A4" w:rsidRPr="006E709F" w:rsidRDefault="002A22A4" w:rsidP="00A801D0">
      <w:pPr>
        <w:pStyle w:val="paragraphsub"/>
      </w:pPr>
      <w:r w:rsidRPr="006E709F">
        <w:tab/>
        <w:t>(i)</w:t>
      </w:r>
      <w:r w:rsidRPr="006E709F">
        <w:tab/>
        <w:t>the member’s investment balance; or</w:t>
      </w:r>
    </w:p>
    <w:p w:rsidR="00D40A21" w:rsidRPr="006E709F" w:rsidRDefault="00D40A21" w:rsidP="00D40A21">
      <w:pPr>
        <w:pStyle w:val="paragraphsub"/>
      </w:pPr>
      <w:r w:rsidRPr="006E709F">
        <w:tab/>
        <w:t>(ii)</w:t>
      </w:r>
      <w:r w:rsidRPr="006E709F">
        <w:tab/>
        <w:t>the assets of the superannuation entity or managed investment scheme;</w:t>
      </w:r>
    </w:p>
    <w:p w:rsidR="002A22A4" w:rsidRPr="006E709F" w:rsidRDefault="002A22A4" w:rsidP="00A801D0">
      <w:pPr>
        <w:pStyle w:val="paragraphsub"/>
      </w:pPr>
      <w:r w:rsidRPr="006E709F">
        <w:tab/>
        <w:t>(iii)</w:t>
      </w:r>
      <w:r w:rsidRPr="006E709F">
        <w:tab/>
        <w:t>contributions; or</w:t>
      </w:r>
    </w:p>
    <w:p w:rsidR="002A22A4" w:rsidRPr="006E709F" w:rsidRDefault="002A22A4" w:rsidP="00A801D0">
      <w:pPr>
        <w:pStyle w:val="paragraphsub"/>
      </w:pPr>
      <w:r w:rsidRPr="006E709F">
        <w:tab/>
        <w:t>(iv)</w:t>
      </w:r>
      <w:r w:rsidRPr="006E709F">
        <w:tab/>
        <w:t>withdrawals; and</w:t>
      </w:r>
    </w:p>
    <w:p w:rsidR="002A22A4" w:rsidRPr="006E709F" w:rsidRDefault="002A22A4" w:rsidP="00A801D0">
      <w:pPr>
        <w:pStyle w:val="paragraph"/>
      </w:pPr>
      <w:r w:rsidRPr="006E709F">
        <w:tab/>
        <w:t>(b)</w:t>
      </w:r>
      <w:r w:rsidRPr="006E709F">
        <w:tab/>
        <w:t>the recurrence of the recovery of the fee; and</w:t>
      </w:r>
    </w:p>
    <w:p w:rsidR="002A22A4" w:rsidRPr="006E709F" w:rsidRDefault="002A22A4" w:rsidP="00A801D0">
      <w:pPr>
        <w:pStyle w:val="paragraph"/>
      </w:pPr>
      <w:r w:rsidRPr="006E709F">
        <w:tab/>
        <w:t>(c)</w:t>
      </w:r>
      <w:r w:rsidRPr="006E709F">
        <w:tab/>
        <w:t>the timing of the recovery of the fee.</w:t>
      </w:r>
    </w:p>
    <w:p w:rsidR="002A22A4" w:rsidRPr="006E709F" w:rsidRDefault="002A22A4" w:rsidP="00D5406C">
      <w:pPr>
        <w:pStyle w:val="ActHead5"/>
      </w:pPr>
      <w:bookmarkStart w:id="77" w:name="_Toc160609764"/>
      <w:r w:rsidRPr="000C4237">
        <w:rPr>
          <w:rStyle w:val="CharSectno"/>
        </w:rPr>
        <w:t>208</w:t>
      </w:r>
      <w:r w:rsidR="00A801D0" w:rsidRPr="006E709F">
        <w:t xml:space="preserve">  </w:t>
      </w:r>
      <w:r w:rsidRPr="006E709F">
        <w:t>Other material to be included in the template</w:t>
      </w:r>
      <w:bookmarkEnd w:id="77"/>
    </w:p>
    <w:p w:rsidR="002A22A4" w:rsidRPr="006E709F" w:rsidRDefault="002A22A4" w:rsidP="00A801D0">
      <w:pPr>
        <w:pStyle w:val="subsection"/>
      </w:pPr>
      <w:r w:rsidRPr="006E709F">
        <w:tab/>
        <w:t>(1)</w:t>
      </w:r>
      <w:r w:rsidRPr="006E709F">
        <w:tab/>
        <w:t>The template must clearly indicate which fees and costs are negotiable (for example, by stating in column 3 ‘The amount of this fee can be negotiated.’).</w:t>
      </w:r>
    </w:p>
    <w:p w:rsidR="002A22A4" w:rsidRPr="006E709F" w:rsidRDefault="002A22A4" w:rsidP="00A801D0">
      <w:pPr>
        <w:pStyle w:val="subsection"/>
      </w:pPr>
      <w:r w:rsidRPr="006E709F">
        <w:tab/>
        <w:t>(2)</w:t>
      </w:r>
      <w:r w:rsidRPr="006E709F">
        <w:tab/>
        <w:t>An indication that a fee or cost is negotiable must be cross</w:t>
      </w:r>
      <w:r w:rsidR="000C4237">
        <w:noBreakHyphen/>
      </w:r>
      <w:r w:rsidRPr="006E709F">
        <w:t>referenced to an explanation outside the template in the ‘Additional Explanation of Fees and Costs’ part of the fees section.</w:t>
      </w:r>
    </w:p>
    <w:p w:rsidR="002A22A4" w:rsidRPr="006E709F" w:rsidRDefault="00A801D0" w:rsidP="0069387B">
      <w:pPr>
        <w:pStyle w:val="ActHead3"/>
        <w:pageBreakBefore/>
      </w:pPr>
      <w:bookmarkStart w:id="78" w:name="_Toc160609765"/>
      <w:r w:rsidRPr="000C4237">
        <w:rPr>
          <w:rStyle w:val="CharDivNo"/>
        </w:rPr>
        <w:t>Division</w:t>
      </w:r>
      <w:r w:rsidR="00DA13DE" w:rsidRPr="000C4237">
        <w:rPr>
          <w:rStyle w:val="CharDivNo"/>
        </w:rPr>
        <w:t> </w:t>
      </w:r>
      <w:r w:rsidR="002A22A4" w:rsidRPr="000C4237">
        <w:rPr>
          <w:rStyle w:val="CharDivNo"/>
        </w:rPr>
        <w:t>4</w:t>
      </w:r>
      <w:r w:rsidR="0069387B" w:rsidRPr="006E709F">
        <w:t>—</w:t>
      </w:r>
      <w:r w:rsidR="002A22A4" w:rsidRPr="000C4237">
        <w:rPr>
          <w:rStyle w:val="CharDivText"/>
        </w:rPr>
        <w:t>Additional explanation of fees and costs</w:t>
      </w:r>
      <w:bookmarkEnd w:id="78"/>
    </w:p>
    <w:p w:rsidR="002A22A4" w:rsidRPr="006E709F" w:rsidRDefault="002A22A4" w:rsidP="00D5406C">
      <w:pPr>
        <w:pStyle w:val="ActHead5"/>
      </w:pPr>
      <w:bookmarkStart w:id="79" w:name="_Toc160609766"/>
      <w:r w:rsidRPr="000C4237">
        <w:rPr>
          <w:rStyle w:val="CharSectno"/>
        </w:rPr>
        <w:t>209</w:t>
      </w:r>
      <w:r w:rsidR="00A801D0" w:rsidRPr="006E709F">
        <w:t xml:space="preserve">  </w:t>
      </w:r>
      <w:r w:rsidRPr="006E709F">
        <w:t>Matters to be included as additional explanation of fees and costs</w:t>
      </w:r>
      <w:bookmarkEnd w:id="79"/>
    </w:p>
    <w:p w:rsidR="002A22A4" w:rsidRPr="006E709F" w:rsidRDefault="002A22A4" w:rsidP="00A801D0">
      <w:pPr>
        <w:pStyle w:val="subsection"/>
      </w:pPr>
      <w:r w:rsidRPr="006E709F">
        <w:tab/>
      </w:r>
      <w:r w:rsidRPr="006E709F">
        <w:tab/>
        <w:t xml:space="preserve">The following information, if relevant to </w:t>
      </w:r>
      <w:r w:rsidR="00D40A21" w:rsidRPr="006E709F">
        <w:t xml:space="preserve">the particular superannuation product or </w:t>
      </w:r>
      <w:r w:rsidR="00BD52AE" w:rsidRPr="006E709F">
        <w:t>collective investment product</w:t>
      </w:r>
      <w:r w:rsidRPr="006E709F">
        <w:t>, must be included under the heading ‘Additional Explanation of Fees and Costs’:</w:t>
      </w:r>
    </w:p>
    <w:p w:rsidR="00D40A21" w:rsidRPr="006E709F" w:rsidRDefault="00D40A21" w:rsidP="00D40A21">
      <w:pPr>
        <w:pStyle w:val="paragraph"/>
      </w:pPr>
      <w:r w:rsidRPr="006E709F">
        <w:tab/>
        <w:t>(a)</w:t>
      </w:r>
      <w:r w:rsidRPr="006E709F">
        <w:tab/>
        <w:t xml:space="preserve">the explanation of the fees mentioned in </w:t>
      </w:r>
      <w:r w:rsidR="00636892" w:rsidRPr="006E709F">
        <w:t>footnote 2 for superannuation products</w:t>
      </w:r>
      <w:r w:rsidRPr="006E709F">
        <w:t xml:space="preserve"> and footnote 2 for </w:t>
      </w:r>
      <w:r w:rsidR="00BD52AE" w:rsidRPr="006E709F">
        <w:t>collective investment products</w:t>
      </w:r>
      <w:r w:rsidRPr="006E709F">
        <w:t>;</w:t>
      </w:r>
    </w:p>
    <w:p w:rsidR="002A22A4" w:rsidRPr="006E709F" w:rsidRDefault="002A22A4" w:rsidP="00A801D0">
      <w:pPr>
        <w:pStyle w:val="paragraph"/>
      </w:pPr>
      <w:r w:rsidRPr="006E709F">
        <w:tab/>
        <w:t>(b)</w:t>
      </w:r>
      <w:r w:rsidRPr="006E709F">
        <w:tab/>
        <w:t>information on performance fees including:</w:t>
      </w:r>
    </w:p>
    <w:p w:rsidR="00D40A21" w:rsidRPr="006E709F" w:rsidRDefault="00D40A21" w:rsidP="00D40A21">
      <w:pPr>
        <w:pStyle w:val="paragraphsub"/>
      </w:pPr>
      <w:r w:rsidRPr="006E709F">
        <w:tab/>
        <w:t>(i)</w:t>
      </w:r>
      <w:r w:rsidRPr="006E709F">
        <w:tab/>
        <w:t xml:space="preserve">a statement about how performance fees affect administration fees and investment fees for a superannuation product, or management costs for a </w:t>
      </w:r>
      <w:r w:rsidR="00BD52AE" w:rsidRPr="006E709F">
        <w:t>collective investment product</w:t>
      </w:r>
      <w:r w:rsidRPr="006E709F">
        <w:t>; and</w:t>
      </w:r>
    </w:p>
    <w:p w:rsidR="002A22A4" w:rsidRPr="006E709F" w:rsidRDefault="002A22A4" w:rsidP="00A801D0">
      <w:pPr>
        <w:pStyle w:val="paragraphsub"/>
      </w:pPr>
      <w:r w:rsidRPr="006E709F">
        <w:tab/>
        <w:t>(ii)</w:t>
      </w:r>
      <w:r w:rsidRPr="006E709F">
        <w:tab/>
        <w:t>the method for calculating the fees; and</w:t>
      </w:r>
    </w:p>
    <w:p w:rsidR="002A22A4" w:rsidRPr="006E709F" w:rsidRDefault="002A22A4" w:rsidP="00A801D0">
      <w:pPr>
        <w:pStyle w:val="paragraphsub"/>
      </w:pPr>
      <w:r w:rsidRPr="006E709F">
        <w:tab/>
        <w:t>(iii)</w:t>
      </w:r>
      <w:r w:rsidRPr="006E709F">
        <w:tab/>
        <w:t>the amount of the fees, or an estimate of the amount if the amount is not known;</w:t>
      </w:r>
    </w:p>
    <w:p w:rsidR="00D40A21" w:rsidRPr="006E709F" w:rsidRDefault="00D40A21" w:rsidP="00D40A21">
      <w:pPr>
        <w:pStyle w:val="paragraph"/>
      </w:pPr>
      <w:r w:rsidRPr="006E709F">
        <w:tab/>
        <w:t>(c)</w:t>
      </w:r>
      <w:r w:rsidRPr="006E709F">
        <w:tab/>
        <w:t>for tax—a cross reference to the “Tax” part of the Product Disclosure Statement;</w:t>
      </w:r>
    </w:p>
    <w:p w:rsidR="00D40A21" w:rsidRPr="006E709F" w:rsidRDefault="00D40A21" w:rsidP="00D40A21">
      <w:pPr>
        <w:pStyle w:val="paragraph"/>
      </w:pPr>
      <w:r w:rsidRPr="006E709F">
        <w:tab/>
        <w:t>(ca)</w:t>
      </w:r>
      <w:r w:rsidRPr="006E709F">
        <w:tab/>
        <w:t>for insurance fees and other costs relating to insurance (if relevant)—a cross reference to the “Insurance” part of the Product Disclosure Statement;</w:t>
      </w:r>
    </w:p>
    <w:p w:rsidR="002A22A4" w:rsidRPr="006E709F" w:rsidRDefault="002A22A4" w:rsidP="00A801D0">
      <w:pPr>
        <w:pStyle w:val="paragraph"/>
      </w:pPr>
      <w:r w:rsidRPr="006E709F">
        <w:tab/>
        <w:t>(d)</w:t>
      </w:r>
      <w:r w:rsidRPr="006E709F">
        <w:tab/>
        <w:t>if the product is subject to tax</w:t>
      </w:r>
      <w:r w:rsidR="00A801D0" w:rsidRPr="006E709F">
        <w:t>—</w:t>
      </w:r>
      <w:r w:rsidRPr="006E709F">
        <w:t>whether the benefit of any tax deduction is passed on to the investor in the form of a reduced fee or cost;</w:t>
      </w:r>
    </w:p>
    <w:p w:rsidR="002A22A4" w:rsidRPr="006E709F" w:rsidRDefault="002A22A4" w:rsidP="00A801D0">
      <w:pPr>
        <w:pStyle w:val="paragraph"/>
      </w:pPr>
      <w:r w:rsidRPr="006E709F">
        <w:tab/>
        <w:t>(e)</w:t>
      </w:r>
      <w:r w:rsidRPr="006E709F">
        <w:tab/>
        <w:t xml:space="preserve">an explanation of adviser remuneration that forms part of any fee or cost in the table, including </w:t>
      </w:r>
      <w:r w:rsidR="00D40A21" w:rsidRPr="006E709F">
        <w:t>(if known to the product issuer)</w:t>
      </w:r>
      <w:r w:rsidRPr="006E709F">
        <w:t>:</w:t>
      </w:r>
    </w:p>
    <w:p w:rsidR="002A22A4" w:rsidRPr="006E709F" w:rsidRDefault="002A22A4" w:rsidP="00A801D0">
      <w:pPr>
        <w:pStyle w:val="paragraphsub"/>
      </w:pPr>
      <w:r w:rsidRPr="006E709F">
        <w:tab/>
        <w:t>(i)</w:t>
      </w:r>
      <w:r w:rsidRPr="006E709F">
        <w:tab/>
        <w:t>the method of calculation; and</w:t>
      </w:r>
    </w:p>
    <w:p w:rsidR="002A22A4" w:rsidRPr="006E709F" w:rsidRDefault="002A22A4" w:rsidP="00A801D0">
      <w:pPr>
        <w:pStyle w:val="paragraphsub"/>
      </w:pPr>
      <w:r w:rsidRPr="006E709F">
        <w:tab/>
        <w:t>(ii)</w:t>
      </w:r>
      <w:r w:rsidRPr="006E709F">
        <w:tab/>
        <w:t>the amounts of commission or the range of amounts; and</w:t>
      </w:r>
    </w:p>
    <w:p w:rsidR="002A22A4" w:rsidRPr="006E709F" w:rsidRDefault="002A22A4" w:rsidP="00A801D0">
      <w:pPr>
        <w:pStyle w:val="paragraphsub"/>
      </w:pPr>
      <w:r w:rsidRPr="006E709F">
        <w:tab/>
        <w:t>(iii)</w:t>
      </w:r>
      <w:r w:rsidRPr="006E709F">
        <w:tab/>
        <w:t>whether the amounts are negotiable or rebatable; and</w:t>
      </w:r>
    </w:p>
    <w:p w:rsidR="002A22A4" w:rsidRPr="006E709F" w:rsidRDefault="002A22A4" w:rsidP="00A801D0">
      <w:pPr>
        <w:pStyle w:val="paragraphsub"/>
      </w:pPr>
      <w:r w:rsidRPr="006E709F">
        <w:tab/>
        <w:t>(iv)</w:t>
      </w:r>
      <w:r w:rsidRPr="006E709F">
        <w:tab/>
        <w:t>the way in which amounts may be negotiated or rebated;</w:t>
      </w:r>
    </w:p>
    <w:p w:rsidR="002A22A4" w:rsidRPr="006E709F" w:rsidRDefault="002A22A4" w:rsidP="00A801D0">
      <w:pPr>
        <w:pStyle w:val="paragraph"/>
      </w:pPr>
      <w:r w:rsidRPr="006E709F">
        <w:tab/>
        <w:t>(f)</w:t>
      </w:r>
      <w:r w:rsidRPr="006E709F">
        <w:tab/>
        <w:t xml:space="preserve">an explanation of </w:t>
      </w:r>
      <w:r w:rsidR="00D40A21" w:rsidRPr="006E709F">
        <w:t>advice fees</w:t>
      </w:r>
      <w:r w:rsidRPr="006E709F">
        <w:t>;</w:t>
      </w:r>
    </w:p>
    <w:p w:rsidR="002A22A4" w:rsidRPr="006E709F" w:rsidRDefault="002A22A4" w:rsidP="00A801D0">
      <w:pPr>
        <w:pStyle w:val="paragraph"/>
      </w:pPr>
      <w:r w:rsidRPr="006E709F">
        <w:tab/>
        <w:t>(g)</w:t>
      </w:r>
      <w:r w:rsidRPr="006E709F">
        <w:tab/>
        <w:t>for a negotiated fee or cost</w:t>
      </w:r>
      <w:r w:rsidR="00A801D0" w:rsidRPr="006E709F">
        <w:t>—</w:t>
      </w:r>
      <w:r w:rsidRPr="006E709F">
        <w:t>contact details of the person or body with whom the fee or cost can be negotiated and the manner of negotiation;</w:t>
      </w:r>
    </w:p>
    <w:p w:rsidR="002A22A4" w:rsidRPr="006E709F" w:rsidRDefault="002A22A4" w:rsidP="00A801D0">
      <w:pPr>
        <w:pStyle w:val="paragraph"/>
      </w:pPr>
      <w:r w:rsidRPr="006E709F">
        <w:tab/>
        <w:t>(h)</w:t>
      </w:r>
      <w:r w:rsidRPr="006E709F">
        <w:tab/>
        <w:t>worked examples (if appropriate);</w:t>
      </w:r>
    </w:p>
    <w:p w:rsidR="002A22A4" w:rsidRPr="006E709F" w:rsidRDefault="002A22A4" w:rsidP="00A801D0">
      <w:pPr>
        <w:pStyle w:val="paragraph"/>
      </w:pPr>
      <w:r w:rsidRPr="006E709F">
        <w:tab/>
        <w:t>(i)</w:t>
      </w:r>
      <w:r w:rsidRPr="006E709F">
        <w:tab/>
        <w:t>additional details of incidental fees (if appropriate);</w:t>
      </w:r>
    </w:p>
    <w:p w:rsidR="002A22A4" w:rsidRPr="006E709F" w:rsidRDefault="002A22A4" w:rsidP="00A801D0">
      <w:pPr>
        <w:pStyle w:val="paragraph"/>
      </w:pPr>
      <w:r w:rsidRPr="006E709F">
        <w:tab/>
        <w:t>(j)</w:t>
      </w:r>
      <w:r w:rsidRPr="006E709F">
        <w:tab/>
        <w:t>details of transactional and operational costs such as brokerage and buy</w:t>
      </w:r>
      <w:r w:rsidR="000C4237">
        <w:noBreakHyphen/>
      </w:r>
      <w:r w:rsidRPr="006E709F">
        <w:t>sell spread, including:</w:t>
      </w:r>
    </w:p>
    <w:p w:rsidR="002A22A4" w:rsidRPr="006E709F" w:rsidRDefault="002A22A4" w:rsidP="00A801D0">
      <w:pPr>
        <w:pStyle w:val="paragraphsub"/>
      </w:pPr>
      <w:r w:rsidRPr="006E709F">
        <w:tab/>
        <w:t>(i)</w:t>
      </w:r>
      <w:r w:rsidRPr="006E709F">
        <w:tab/>
        <w:t>a description of the cost; and</w:t>
      </w:r>
    </w:p>
    <w:p w:rsidR="002A22A4" w:rsidRPr="006E709F" w:rsidRDefault="002A22A4" w:rsidP="00A801D0">
      <w:pPr>
        <w:pStyle w:val="paragraphsub"/>
      </w:pPr>
      <w:r w:rsidRPr="006E709F">
        <w:tab/>
        <w:t>(ii)</w:t>
      </w:r>
      <w:r w:rsidRPr="006E709F">
        <w:tab/>
        <w:t>the amount, or an estimate if the amount is not known; and</w:t>
      </w:r>
    </w:p>
    <w:p w:rsidR="002A22A4" w:rsidRPr="006E709F" w:rsidRDefault="002A22A4" w:rsidP="00A801D0">
      <w:pPr>
        <w:pStyle w:val="paragraphsub"/>
      </w:pPr>
      <w:r w:rsidRPr="006E709F">
        <w:tab/>
        <w:t>(iii)</w:t>
      </w:r>
      <w:r w:rsidRPr="006E709F">
        <w:tab/>
        <w:t>how and when the costs are recovered; and</w:t>
      </w:r>
    </w:p>
    <w:p w:rsidR="002A22A4" w:rsidRPr="006E709F" w:rsidRDefault="002A22A4" w:rsidP="00A801D0">
      <w:pPr>
        <w:pStyle w:val="paragraphsub"/>
      </w:pPr>
      <w:r w:rsidRPr="006E709F">
        <w:tab/>
        <w:t>(iv)</w:t>
      </w:r>
      <w:r w:rsidRPr="006E709F">
        <w:tab/>
        <w:t>a statement that the cost is an additional cost to the investor; and</w:t>
      </w:r>
    </w:p>
    <w:p w:rsidR="002A22A4" w:rsidRPr="006E709F" w:rsidRDefault="002A22A4" w:rsidP="00A801D0">
      <w:pPr>
        <w:pStyle w:val="paragraphsub"/>
      </w:pPr>
      <w:r w:rsidRPr="006E709F">
        <w:tab/>
        <w:t>(v)</w:t>
      </w:r>
      <w:r w:rsidRPr="006E709F">
        <w:tab/>
        <w:t>whether any part of the buy</w:t>
      </w:r>
      <w:r w:rsidR="000C4237">
        <w:noBreakHyphen/>
      </w:r>
      <w:r w:rsidRPr="006E709F">
        <w:t>sell spread is paid to the product issuer or an external manager;</w:t>
      </w:r>
    </w:p>
    <w:p w:rsidR="002A22A4" w:rsidRPr="006E709F" w:rsidRDefault="002A22A4" w:rsidP="00A801D0">
      <w:pPr>
        <w:pStyle w:val="paragraph"/>
      </w:pPr>
      <w:r w:rsidRPr="006E709F">
        <w:tab/>
        <w:t>(k)</w:t>
      </w:r>
      <w:r w:rsidRPr="006E709F">
        <w:tab/>
        <w:t>the following information about fee changes:</w:t>
      </w:r>
    </w:p>
    <w:p w:rsidR="002A22A4" w:rsidRPr="006E709F" w:rsidRDefault="002A22A4" w:rsidP="00A801D0">
      <w:pPr>
        <w:pStyle w:val="paragraphsub"/>
      </w:pPr>
      <w:r w:rsidRPr="006E709F">
        <w:tab/>
        <w:t>(i)</w:t>
      </w:r>
      <w:r w:rsidRPr="006E709F">
        <w:tab/>
        <w:t>if applicable, a statement about the issuer’s right to change the amount of fees without the investor’s consent;</w:t>
      </w:r>
    </w:p>
    <w:p w:rsidR="002A22A4" w:rsidRPr="006E709F" w:rsidRDefault="002A22A4" w:rsidP="00A801D0">
      <w:pPr>
        <w:pStyle w:val="paragraphsub"/>
      </w:pPr>
      <w:r w:rsidRPr="006E709F">
        <w:tab/>
        <w:t>(ii)</w:t>
      </w:r>
      <w:r w:rsidRPr="006E709F">
        <w:tab/>
        <w:t>any indexation arrangements that apply;</w:t>
      </w:r>
    </w:p>
    <w:p w:rsidR="002A22A4" w:rsidRPr="006E709F" w:rsidRDefault="002A22A4" w:rsidP="00A801D0">
      <w:pPr>
        <w:pStyle w:val="paragraphsub"/>
      </w:pPr>
      <w:r w:rsidRPr="006E709F">
        <w:tab/>
        <w:t>(iii)</w:t>
      </w:r>
      <w:r w:rsidRPr="006E709F">
        <w:tab/>
        <w:t>the period of advance notice required for fee changes;</w:t>
      </w:r>
    </w:p>
    <w:p w:rsidR="002A22A4" w:rsidRPr="006E709F" w:rsidRDefault="002A22A4" w:rsidP="00A801D0">
      <w:pPr>
        <w:pStyle w:val="paragraphsub"/>
      </w:pPr>
      <w:r w:rsidRPr="006E709F">
        <w:tab/>
        <w:t>(iv)</w:t>
      </w:r>
      <w:r w:rsidRPr="006E709F">
        <w:tab/>
        <w:t>any change in fee structure that is dependent on a person’s employment;</w:t>
      </w:r>
    </w:p>
    <w:p w:rsidR="002A22A4" w:rsidRPr="006E709F" w:rsidRDefault="002A22A4" w:rsidP="00A801D0">
      <w:pPr>
        <w:pStyle w:val="paragraph"/>
      </w:pPr>
      <w:r w:rsidRPr="006E709F">
        <w:tab/>
        <w:t>(l)</w:t>
      </w:r>
      <w:r w:rsidRPr="006E709F">
        <w:tab/>
        <w:t>if the issuer has instituted a flexible charging structure, for each applicable fee, if known:</w:t>
      </w:r>
    </w:p>
    <w:p w:rsidR="002A22A4" w:rsidRPr="006E709F" w:rsidRDefault="002A22A4" w:rsidP="00A801D0">
      <w:pPr>
        <w:pStyle w:val="paragraphsub"/>
      </w:pPr>
      <w:r w:rsidRPr="006E709F">
        <w:tab/>
        <w:t>(i)</w:t>
      </w:r>
      <w:r w:rsidRPr="006E709F">
        <w:tab/>
        <w:t>any maximum, and when it would apply; and</w:t>
      </w:r>
    </w:p>
    <w:p w:rsidR="002A22A4" w:rsidRPr="006E709F" w:rsidRDefault="002A22A4" w:rsidP="00A801D0">
      <w:pPr>
        <w:pStyle w:val="paragraphsub"/>
      </w:pPr>
      <w:r w:rsidRPr="006E709F">
        <w:tab/>
        <w:t>(ii)</w:t>
      </w:r>
      <w:r w:rsidRPr="006E709F">
        <w:tab/>
        <w:t>any waiver, and when it would not apply;</w:t>
      </w:r>
    </w:p>
    <w:p w:rsidR="002A22A4" w:rsidRPr="006E709F" w:rsidRDefault="002A22A4" w:rsidP="00A801D0">
      <w:pPr>
        <w:pStyle w:val="paragraph"/>
      </w:pPr>
      <w:r w:rsidRPr="006E709F">
        <w:tab/>
        <w:t>(m)</w:t>
      </w:r>
      <w:r w:rsidRPr="006E709F">
        <w:tab/>
        <w:t xml:space="preserve">for a </w:t>
      </w:r>
      <w:r w:rsidR="00D40A21" w:rsidRPr="006E709F">
        <w:t>superannuation product</w:t>
      </w:r>
      <w:r w:rsidR="00A801D0" w:rsidRPr="006E709F">
        <w:t>—</w:t>
      </w:r>
      <w:r w:rsidRPr="006E709F">
        <w:t>details regarding the protection of small accounts (member protection rules) unless already included in the Product Disclosure Statement.</w:t>
      </w:r>
    </w:p>
    <w:p w:rsidR="00D40A21" w:rsidRPr="006E709F" w:rsidRDefault="00D40A21" w:rsidP="00C2769E">
      <w:pPr>
        <w:pStyle w:val="ActHead3"/>
        <w:pageBreakBefore/>
      </w:pPr>
      <w:bookmarkStart w:id="80" w:name="_Toc160609767"/>
      <w:r w:rsidRPr="000C4237">
        <w:rPr>
          <w:rStyle w:val="CharDivNo"/>
        </w:rPr>
        <w:t>Division</w:t>
      </w:r>
      <w:r w:rsidR="00DA13DE" w:rsidRPr="000C4237">
        <w:rPr>
          <w:rStyle w:val="CharDivNo"/>
        </w:rPr>
        <w:t> </w:t>
      </w:r>
      <w:r w:rsidRPr="000C4237">
        <w:rPr>
          <w:rStyle w:val="CharDivNo"/>
        </w:rPr>
        <w:t>4A</w:t>
      </w:r>
      <w:r w:rsidRPr="006E709F">
        <w:t>—</w:t>
      </w:r>
      <w:r w:rsidRPr="000C4237">
        <w:rPr>
          <w:rStyle w:val="CharDivText"/>
        </w:rPr>
        <w:t>Defined fees for superannuation products</w:t>
      </w:r>
      <w:bookmarkEnd w:id="80"/>
    </w:p>
    <w:p w:rsidR="00D40A21" w:rsidRPr="006E709F" w:rsidRDefault="00D40A21" w:rsidP="00D40A21">
      <w:pPr>
        <w:pStyle w:val="ActHead5"/>
      </w:pPr>
      <w:bookmarkStart w:id="81" w:name="_Toc160609768"/>
      <w:r w:rsidRPr="000C4237">
        <w:rPr>
          <w:rStyle w:val="CharSectno"/>
        </w:rPr>
        <w:t>209A</w:t>
      </w:r>
      <w:r w:rsidRPr="006E709F">
        <w:t xml:space="preserve">  Defined fees for superannuation products</w:t>
      </w:r>
      <w:bookmarkEnd w:id="81"/>
    </w:p>
    <w:p w:rsidR="00D40A21" w:rsidRPr="006E709F" w:rsidRDefault="00D40A21" w:rsidP="00D40A21">
      <w:pPr>
        <w:pStyle w:val="subsection"/>
      </w:pPr>
      <w:r w:rsidRPr="006E709F">
        <w:tab/>
      </w:r>
      <w:r w:rsidRPr="006E709F">
        <w:tab/>
        <w:t>The following definitions must be included for a superannuation product under the heading “Defined fees”:</w:t>
      </w:r>
    </w:p>
    <w:p w:rsidR="00D40A21" w:rsidRPr="006E709F" w:rsidRDefault="00D40A21" w:rsidP="00D40A21">
      <w:pPr>
        <w:pStyle w:val="SubsectionHead"/>
      </w:pPr>
      <w:r w:rsidRPr="006E709F">
        <w:t>Activity fees</w:t>
      </w:r>
    </w:p>
    <w:p w:rsidR="00D40A21" w:rsidRPr="006E709F" w:rsidRDefault="00D40A21" w:rsidP="00D40A21">
      <w:pPr>
        <w:pStyle w:val="subsection"/>
      </w:pPr>
      <w:r w:rsidRPr="006E709F">
        <w:tab/>
      </w:r>
      <w:r w:rsidRPr="006E709F">
        <w:tab/>
        <w:t xml:space="preserve">A fee is an </w:t>
      </w:r>
      <w:r w:rsidRPr="006E709F">
        <w:rPr>
          <w:b/>
          <w:i/>
        </w:rPr>
        <w:t>activity fee</w:t>
      </w:r>
      <w:r w:rsidRPr="006E709F">
        <w:t xml:space="preserve"> if:</w:t>
      </w:r>
    </w:p>
    <w:p w:rsidR="00D40A21" w:rsidRPr="006E709F" w:rsidRDefault="00D40A21" w:rsidP="00D40A21">
      <w:pPr>
        <w:pStyle w:val="paragraph"/>
      </w:pPr>
      <w:r w:rsidRPr="006E709F">
        <w:tab/>
        <w:t>(a)</w:t>
      </w:r>
      <w:r w:rsidRPr="006E709F">
        <w:tab/>
        <w:t>the fee relates to costs incurred by the trustee</w:t>
      </w:r>
      <w:r w:rsidRPr="006E709F">
        <w:rPr>
          <w:i/>
        </w:rPr>
        <w:t xml:space="preserve"> [OR the trustees]</w:t>
      </w:r>
      <w:r w:rsidRPr="006E709F">
        <w:t xml:space="preserve"> of the superannuation entity that are directly related to an activity of the trustee</w:t>
      </w:r>
      <w:r w:rsidRPr="006E709F">
        <w:rPr>
          <w:i/>
        </w:rPr>
        <w:t xml:space="preserve"> [OR the trustees]</w:t>
      </w:r>
      <w:r w:rsidRPr="006E709F">
        <w:t>:</w:t>
      </w:r>
    </w:p>
    <w:p w:rsidR="00D40A21" w:rsidRPr="006E709F" w:rsidRDefault="00D40A21" w:rsidP="00D40A21">
      <w:pPr>
        <w:pStyle w:val="paragraphsub"/>
      </w:pPr>
      <w:r w:rsidRPr="006E709F">
        <w:tab/>
        <w:t>(i)</w:t>
      </w:r>
      <w:r w:rsidRPr="006E709F">
        <w:tab/>
        <w:t>that is engaged in at the request, or with the consent, of a member; or</w:t>
      </w:r>
    </w:p>
    <w:p w:rsidR="00D40A21" w:rsidRPr="006E709F" w:rsidRDefault="00D40A21" w:rsidP="00D40A21">
      <w:pPr>
        <w:pStyle w:val="paragraphsub"/>
      </w:pPr>
      <w:r w:rsidRPr="006E709F">
        <w:tab/>
        <w:t>(ii)</w:t>
      </w:r>
      <w:r w:rsidRPr="006E709F">
        <w:tab/>
        <w:t>that relates to a member and is required by law; and</w:t>
      </w:r>
    </w:p>
    <w:p w:rsidR="00D40A21" w:rsidRPr="006E709F" w:rsidRDefault="00D40A21" w:rsidP="00D40A21">
      <w:pPr>
        <w:pStyle w:val="paragraph"/>
      </w:pPr>
      <w:r w:rsidRPr="006E709F">
        <w:tab/>
        <w:t>(b)</w:t>
      </w:r>
      <w:r w:rsidRPr="006E709F">
        <w:tab/>
        <w:t>those costs are not otherwise charged as an administration fee, an investment fee, a buy</w:t>
      </w:r>
      <w:r w:rsidR="000C4237">
        <w:noBreakHyphen/>
      </w:r>
      <w:r w:rsidRPr="006E709F">
        <w:t>sell spread, a switching fee, an advice fee or an insurance fee.</w:t>
      </w:r>
    </w:p>
    <w:p w:rsidR="00D40A21" w:rsidRPr="006E709F" w:rsidRDefault="00D40A21" w:rsidP="00D40A21">
      <w:pPr>
        <w:pStyle w:val="SubsectionHead"/>
      </w:pPr>
      <w:r w:rsidRPr="006E709F">
        <w:t>Administration fees</w:t>
      </w:r>
    </w:p>
    <w:p w:rsidR="00D40A21" w:rsidRPr="006E709F" w:rsidRDefault="00D40A21" w:rsidP="00D40A21">
      <w:pPr>
        <w:pStyle w:val="subsection"/>
      </w:pPr>
      <w:r w:rsidRPr="006E709F">
        <w:tab/>
      </w:r>
      <w:r w:rsidRPr="006E709F">
        <w:tab/>
        <w:t xml:space="preserve">An </w:t>
      </w:r>
      <w:r w:rsidRPr="006E709F">
        <w:rPr>
          <w:b/>
          <w:i/>
        </w:rPr>
        <w:t>administration fee</w:t>
      </w:r>
      <w:r w:rsidRPr="006E709F">
        <w:t xml:space="preserve"> is a fee that relates to the administration or operation of the superannuation entity and includes costs incurred by the trustee</w:t>
      </w:r>
      <w:r w:rsidRPr="006E709F">
        <w:rPr>
          <w:i/>
        </w:rPr>
        <w:t xml:space="preserve"> [OR the trustees]</w:t>
      </w:r>
      <w:r w:rsidRPr="006E709F">
        <w:t xml:space="preserve"> of the entity that:</w:t>
      </w:r>
    </w:p>
    <w:p w:rsidR="00D40A21" w:rsidRPr="006E709F" w:rsidRDefault="00D40A21" w:rsidP="00D40A21">
      <w:pPr>
        <w:pStyle w:val="paragraph"/>
      </w:pPr>
      <w:r w:rsidRPr="006E709F">
        <w:tab/>
        <w:t>(a)</w:t>
      </w:r>
      <w:r w:rsidRPr="006E709F">
        <w:tab/>
        <w:t>relate to the administration or operation of the entity; and</w:t>
      </w:r>
    </w:p>
    <w:p w:rsidR="00D40A21" w:rsidRPr="006E709F" w:rsidRDefault="00D40A21" w:rsidP="00D40A21">
      <w:pPr>
        <w:pStyle w:val="paragraph"/>
      </w:pPr>
      <w:r w:rsidRPr="006E709F">
        <w:tab/>
        <w:t>(b)</w:t>
      </w:r>
      <w:r w:rsidRPr="006E709F">
        <w:tab/>
        <w:t>are not otherwise charged as an investment fee, a buy</w:t>
      </w:r>
      <w:r w:rsidR="000C4237">
        <w:noBreakHyphen/>
      </w:r>
      <w:r w:rsidRPr="006E709F">
        <w:t>s</w:t>
      </w:r>
      <w:r w:rsidR="00973CA7" w:rsidRPr="006E709F">
        <w:t xml:space="preserve">ell spread, a switching fee, </w:t>
      </w:r>
      <w:r w:rsidRPr="006E709F">
        <w:t>an activity fee, an advice fee or an insurance fee.</w:t>
      </w:r>
    </w:p>
    <w:p w:rsidR="00D40A21" w:rsidRPr="006E709F" w:rsidRDefault="00D40A21" w:rsidP="00D40A21">
      <w:pPr>
        <w:pStyle w:val="SubsectionHead"/>
      </w:pPr>
      <w:r w:rsidRPr="006E709F">
        <w:t>Advice fees</w:t>
      </w:r>
    </w:p>
    <w:p w:rsidR="00D40A21" w:rsidRPr="006E709F" w:rsidRDefault="00D40A21" w:rsidP="00D40A21">
      <w:pPr>
        <w:pStyle w:val="subsection"/>
      </w:pPr>
      <w:r w:rsidRPr="006E709F">
        <w:tab/>
      </w:r>
      <w:r w:rsidRPr="006E709F">
        <w:tab/>
        <w:t xml:space="preserve">A fee is an </w:t>
      </w:r>
      <w:r w:rsidRPr="006E709F">
        <w:rPr>
          <w:b/>
          <w:i/>
        </w:rPr>
        <w:t>advice fee</w:t>
      </w:r>
      <w:r w:rsidRPr="006E709F">
        <w:t xml:space="preserve"> if:</w:t>
      </w:r>
    </w:p>
    <w:p w:rsidR="00D40A21" w:rsidRPr="006E709F" w:rsidRDefault="00D40A21" w:rsidP="00D40A21">
      <w:pPr>
        <w:pStyle w:val="paragraph"/>
      </w:pPr>
      <w:r w:rsidRPr="006E709F">
        <w:tab/>
        <w:t>(a)</w:t>
      </w:r>
      <w:r w:rsidRPr="006E709F">
        <w:tab/>
        <w:t xml:space="preserve">the fee relates directly to costs incurred by the trustee </w:t>
      </w:r>
      <w:r w:rsidRPr="006E709F">
        <w:rPr>
          <w:i/>
        </w:rPr>
        <w:t xml:space="preserve">[OR the trustees] </w:t>
      </w:r>
      <w:r w:rsidRPr="006E709F">
        <w:t>of the superannuation entity because of the provision of financial product advice to a member by:</w:t>
      </w:r>
    </w:p>
    <w:p w:rsidR="00D40A21" w:rsidRPr="006E709F" w:rsidRDefault="00D40A21" w:rsidP="00D40A21">
      <w:pPr>
        <w:pStyle w:val="paragraphsub"/>
      </w:pPr>
      <w:r w:rsidRPr="006E709F">
        <w:tab/>
        <w:t>(i)</w:t>
      </w:r>
      <w:r w:rsidRPr="006E709F">
        <w:tab/>
        <w:t>a trustee of the entity; or</w:t>
      </w:r>
    </w:p>
    <w:p w:rsidR="00D40A21" w:rsidRPr="006E709F" w:rsidRDefault="00D40A21" w:rsidP="00D40A21">
      <w:pPr>
        <w:pStyle w:val="paragraphsub"/>
      </w:pPr>
      <w:r w:rsidRPr="006E709F">
        <w:tab/>
        <w:t>(ii)</w:t>
      </w:r>
      <w:r w:rsidRPr="006E709F">
        <w:tab/>
        <w:t xml:space="preserve">another person acting as an employee of, or under an arrangement with, the trustee </w:t>
      </w:r>
      <w:r w:rsidRPr="006E709F">
        <w:rPr>
          <w:i/>
        </w:rPr>
        <w:t xml:space="preserve">[OR the trustees] </w:t>
      </w:r>
      <w:r w:rsidRPr="006E709F">
        <w:t>of the entity; and</w:t>
      </w:r>
    </w:p>
    <w:p w:rsidR="00D40A21" w:rsidRPr="006E709F" w:rsidRDefault="00D40A21" w:rsidP="00D40A21">
      <w:pPr>
        <w:pStyle w:val="paragraph"/>
      </w:pPr>
      <w:r w:rsidRPr="006E709F">
        <w:tab/>
        <w:t>(b)</w:t>
      </w:r>
      <w:r w:rsidRPr="006E709F">
        <w:tab/>
        <w:t>those costs are not otherwise charged as an administration fee, an investment fee, a switching fee, an activity fee or an insurance fee.</w:t>
      </w:r>
    </w:p>
    <w:p w:rsidR="00D40A21" w:rsidRPr="006E709F" w:rsidRDefault="00D40A21" w:rsidP="00D40A21">
      <w:pPr>
        <w:pStyle w:val="SubsectionHead"/>
      </w:pPr>
      <w:r w:rsidRPr="006E709F">
        <w:t>Buy</w:t>
      </w:r>
      <w:r w:rsidR="000C4237">
        <w:noBreakHyphen/>
      </w:r>
      <w:r w:rsidRPr="006E709F">
        <w:t>sell spreads</w:t>
      </w:r>
    </w:p>
    <w:p w:rsidR="00D40A21" w:rsidRPr="006E709F" w:rsidRDefault="00D40A21" w:rsidP="00D40A21">
      <w:pPr>
        <w:pStyle w:val="subsection"/>
      </w:pPr>
      <w:r w:rsidRPr="006E709F">
        <w:tab/>
      </w:r>
      <w:r w:rsidRPr="006E709F">
        <w:tab/>
        <w:t xml:space="preserve">A </w:t>
      </w:r>
      <w:r w:rsidRPr="006E709F">
        <w:rPr>
          <w:b/>
          <w:i/>
        </w:rPr>
        <w:t>buy</w:t>
      </w:r>
      <w:r w:rsidR="000C4237">
        <w:rPr>
          <w:b/>
          <w:i/>
        </w:rPr>
        <w:noBreakHyphen/>
      </w:r>
      <w:r w:rsidRPr="006E709F">
        <w:rPr>
          <w:b/>
          <w:i/>
        </w:rPr>
        <w:t>sell spread</w:t>
      </w:r>
      <w:r w:rsidRPr="006E709F">
        <w:t xml:space="preserve"> is a fee to recover transaction costs incurred by the trustee </w:t>
      </w:r>
      <w:r w:rsidRPr="006E709F">
        <w:rPr>
          <w:i/>
        </w:rPr>
        <w:t>[OR the trustees]</w:t>
      </w:r>
      <w:r w:rsidRPr="006E709F">
        <w:t xml:space="preserve"> of the superannuation entity in relation to the sale and purchase of assets of the entity.</w:t>
      </w:r>
    </w:p>
    <w:p w:rsidR="00636892" w:rsidRPr="006E709F" w:rsidRDefault="00636892" w:rsidP="00636892">
      <w:pPr>
        <w:pStyle w:val="SubsectionHead"/>
      </w:pPr>
      <w:r w:rsidRPr="006E709F">
        <w:t>Exit fees</w:t>
      </w:r>
    </w:p>
    <w:p w:rsidR="00636892" w:rsidRPr="006E709F" w:rsidRDefault="00636892" w:rsidP="00636892">
      <w:pPr>
        <w:pStyle w:val="subsection"/>
      </w:pPr>
      <w:r w:rsidRPr="006E709F">
        <w:tab/>
      </w:r>
      <w:r w:rsidRPr="006E709F">
        <w:tab/>
        <w:t xml:space="preserve">An </w:t>
      </w:r>
      <w:r w:rsidRPr="006E709F">
        <w:rPr>
          <w:b/>
          <w:i/>
        </w:rPr>
        <w:t xml:space="preserve">exit fee </w:t>
      </w:r>
      <w:r w:rsidRPr="006E709F">
        <w:t>is a fee, other than a buy</w:t>
      </w:r>
      <w:r w:rsidR="000C4237">
        <w:noBreakHyphen/>
      </w:r>
      <w:r w:rsidRPr="006E709F">
        <w:t>sell spread, that relates to the disposal of all or part of a member’s interests in a superannuation entity.</w:t>
      </w:r>
    </w:p>
    <w:p w:rsidR="00D40A21" w:rsidRPr="006E709F" w:rsidRDefault="00D40A21" w:rsidP="00D40A21">
      <w:pPr>
        <w:pStyle w:val="SubsectionHead"/>
      </w:pPr>
      <w:r w:rsidRPr="006E709F">
        <w:t>Indirect cost ratio</w:t>
      </w:r>
    </w:p>
    <w:p w:rsidR="00D40A21" w:rsidRPr="006E709F" w:rsidRDefault="00D40A21" w:rsidP="00D40A21">
      <w:pPr>
        <w:pStyle w:val="subsection"/>
      </w:pPr>
      <w:r w:rsidRPr="006E709F">
        <w:tab/>
      </w:r>
      <w:r w:rsidRPr="006E709F">
        <w:tab/>
        <w:t xml:space="preserve">The </w:t>
      </w:r>
      <w:r w:rsidRPr="006E709F">
        <w:rPr>
          <w:b/>
          <w:i/>
        </w:rPr>
        <w:t xml:space="preserve">indirect cost ratio </w:t>
      </w:r>
      <w:r w:rsidRPr="006E709F">
        <w:t>(</w:t>
      </w:r>
      <w:r w:rsidRPr="006E709F">
        <w:rPr>
          <w:b/>
          <w:i/>
        </w:rPr>
        <w:t>ICR</w:t>
      </w:r>
      <w:r w:rsidRPr="006E709F">
        <w:t>), for a MySuper product or an investment option offered by a superannuation entity, is the ratio of the total of the indirect costs for the MySuper product or investment option, to the total average net assets of the superannuation entity attributed to the MySuper product or investment option.</w:t>
      </w:r>
    </w:p>
    <w:p w:rsidR="00D40A21" w:rsidRPr="006E709F" w:rsidRDefault="00D40A21" w:rsidP="00D40A21">
      <w:pPr>
        <w:pStyle w:val="notetext"/>
      </w:pPr>
      <w:r w:rsidRPr="006E709F">
        <w:t>Note:</w:t>
      </w:r>
      <w:r w:rsidRPr="006E709F">
        <w:tab/>
        <w:t>A dollar</w:t>
      </w:r>
      <w:r w:rsidR="000C4237">
        <w:noBreakHyphen/>
      </w:r>
      <w:r w:rsidRPr="006E709F">
        <w:t>based fee deducted directly from a member’s account is not included in the indirect cost ratio.</w:t>
      </w:r>
    </w:p>
    <w:p w:rsidR="00D40A21" w:rsidRPr="006E709F" w:rsidRDefault="00D40A21" w:rsidP="00D40A21">
      <w:pPr>
        <w:pStyle w:val="SubsectionHead"/>
      </w:pPr>
      <w:r w:rsidRPr="006E709F">
        <w:t>Investment fees</w:t>
      </w:r>
    </w:p>
    <w:p w:rsidR="00D40A21" w:rsidRPr="006E709F" w:rsidRDefault="00D40A21" w:rsidP="00D40A21">
      <w:pPr>
        <w:pStyle w:val="subsection"/>
      </w:pPr>
      <w:r w:rsidRPr="006E709F">
        <w:tab/>
      </w:r>
      <w:r w:rsidRPr="006E709F">
        <w:tab/>
        <w:t xml:space="preserve">An </w:t>
      </w:r>
      <w:r w:rsidRPr="006E709F">
        <w:rPr>
          <w:b/>
          <w:i/>
        </w:rPr>
        <w:t>investment fee</w:t>
      </w:r>
      <w:r w:rsidRPr="006E709F">
        <w:t xml:space="preserve"> is a fee that relates to the investment of the assets of a superannuation entity and includes:</w:t>
      </w:r>
    </w:p>
    <w:p w:rsidR="00D40A21" w:rsidRPr="006E709F" w:rsidRDefault="00D40A21" w:rsidP="00D40A21">
      <w:pPr>
        <w:pStyle w:val="paragraph"/>
      </w:pPr>
      <w:r w:rsidRPr="006E709F">
        <w:tab/>
        <w:t>(a)</w:t>
      </w:r>
      <w:r w:rsidRPr="006E709F">
        <w:tab/>
        <w:t>fees in payment for the exercise of care and expertise in the investment of those assets (including performance fees); and</w:t>
      </w:r>
    </w:p>
    <w:p w:rsidR="00D40A21" w:rsidRPr="006E709F" w:rsidRDefault="00D40A21" w:rsidP="00D40A21">
      <w:pPr>
        <w:pStyle w:val="paragraph"/>
      </w:pPr>
      <w:r w:rsidRPr="006E709F">
        <w:tab/>
        <w:t>(b)</w:t>
      </w:r>
      <w:r w:rsidRPr="006E709F">
        <w:tab/>
        <w:t xml:space="preserve">costs incurred by the trustee </w:t>
      </w:r>
      <w:r w:rsidRPr="006E709F">
        <w:rPr>
          <w:i/>
        </w:rPr>
        <w:t>[OR the trustees]</w:t>
      </w:r>
      <w:r w:rsidRPr="006E709F">
        <w:t xml:space="preserve"> of the entity that:</w:t>
      </w:r>
    </w:p>
    <w:p w:rsidR="00D40A21" w:rsidRPr="006E709F" w:rsidRDefault="00D40A21" w:rsidP="00D40A21">
      <w:pPr>
        <w:pStyle w:val="paragraphsub"/>
      </w:pPr>
      <w:r w:rsidRPr="006E709F">
        <w:tab/>
        <w:t>(i)</w:t>
      </w:r>
      <w:r w:rsidRPr="006E709F">
        <w:tab/>
        <w:t>relate to the investment of assets of the entity; and</w:t>
      </w:r>
    </w:p>
    <w:p w:rsidR="00D40A21" w:rsidRPr="006E709F" w:rsidRDefault="00D40A21" w:rsidP="00D40A21">
      <w:pPr>
        <w:pStyle w:val="paragraphsub"/>
      </w:pPr>
      <w:r w:rsidRPr="006E709F">
        <w:tab/>
        <w:t>(ii)</w:t>
      </w:r>
      <w:r w:rsidRPr="006E709F">
        <w:tab/>
        <w:t>are not otherwise charged as an administration fee, a buy</w:t>
      </w:r>
      <w:r w:rsidR="000C4237">
        <w:noBreakHyphen/>
      </w:r>
      <w:r w:rsidRPr="006E709F">
        <w:t>sell spread, a switching fee, an activity fee, an advice fee or an insurance fee.</w:t>
      </w:r>
    </w:p>
    <w:p w:rsidR="00D40A21" w:rsidRPr="006E709F" w:rsidRDefault="00D40A21" w:rsidP="00D40A21">
      <w:pPr>
        <w:pStyle w:val="SubsectionHead"/>
      </w:pPr>
      <w:r w:rsidRPr="006E709F">
        <w:t>Switching fees</w:t>
      </w:r>
    </w:p>
    <w:p w:rsidR="00D40A21" w:rsidRPr="006E709F" w:rsidRDefault="00D40A21" w:rsidP="00D40A21">
      <w:pPr>
        <w:pStyle w:val="subsection"/>
      </w:pPr>
      <w:r w:rsidRPr="006E709F">
        <w:tab/>
      </w:r>
      <w:r w:rsidRPr="006E709F">
        <w:tab/>
        <w:t xml:space="preserve">A </w:t>
      </w:r>
      <w:r w:rsidRPr="006E709F">
        <w:rPr>
          <w:b/>
          <w:i/>
        </w:rPr>
        <w:t>switching fee</w:t>
      </w:r>
      <w:r w:rsidRPr="006E709F">
        <w:t xml:space="preserve"> is a fee to recover the costs of switching all or part of a member’s interest in the superannuation entity from one class of beneficial interest in the entity to another.</w:t>
      </w:r>
    </w:p>
    <w:p w:rsidR="002A22A4" w:rsidRPr="006E709F" w:rsidRDefault="00A801D0" w:rsidP="00A801D0">
      <w:pPr>
        <w:pStyle w:val="ActHead3"/>
        <w:pageBreakBefore/>
      </w:pPr>
      <w:bookmarkStart w:id="82" w:name="_Toc160609769"/>
      <w:r w:rsidRPr="000C4237">
        <w:rPr>
          <w:rStyle w:val="CharDivNo"/>
        </w:rPr>
        <w:t>Division</w:t>
      </w:r>
      <w:r w:rsidR="00DA13DE" w:rsidRPr="000C4237">
        <w:rPr>
          <w:rStyle w:val="CharDivNo"/>
        </w:rPr>
        <w:t> </w:t>
      </w:r>
      <w:r w:rsidR="002A22A4" w:rsidRPr="000C4237">
        <w:rPr>
          <w:rStyle w:val="CharDivNo"/>
        </w:rPr>
        <w:t>5</w:t>
      </w:r>
      <w:r w:rsidR="00CA4A64" w:rsidRPr="006E709F">
        <w:t>—</w:t>
      </w:r>
      <w:r w:rsidR="002A22A4" w:rsidRPr="000C4237">
        <w:rPr>
          <w:rStyle w:val="CharDivText"/>
        </w:rPr>
        <w:t>Example of annual fees and costs</w:t>
      </w:r>
      <w:bookmarkEnd w:id="82"/>
    </w:p>
    <w:p w:rsidR="002A22A4" w:rsidRPr="006E709F" w:rsidRDefault="002A22A4" w:rsidP="00D5406C">
      <w:pPr>
        <w:pStyle w:val="ActHead5"/>
      </w:pPr>
      <w:bookmarkStart w:id="83" w:name="_Toc160609770"/>
      <w:r w:rsidRPr="000C4237">
        <w:rPr>
          <w:rStyle w:val="CharSectno"/>
        </w:rPr>
        <w:t>210</w:t>
      </w:r>
      <w:r w:rsidR="00A801D0" w:rsidRPr="006E709F">
        <w:t xml:space="preserve">  </w:t>
      </w:r>
      <w:r w:rsidRPr="006E709F">
        <w:t>Example of annual fees and costs</w:t>
      </w:r>
      <w:bookmarkEnd w:id="83"/>
    </w:p>
    <w:p w:rsidR="002A22A4" w:rsidRPr="006E709F" w:rsidRDefault="002A22A4" w:rsidP="00A801D0">
      <w:pPr>
        <w:pStyle w:val="subsection"/>
      </w:pPr>
      <w:r w:rsidRPr="006E709F">
        <w:tab/>
      </w:r>
      <w:r w:rsidRPr="006E709F">
        <w:tab/>
        <w:t>The example of annual fees and costs:</w:t>
      </w:r>
    </w:p>
    <w:p w:rsidR="002A22A4" w:rsidRPr="006E709F" w:rsidRDefault="002A22A4" w:rsidP="00A801D0">
      <w:pPr>
        <w:pStyle w:val="paragraph"/>
      </w:pPr>
      <w:r w:rsidRPr="006E709F">
        <w:tab/>
        <w:t>(a)</w:t>
      </w:r>
      <w:r w:rsidRPr="006E709F">
        <w:tab/>
        <w:t>must contain fees and costs in accordance with the table in clause</w:t>
      </w:r>
      <w:r w:rsidR="00DA13DE" w:rsidRPr="006E709F">
        <w:t> </w:t>
      </w:r>
      <w:r w:rsidRPr="006E709F">
        <w:t>211 or 212; and</w:t>
      </w:r>
    </w:p>
    <w:p w:rsidR="002A22A4" w:rsidRPr="006E709F" w:rsidRDefault="002A22A4" w:rsidP="00A801D0">
      <w:pPr>
        <w:pStyle w:val="paragraph"/>
      </w:pPr>
      <w:r w:rsidRPr="006E709F">
        <w:tab/>
        <w:t>(b)</w:t>
      </w:r>
      <w:r w:rsidRPr="006E709F">
        <w:tab/>
        <w:t>must be set out using the headings and the form in clause</w:t>
      </w:r>
      <w:r w:rsidR="00DA13DE" w:rsidRPr="006E709F">
        <w:t> </w:t>
      </w:r>
      <w:r w:rsidRPr="006E709F">
        <w:t>211 or 212; and</w:t>
      </w:r>
    </w:p>
    <w:p w:rsidR="002A22A4" w:rsidRPr="006E709F" w:rsidRDefault="002A22A4" w:rsidP="00A801D0">
      <w:pPr>
        <w:pStyle w:val="paragraph"/>
      </w:pPr>
      <w:r w:rsidRPr="006E709F">
        <w:tab/>
        <w:t>(c)</w:t>
      </w:r>
      <w:r w:rsidRPr="006E709F">
        <w:tab/>
        <w:t>must be included in the ‘Fees’ section of a Product Disclosure Statement, following the fees and costs template.</w:t>
      </w:r>
    </w:p>
    <w:p w:rsidR="00D40A21" w:rsidRPr="006E709F" w:rsidRDefault="00D40A21" w:rsidP="00D40A21">
      <w:pPr>
        <w:pStyle w:val="ActHead5"/>
      </w:pPr>
      <w:bookmarkStart w:id="84" w:name="_Toc160609771"/>
      <w:r w:rsidRPr="000C4237">
        <w:rPr>
          <w:rStyle w:val="CharSectno"/>
        </w:rPr>
        <w:t>211</w:t>
      </w:r>
      <w:r w:rsidRPr="006E709F">
        <w:t xml:space="preserve">  Superannuation products—Example of annual fees and costs for a MySuper product</w:t>
      </w:r>
      <w:bookmarkEnd w:id="84"/>
    </w:p>
    <w:p w:rsidR="00D40A21" w:rsidRPr="006E709F" w:rsidRDefault="00D40A21" w:rsidP="00D40A21">
      <w:pPr>
        <w:pStyle w:val="subsection"/>
      </w:pPr>
      <w:r w:rsidRPr="006E709F">
        <w:tab/>
      </w:r>
      <w:r w:rsidRPr="006E709F">
        <w:tab/>
        <w:t>This table gives an example of how the fees and costs for the generic MySuper product for this superannuation product can affect your superannuation investment over a 1 year period. You should use this table to compare this superannuation product with other superannuation products.</w:t>
      </w:r>
    </w:p>
    <w:p w:rsidR="00320785" w:rsidRPr="006E709F" w:rsidRDefault="00320785" w:rsidP="00320785">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2683"/>
        <w:gridCol w:w="1547"/>
        <w:gridCol w:w="4299"/>
      </w:tblGrid>
      <w:tr w:rsidR="00D40A21" w:rsidRPr="006E709F" w:rsidTr="00E118FA">
        <w:tc>
          <w:tcPr>
            <w:tcW w:w="2480" w:type="pct"/>
            <w:gridSpan w:val="2"/>
            <w:shd w:val="clear" w:color="auto" w:fill="FFFFFF"/>
            <w:tcMar>
              <w:top w:w="0" w:type="dxa"/>
              <w:left w:w="108" w:type="dxa"/>
              <w:bottom w:w="0" w:type="dxa"/>
              <w:right w:w="108" w:type="dxa"/>
            </w:tcMar>
            <w:hideMark/>
          </w:tcPr>
          <w:p w:rsidR="00D40A21" w:rsidRPr="006E709F" w:rsidRDefault="00D40A21" w:rsidP="00377DE6">
            <w:pPr>
              <w:pStyle w:val="Tabletext"/>
              <w:rPr>
                <w:rFonts w:eastAsia="Calibri"/>
                <w:sz w:val="18"/>
                <w:szCs w:val="18"/>
              </w:rPr>
            </w:pPr>
            <w:r w:rsidRPr="006E709F">
              <w:rPr>
                <w:b/>
                <w:sz w:val="18"/>
                <w:szCs w:val="18"/>
              </w:rPr>
              <w:t>EXAMPLE—</w:t>
            </w:r>
            <w:r w:rsidR="000C4237">
              <w:rPr>
                <w:b/>
                <w:sz w:val="18"/>
                <w:szCs w:val="18"/>
              </w:rPr>
              <w:noBreakHyphen/>
            </w:r>
            <w:r w:rsidRPr="006E709F">
              <w:rPr>
                <w:sz w:val="18"/>
                <w:szCs w:val="18"/>
              </w:rPr>
              <w:t>MySuper product</w:t>
            </w:r>
          </w:p>
        </w:tc>
        <w:tc>
          <w:tcPr>
            <w:tcW w:w="2520" w:type="pct"/>
            <w:shd w:val="clear" w:color="auto" w:fill="FFFFFF"/>
            <w:tcMar>
              <w:top w:w="0" w:type="dxa"/>
              <w:left w:w="108" w:type="dxa"/>
              <w:bottom w:w="0" w:type="dxa"/>
              <w:right w:w="108" w:type="dxa"/>
            </w:tcMar>
            <w:hideMark/>
          </w:tcPr>
          <w:p w:rsidR="00D40A21" w:rsidRPr="006E709F" w:rsidRDefault="00D40A21" w:rsidP="00377DE6">
            <w:pPr>
              <w:pStyle w:val="Tabletext"/>
              <w:rPr>
                <w:rFonts w:eastAsia="Calibri"/>
                <w:b/>
                <w:sz w:val="18"/>
                <w:szCs w:val="18"/>
              </w:rPr>
            </w:pPr>
            <w:r w:rsidRPr="006E709F">
              <w:rPr>
                <w:b/>
                <w:sz w:val="18"/>
                <w:szCs w:val="18"/>
              </w:rPr>
              <w:t>BALANCE OF $50</w:t>
            </w:r>
            <w:r w:rsidR="00DA13DE" w:rsidRPr="006E709F">
              <w:rPr>
                <w:b/>
                <w:sz w:val="18"/>
                <w:szCs w:val="18"/>
              </w:rPr>
              <w:t> </w:t>
            </w:r>
            <w:r w:rsidRPr="006E709F">
              <w:rPr>
                <w:b/>
                <w:sz w:val="18"/>
                <w:szCs w:val="18"/>
              </w:rPr>
              <w:t>000</w:t>
            </w:r>
          </w:p>
        </w:tc>
      </w:tr>
      <w:tr w:rsidR="00D40A21" w:rsidRPr="006E709F" w:rsidTr="00E118FA">
        <w:tc>
          <w:tcPr>
            <w:tcW w:w="1573" w:type="pct"/>
            <w:shd w:val="clear" w:color="auto" w:fill="FFFFFF"/>
            <w:tcMar>
              <w:top w:w="0" w:type="dxa"/>
              <w:left w:w="108" w:type="dxa"/>
              <w:bottom w:w="0" w:type="dxa"/>
              <w:right w:w="108" w:type="dxa"/>
            </w:tcMar>
            <w:hideMark/>
          </w:tcPr>
          <w:p w:rsidR="00D40A21" w:rsidRPr="006E709F" w:rsidRDefault="00D40A21" w:rsidP="00377DE6">
            <w:pPr>
              <w:pStyle w:val="Tabletext"/>
              <w:rPr>
                <w:rFonts w:eastAsia="Calibri"/>
                <w:sz w:val="18"/>
                <w:szCs w:val="18"/>
              </w:rPr>
            </w:pPr>
            <w:r w:rsidRPr="006E709F">
              <w:rPr>
                <w:sz w:val="18"/>
                <w:szCs w:val="18"/>
              </w:rPr>
              <w:t xml:space="preserve">Investment fees </w:t>
            </w:r>
          </w:p>
        </w:tc>
        <w:tc>
          <w:tcPr>
            <w:tcW w:w="907" w:type="pct"/>
            <w:shd w:val="clear" w:color="auto" w:fill="FFFFFF"/>
            <w:tcMar>
              <w:top w:w="0" w:type="dxa"/>
              <w:left w:w="108" w:type="dxa"/>
              <w:bottom w:w="0" w:type="dxa"/>
              <w:right w:w="108" w:type="dxa"/>
            </w:tcMar>
            <w:hideMark/>
          </w:tcPr>
          <w:p w:rsidR="00D40A21" w:rsidRPr="006E709F" w:rsidRDefault="00D40A21" w:rsidP="00377DE6">
            <w:pPr>
              <w:pStyle w:val="Tabletext"/>
              <w:rPr>
                <w:rFonts w:eastAsia="Calibri"/>
                <w:sz w:val="18"/>
                <w:szCs w:val="18"/>
              </w:rPr>
            </w:pPr>
            <w:r w:rsidRPr="006E709F">
              <w:rPr>
                <w:sz w:val="18"/>
                <w:szCs w:val="18"/>
              </w:rPr>
              <w:t>1.6%</w:t>
            </w:r>
          </w:p>
        </w:tc>
        <w:tc>
          <w:tcPr>
            <w:tcW w:w="2520" w:type="pct"/>
            <w:shd w:val="clear" w:color="auto" w:fill="FFFFFF"/>
            <w:tcMar>
              <w:top w:w="0" w:type="dxa"/>
              <w:left w:w="108" w:type="dxa"/>
              <w:bottom w:w="0" w:type="dxa"/>
              <w:right w:w="108" w:type="dxa"/>
            </w:tcMar>
            <w:hideMark/>
          </w:tcPr>
          <w:p w:rsidR="00D40A21" w:rsidRPr="006E709F" w:rsidRDefault="00D40A21" w:rsidP="00377DE6">
            <w:pPr>
              <w:pStyle w:val="Tabletext"/>
              <w:rPr>
                <w:rFonts w:eastAsia="Calibri"/>
                <w:sz w:val="18"/>
                <w:szCs w:val="18"/>
              </w:rPr>
            </w:pPr>
            <w:r w:rsidRPr="006E709F">
              <w:rPr>
                <w:sz w:val="18"/>
                <w:szCs w:val="18"/>
              </w:rPr>
              <w:t>For every $50</w:t>
            </w:r>
            <w:r w:rsidR="00DA13DE" w:rsidRPr="006E709F">
              <w:rPr>
                <w:sz w:val="18"/>
                <w:szCs w:val="18"/>
              </w:rPr>
              <w:t> </w:t>
            </w:r>
            <w:r w:rsidRPr="006E709F">
              <w:rPr>
                <w:sz w:val="18"/>
                <w:szCs w:val="18"/>
              </w:rPr>
              <w:t>000 you have in the MySuper product you will be charged $800 each year</w:t>
            </w:r>
          </w:p>
        </w:tc>
      </w:tr>
      <w:tr w:rsidR="00D40A21" w:rsidRPr="006E709F" w:rsidTr="00E118FA">
        <w:tc>
          <w:tcPr>
            <w:tcW w:w="1573" w:type="pct"/>
            <w:shd w:val="clear" w:color="auto" w:fill="FFFFFF"/>
            <w:tcMar>
              <w:top w:w="0" w:type="dxa"/>
              <w:left w:w="108" w:type="dxa"/>
              <w:bottom w:w="0" w:type="dxa"/>
              <w:right w:w="108" w:type="dxa"/>
            </w:tcMar>
            <w:hideMark/>
          </w:tcPr>
          <w:p w:rsidR="00D40A21" w:rsidRPr="006E709F" w:rsidRDefault="00D40A21" w:rsidP="00377DE6">
            <w:pPr>
              <w:pStyle w:val="Tabletext"/>
              <w:rPr>
                <w:rFonts w:eastAsia="Calibri"/>
                <w:sz w:val="18"/>
                <w:szCs w:val="18"/>
              </w:rPr>
            </w:pPr>
            <w:r w:rsidRPr="006E709F">
              <w:rPr>
                <w:b/>
                <w:sz w:val="18"/>
                <w:szCs w:val="18"/>
              </w:rPr>
              <w:t>PLUS</w:t>
            </w:r>
            <w:r w:rsidRPr="006E709F">
              <w:rPr>
                <w:sz w:val="18"/>
                <w:szCs w:val="18"/>
              </w:rPr>
              <w:t xml:space="preserve"> Administration fees</w:t>
            </w:r>
          </w:p>
        </w:tc>
        <w:tc>
          <w:tcPr>
            <w:tcW w:w="907" w:type="pct"/>
            <w:shd w:val="clear" w:color="auto" w:fill="FFFFFF"/>
            <w:tcMar>
              <w:top w:w="0" w:type="dxa"/>
              <w:left w:w="108" w:type="dxa"/>
              <w:bottom w:w="0" w:type="dxa"/>
              <w:right w:w="108" w:type="dxa"/>
            </w:tcMar>
            <w:hideMark/>
          </w:tcPr>
          <w:p w:rsidR="00D40A21" w:rsidRPr="006E709F" w:rsidRDefault="00D40A21" w:rsidP="00377DE6">
            <w:pPr>
              <w:pStyle w:val="Tabletext"/>
              <w:rPr>
                <w:sz w:val="18"/>
                <w:szCs w:val="18"/>
              </w:rPr>
            </w:pPr>
            <w:r w:rsidRPr="006E709F">
              <w:rPr>
                <w:sz w:val="18"/>
                <w:szCs w:val="18"/>
              </w:rPr>
              <w:t>$52</w:t>
            </w:r>
          </w:p>
          <w:p w:rsidR="00D40A21" w:rsidRPr="006E709F" w:rsidRDefault="00D40A21" w:rsidP="00377DE6">
            <w:pPr>
              <w:pStyle w:val="Tabletext"/>
              <w:rPr>
                <w:rFonts w:eastAsia="Calibri"/>
                <w:sz w:val="18"/>
                <w:szCs w:val="18"/>
              </w:rPr>
            </w:pPr>
            <w:r w:rsidRPr="006E709F">
              <w:rPr>
                <w:sz w:val="18"/>
                <w:szCs w:val="18"/>
              </w:rPr>
              <w:t xml:space="preserve">($1 per week) </w:t>
            </w:r>
          </w:p>
        </w:tc>
        <w:tc>
          <w:tcPr>
            <w:tcW w:w="2520" w:type="pct"/>
            <w:shd w:val="clear" w:color="auto" w:fill="FFFFFF"/>
            <w:tcMar>
              <w:top w:w="0" w:type="dxa"/>
              <w:left w:w="108" w:type="dxa"/>
              <w:bottom w:w="0" w:type="dxa"/>
              <w:right w:w="108" w:type="dxa"/>
            </w:tcMar>
            <w:hideMark/>
          </w:tcPr>
          <w:p w:rsidR="00D40A21" w:rsidRPr="006E709F" w:rsidRDefault="00D40A21" w:rsidP="00377DE6">
            <w:pPr>
              <w:pStyle w:val="Tabletext"/>
              <w:rPr>
                <w:rFonts w:eastAsia="Calibri"/>
                <w:sz w:val="18"/>
                <w:szCs w:val="18"/>
              </w:rPr>
            </w:pPr>
            <w:r w:rsidRPr="006E709F">
              <w:rPr>
                <w:b/>
                <w:sz w:val="18"/>
                <w:szCs w:val="18"/>
              </w:rPr>
              <w:t>And</w:t>
            </w:r>
            <w:r w:rsidRPr="006E709F">
              <w:rPr>
                <w:sz w:val="18"/>
                <w:szCs w:val="18"/>
              </w:rPr>
              <w:t>, you will be charged $52 in administration fees regardless of your balance</w:t>
            </w:r>
          </w:p>
        </w:tc>
      </w:tr>
      <w:tr w:rsidR="00D40A21" w:rsidRPr="006E709F" w:rsidTr="00E118FA">
        <w:tc>
          <w:tcPr>
            <w:tcW w:w="1573" w:type="pct"/>
            <w:tcMar>
              <w:top w:w="0" w:type="dxa"/>
              <w:left w:w="108" w:type="dxa"/>
              <w:bottom w:w="0" w:type="dxa"/>
              <w:right w:w="108" w:type="dxa"/>
            </w:tcMar>
          </w:tcPr>
          <w:p w:rsidR="00D40A21" w:rsidRPr="006E709F" w:rsidRDefault="00D40A21" w:rsidP="00377DE6">
            <w:pPr>
              <w:pStyle w:val="Tabletext"/>
              <w:rPr>
                <w:sz w:val="18"/>
                <w:szCs w:val="18"/>
              </w:rPr>
            </w:pPr>
            <w:r w:rsidRPr="006E709F">
              <w:rPr>
                <w:b/>
                <w:sz w:val="18"/>
                <w:szCs w:val="18"/>
              </w:rPr>
              <w:t xml:space="preserve">PLUS </w:t>
            </w:r>
            <w:r w:rsidRPr="006E709F">
              <w:rPr>
                <w:sz w:val="18"/>
                <w:szCs w:val="18"/>
              </w:rPr>
              <w:t>Indirect costs for the MySuper product</w:t>
            </w:r>
          </w:p>
        </w:tc>
        <w:tc>
          <w:tcPr>
            <w:tcW w:w="907" w:type="pct"/>
            <w:tcMar>
              <w:top w:w="0" w:type="dxa"/>
              <w:left w:w="108" w:type="dxa"/>
              <w:bottom w:w="0" w:type="dxa"/>
              <w:right w:w="108" w:type="dxa"/>
            </w:tcMar>
          </w:tcPr>
          <w:p w:rsidR="00D40A21" w:rsidRPr="006E709F" w:rsidRDefault="00D40A21" w:rsidP="00377DE6">
            <w:pPr>
              <w:pStyle w:val="Tabletext"/>
              <w:rPr>
                <w:rFonts w:eastAsia="Calibri"/>
                <w:sz w:val="18"/>
                <w:szCs w:val="18"/>
              </w:rPr>
            </w:pPr>
            <w:r w:rsidRPr="006E709F">
              <w:rPr>
                <w:rFonts w:eastAsia="Calibri"/>
                <w:sz w:val="18"/>
                <w:szCs w:val="18"/>
              </w:rPr>
              <w:t>1.2%</w:t>
            </w:r>
          </w:p>
        </w:tc>
        <w:tc>
          <w:tcPr>
            <w:tcW w:w="2520" w:type="pct"/>
            <w:tcMar>
              <w:top w:w="0" w:type="dxa"/>
              <w:left w:w="108" w:type="dxa"/>
              <w:bottom w:w="0" w:type="dxa"/>
              <w:right w:w="108" w:type="dxa"/>
            </w:tcMar>
          </w:tcPr>
          <w:p w:rsidR="00D40A21" w:rsidRPr="006E709F" w:rsidRDefault="00D40A21" w:rsidP="00377DE6">
            <w:pPr>
              <w:pStyle w:val="Tabletext"/>
              <w:rPr>
                <w:sz w:val="18"/>
                <w:szCs w:val="18"/>
              </w:rPr>
            </w:pPr>
            <w:r w:rsidRPr="006E709F">
              <w:rPr>
                <w:b/>
                <w:sz w:val="18"/>
                <w:szCs w:val="18"/>
              </w:rPr>
              <w:t>And</w:t>
            </w:r>
            <w:r w:rsidRPr="006E709F">
              <w:rPr>
                <w:sz w:val="18"/>
                <w:szCs w:val="18"/>
              </w:rPr>
              <w:t>, indirect costs of $600 each year will be deducted from your investment</w:t>
            </w:r>
          </w:p>
        </w:tc>
      </w:tr>
      <w:tr w:rsidR="00D40A21" w:rsidRPr="006E709F" w:rsidTr="00E118FA">
        <w:tc>
          <w:tcPr>
            <w:tcW w:w="1573" w:type="pct"/>
            <w:shd w:val="clear" w:color="auto" w:fill="auto"/>
            <w:tcMar>
              <w:top w:w="0" w:type="dxa"/>
              <w:left w:w="108" w:type="dxa"/>
              <w:bottom w:w="0" w:type="dxa"/>
              <w:right w:w="108" w:type="dxa"/>
            </w:tcMar>
            <w:hideMark/>
          </w:tcPr>
          <w:p w:rsidR="00D40A21" w:rsidRPr="006E709F" w:rsidRDefault="00D40A21" w:rsidP="00377DE6">
            <w:pPr>
              <w:pStyle w:val="Tabletext"/>
              <w:rPr>
                <w:rFonts w:eastAsia="Calibri"/>
                <w:sz w:val="18"/>
                <w:szCs w:val="18"/>
              </w:rPr>
            </w:pPr>
            <w:r w:rsidRPr="006E709F">
              <w:rPr>
                <w:b/>
                <w:sz w:val="18"/>
                <w:szCs w:val="18"/>
              </w:rPr>
              <w:t>EQUALS</w:t>
            </w:r>
            <w:r w:rsidRPr="006E709F">
              <w:rPr>
                <w:sz w:val="18"/>
                <w:szCs w:val="18"/>
              </w:rPr>
              <w:t xml:space="preserve"> Cost of product</w:t>
            </w:r>
          </w:p>
        </w:tc>
        <w:tc>
          <w:tcPr>
            <w:tcW w:w="907" w:type="pct"/>
            <w:shd w:val="clear" w:color="auto" w:fill="auto"/>
            <w:tcMar>
              <w:top w:w="0" w:type="dxa"/>
              <w:left w:w="108" w:type="dxa"/>
              <w:bottom w:w="0" w:type="dxa"/>
              <w:right w:w="108" w:type="dxa"/>
            </w:tcMar>
            <w:hideMark/>
          </w:tcPr>
          <w:p w:rsidR="00D40A21" w:rsidRPr="006E709F" w:rsidRDefault="00D40A21" w:rsidP="00377DE6">
            <w:pPr>
              <w:pStyle w:val="Tabletext"/>
              <w:rPr>
                <w:rFonts w:eastAsia="Calibri"/>
                <w:sz w:val="18"/>
                <w:szCs w:val="18"/>
              </w:rPr>
            </w:pPr>
          </w:p>
        </w:tc>
        <w:tc>
          <w:tcPr>
            <w:tcW w:w="2520" w:type="pct"/>
            <w:shd w:val="clear" w:color="auto" w:fill="auto"/>
            <w:tcMar>
              <w:top w:w="0" w:type="dxa"/>
              <w:left w:w="108" w:type="dxa"/>
              <w:bottom w:w="0" w:type="dxa"/>
              <w:right w:w="108" w:type="dxa"/>
            </w:tcMar>
            <w:hideMark/>
          </w:tcPr>
          <w:p w:rsidR="00D40A21" w:rsidRPr="006E709F" w:rsidRDefault="00D40A21" w:rsidP="00377DE6">
            <w:pPr>
              <w:pStyle w:val="Tabletext"/>
              <w:rPr>
                <w:sz w:val="18"/>
                <w:szCs w:val="18"/>
              </w:rPr>
            </w:pPr>
            <w:r w:rsidRPr="006E709F">
              <w:rPr>
                <w:sz w:val="18"/>
                <w:szCs w:val="18"/>
              </w:rPr>
              <w:t>If your balance was $50</w:t>
            </w:r>
            <w:r w:rsidR="00DA13DE" w:rsidRPr="006E709F">
              <w:rPr>
                <w:sz w:val="18"/>
                <w:szCs w:val="18"/>
              </w:rPr>
              <w:t> </w:t>
            </w:r>
            <w:r w:rsidRPr="006E709F">
              <w:rPr>
                <w:sz w:val="18"/>
                <w:szCs w:val="18"/>
              </w:rPr>
              <w:t xml:space="preserve">000, then for that year you will be charged fees of </w:t>
            </w:r>
            <w:r w:rsidRPr="006E709F">
              <w:rPr>
                <w:b/>
                <w:sz w:val="18"/>
                <w:szCs w:val="18"/>
              </w:rPr>
              <w:t>$1</w:t>
            </w:r>
            <w:r w:rsidR="00DA13DE" w:rsidRPr="006E709F">
              <w:rPr>
                <w:b/>
                <w:sz w:val="18"/>
                <w:szCs w:val="18"/>
              </w:rPr>
              <w:t> </w:t>
            </w:r>
            <w:r w:rsidRPr="006E709F">
              <w:rPr>
                <w:b/>
                <w:sz w:val="18"/>
                <w:szCs w:val="18"/>
              </w:rPr>
              <w:t xml:space="preserve">452 </w:t>
            </w:r>
            <w:r w:rsidRPr="006E709F">
              <w:rPr>
                <w:sz w:val="18"/>
                <w:szCs w:val="18"/>
              </w:rPr>
              <w:t>for the MySuper product.</w:t>
            </w:r>
          </w:p>
          <w:p w:rsidR="00D40A21" w:rsidRPr="006E709F" w:rsidRDefault="00D40A21" w:rsidP="00377DE6">
            <w:pPr>
              <w:pStyle w:val="Tabletext"/>
              <w:rPr>
                <w:sz w:val="18"/>
                <w:szCs w:val="18"/>
              </w:rPr>
            </w:pPr>
          </w:p>
        </w:tc>
      </w:tr>
    </w:tbl>
    <w:p w:rsidR="00D40A21" w:rsidRPr="006E709F" w:rsidRDefault="00D40A21" w:rsidP="00D40A21">
      <w:pPr>
        <w:pStyle w:val="notemargin"/>
      </w:pPr>
      <w:r w:rsidRPr="006E709F">
        <w:rPr>
          <w:bCs/>
          <w:position w:val="6"/>
          <w:sz w:val="16"/>
        </w:rPr>
        <w:t>Note:</w:t>
      </w:r>
      <w:r w:rsidRPr="006E709F">
        <w:rPr>
          <w:bCs/>
          <w:position w:val="6"/>
          <w:sz w:val="16"/>
        </w:rPr>
        <w:tab/>
      </w:r>
      <w:r w:rsidR="000C4237" w:rsidRPr="000C4237">
        <w:rPr>
          <w:b/>
          <w:bCs/>
          <w:position w:val="6"/>
          <w:sz w:val="16"/>
        </w:rPr>
        <w:t>*</w:t>
      </w:r>
      <w:r w:rsidRPr="006E709F">
        <w:rPr>
          <w:b/>
          <w:bCs/>
        </w:rPr>
        <w:t xml:space="preserve"> </w:t>
      </w:r>
      <w:r w:rsidRPr="006E709F">
        <w:t>Additional fees may apply.</w:t>
      </w:r>
    </w:p>
    <w:p w:rsidR="00D40A21" w:rsidRPr="006E709F" w:rsidRDefault="00D40A21" w:rsidP="00D40A21">
      <w:pPr>
        <w:pStyle w:val="ActHead5"/>
      </w:pPr>
      <w:bookmarkStart w:id="85" w:name="_Toc160609772"/>
      <w:r w:rsidRPr="000C4237">
        <w:rPr>
          <w:rStyle w:val="CharSectno"/>
        </w:rPr>
        <w:t>212</w:t>
      </w:r>
      <w:r w:rsidRPr="006E709F">
        <w:t xml:space="preserve">  </w:t>
      </w:r>
      <w:r w:rsidR="00BD52AE" w:rsidRPr="006E709F">
        <w:t>Collective investment products</w:t>
      </w:r>
      <w:r w:rsidRPr="006E709F">
        <w:t>—Example of annual fees and costs for a balanced investment option</w:t>
      </w:r>
      <w:bookmarkEnd w:id="85"/>
    </w:p>
    <w:p w:rsidR="002A22A4" w:rsidRPr="006E709F" w:rsidRDefault="002A22A4" w:rsidP="00D9431E">
      <w:pPr>
        <w:spacing w:before="240"/>
        <w:rPr>
          <w:rFonts w:cs="Times New Roman"/>
          <w:b/>
        </w:rPr>
      </w:pPr>
      <w:r w:rsidRPr="006E709F">
        <w:rPr>
          <w:rFonts w:cs="Times New Roman"/>
          <w:b/>
        </w:rPr>
        <w:t>Example of annual fees and costs for a balanced investment option</w:t>
      </w:r>
    </w:p>
    <w:p w:rsidR="002A22A4" w:rsidRPr="006E709F" w:rsidRDefault="002A22A4" w:rsidP="009D0C04">
      <w:pPr>
        <w:keepLines/>
        <w:spacing w:before="240"/>
        <w:rPr>
          <w:rFonts w:cs="Times New Roman"/>
        </w:rPr>
      </w:pPr>
      <w:r w:rsidRPr="006E709F">
        <w:rPr>
          <w:rFonts w:cs="Times New Roman"/>
        </w:rPr>
        <w:t xml:space="preserve">This table gives an example of how the fees and costs in </w:t>
      </w:r>
      <w:r w:rsidR="00D40A21" w:rsidRPr="006E709F">
        <w:t xml:space="preserve">the balanced investment option for this </w:t>
      </w:r>
      <w:r w:rsidR="00BD52AE" w:rsidRPr="006E709F">
        <w:t>product</w:t>
      </w:r>
      <w:r w:rsidRPr="006E709F">
        <w:rPr>
          <w:rFonts w:cs="Times New Roman"/>
        </w:rPr>
        <w:t xml:space="preserve"> can affect your investment over a 1</w:t>
      </w:r>
      <w:r w:rsidR="00E376FA" w:rsidRPr="006E709F">
        <w:rPr>
          <w:rFonts w:cs="Times New Roman"/>
        </w:rPr>
        <w:t xml:space="preserve"> </w:t>
      </w:r>
      <w:r w:rsidRPr="006E709F">
        <w:rPr>
          <w:rFonts w:cs="Times New Roman"/>
        </w:rPr>
        <w:t xml:space="preserve">year period. You should use this table to compare this product with other </w:t>
      </w:r>
      <w:r w:rsidR="00BD52AE" w:rsidRPr="006E709F">
        <w:t xml:space="preserve">products offered by </w:t>
      </w:r>
      <w:r w:rsidR="00B800B7" w:rsidRPr="006E709F">
        <w:rPr>
          <w:i/>
        </w:rPr>
        <w:t>[managed investment schemes / retail CCIVs]</w:t>
      </w:r>
      <w:r w:rsidRPr="006E709F">
        <w:rPr>
          <w:rFonts w:cs="Times New Roman"/>
        </w:rPr>
        <w:t>.</w:t>
      </w:r>
    </w:p>
    <w:p w:rsidR="00A801D0" w:rsidRPr="006E709F" w:rsidRDefault="00A801D0" w:rsidP="00A801D0">
      <w:pPr>
        <w:pStyle w:val="Tabletext"/>
      </w:pPr>
    </w:p>
    <w:tbl>
      <w:tblPr>
        <w:tblW w:w="5000" w:type="pct"/>
        <w:tblLook w:val="01E0" w:firstRow="1" w:lastRow="1" w:firstColumn="1" w:lastColumn="1" w:noHBand="0" w:noVBand="0"/>
      </w:tblPr>
      <w:tblGrid>
        <w:gridCol w:w="3074"/>
        <w:gridCol w:w="989"/>
        <w:gridCol w:w="4466"/>
      </w:tblGrid>
      <w:tr w:rsidR="002A22A4" w:rsidRPr="006E709F" w:rsidTr="00E118FA">
        <w:tc>
          <w:tcPr>
            <w:tcW w:w="2382" w:type="pct"/>
            <w:gridSpan w:val="2"/>
            <w:tcBorders>
              <w:top w:val="single" w:sz="4" w:space="0" w:color="auto"/>
              <w:left w:val="single" w:sz="4" w:space="0" w:color="auto"/>
              <w:bottom w:val="single" w:sz="4" w:space="0" w:color="auto"/>
              <w:right w:val="single" w:sz="4" w:space="0" w:color="auto"/>
            </w:tcBorders>
            <w:shd w:val="clear" w:color="auto" w:fill="FFFFFF"/>
          </w:tcPr>
          <w:p w:rsidR="002A22A4" w:rsidRPr="006E709F" w:rsidRDefault="002A22A4" w:rsidP="00497EC9">
            <w:pPr>
              <w:pStyle w:val="Tabletext"/>
              <w:keepNext/>
              <w:spacing w:after="60"/>
            </w:pPr>
            <w:r w:rsidRPr="006E709F">
              <w:rPr>
                <w:b/>
              </w:rPr>
              <w:t>EXAMPLE</w:t>
            </w:r>
            <w:r w:rsidR="00A801D0" w:rsidRPr="006E709F">
              <w:t>—</w:t>
            </w:r>
            <w:r w:rsidRPr="006E709F">
              <w:t>the Balanced Investment Option</w:t>
            </w:r>
          </w:p>
        </w:tc>
        <w:tc>
          <w:tcPr>
            <w:tcW w:w="2618" w:type="pct"/>
            <w:tcBorders>
              <w:top w:val="single" w:sz="4" w:space="0" w:color="auto"/>
              <w:left w:val="single" w:sz="4" w:space="0" w:color="auto"/>
              <w:bottom w:val="single" w:sz="4" w:space="0" w:color="auto"/>
              <w:right w:val="single" w:sz="4" w:space="0" w:color="auto"/>
            </w:tcBorders>
            <w:shd w:val="clear" w:color="auto" w:fill="FFFFFF"/>
          </w:tcPr>
          <w:p w:rsidR="002A22A4" w:rsidRPr="006E709F" w:rsidRDefault="002A22A4" w:rsidP="00D75DE0">
            <w:pPr>
              <w:pStyle w:val="Tabletext"/>
              <w:spacing w:after="60"/>
              <w:rPr>
                <w:b/>
              </w:rPr>
            </w:pPr>
            <w:r w:rsidRPr="006E709F">
              <w:rPr>
                <w:b/>
              </w:rPr>
              <w:t>BALANCE OF $50</w:t>
            </w:r>
            <w:r w:rsidR="00DA13DE" w:rsidRPr="006E709F">
              <w:rPr>
                <w:b/>
              </w:rPr>
              <w:t> </w:t>
            </w:r>
            <w:r w:rsidRPr="006E709F">
              <w:rPr>
                <w:b/>
              </w:rPr>
              <w:t>000 WITH A CONTRIBUTION OF $5</w:t>
            </w:r>
            <w:r w:rsidR="00DA13DE" w:rsidRPr="006E709F">
              <w:rPr>
                <w:b/>
              </w:rPr>
              <w:t> </w:t>
            </w:r>
            <w:r w:rsidRPr="006E709F">
              <w:rPr>
                <w:b/>
              </w:rPr>
              <w:t>000 DURING YEAR</w:t>
            </w:r>
          </w:p>
        </w:tc>
      </w:tr>
      <w:tr w:rsidR="002A22A4" w:rsidRPr="006E709F" w:rsidTr="00E118FA">
        <w:tc>
          <w:tcPr>
            <w:tcW w:w="1802" w:type="pct"/>
            <w:tcBorders>
              <w:top w:val="single" w:sz="4" w:space="0" w:color="auto"/>
              <w:left w:val="single" w:sz="4" w:space="0" w:color="auto"/>
              <w:bottom w:val="single" w:sz="4" w:space="0" w:color="auto"/>
              <w:right w:val="single" w:sz="4" w:space="0" w:color="auto"/>
            </w:tcBorders>
            <w:shd w:val="clear" w:color="auto" w:fill="FFFFFF"/>
          </w:tcPr>
          <w:p w:rsidR="002A22A4" w:rsidRPr="006E709F" w:rsidRDefault="002A22A4" w:rsidP="00D75DE0">
            <w:pPr>
              <w:pStyle w:val="Tabletext"/>
              <w:spacing w:after="60"/>
            </w:pPr>
            <w:r w:rsidRPr="006E709F">
              <w:t>Contribution Fees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2A22A4" w:rsidRPr="006E709F" w:rsidRDefault="002A22A4" w:rsidP="00D75DE0">
            <w:pPr>
              <w:pStyle w:val="Tabletext"/>
              <w:spacing w:after="60"/>
            </w:pPr>
            <w:r w:rsidRPr="006E709F">
              <w:t>0</w:t>
            </w:r>
            <w:r w:rsidR="000C4237">
              <w:noBreakHyphen/>
            </w:r>
            <w:r w:rsidRPr="006E709F">
              <w:t>4%</w:t>
            </w:r>
          </w:p>
        </w:tc>
        <w:tc>
          <w:tcPr>
            <w:tcW w:w="2618" w:type="pct"/>
            <w:tcBorders>
              <w:top w:val="single" w:sz="4" w:space="0" w:color="auto"/>
              <w:left w:val="single" w:sz="4" w:space="0" w:color="auto"/>
              <w:bottom w:val="single" w:sz="4" w:space="0" w:color="auto"/>
              <w:right w:val="single" w:sz="4" w:space="0" w:color="auto"/>
            </w:tcBorders>
            <w:shd w:val="clear" w:color="auto" w:fill="FFFFFF"/>
          </w:tcPr>
          <w:p w:rsidR="002A22A4" w:rsidRPr="006E709F" w:rsidRDefault="002A22A4" w:rsidP="00D75DE0">
            <w:pPr>
              <w:pStyle w:val="Tabletext"/>
              <w:spacing w:after="60"/>
            </w:pPr>
            <w:r w:rsidRPr="006E709F">
              <w:t>For every additional $5</w:t>
            </w:r>
            <w:r w:rsidR="00DA13DE" w:rsidRPr="006E709F">
              <w:t> </w:t>
            </w:r>
            <w:r w:rsidRPr="006E709F">
              <w:t>000 you put in, you will be charged between $0 and $200.</w:t>
            </w:r>
          </w:p>
        </w:tc>
      </w:tr>
      <w:tr w:rsidR="002A22A4" w:rsidRPr="006E709F" w:rsidTr="00E118FA">
        <w:tc>
          <w:tcPr>
            <w:tcW w:w="1802" w:type="pct"/>
            <w:tcBorders>
              <w:top w:val="single" w:sz="4" w:space="0" w:color="auto"/>
              <w:left w:val="single" w:sz="4" w:space="0" w:color="auto"/>
              <w:bottom w:val="single" w:sz="4" w:space="0" w:color="auto"/>
              <w:right w:val="single" w:sz="4" w:space="0" w:color="auto"/>
            </w:tcBorders>
            <w:shd w:val="clear" w:color="auto" w:fill="FFFFFF"/>
          </w:tcPr>
          <w:p w:rsidR="002A22A4" w:rsidRPr="006E709F" w:rsidRDefault="002A22A4" w:rsidP="00D75DE0">
            <w:pPr>
              <w:pStyle w:val="Tabletext"/>
              <w:spacing w:after="60"/>
            </w:pPr>
            <w:r w:rsidRPr="006E709F">
              <w:rPr>
                <w:b/>
              </w:rPr>
              <w:t>PLUS</w:t>
            </w:r>
            <w:r w:rsidRPr="006E709F">
              <w:t xml:space="preserve"> Management Costs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2A22A4" w:rsidRPr="006E709F" w:rsidRDefault="002A22A4" w:rsidP="00D75DE0">
            <w:pPr>
              <w:pStyle w:val="Tabletext"/>
              <w:spacing w:after="60"/>
            </w:pPr>
            <w:r w:rsidRPr="006E709F">
              <w:t>1.3%</w:t>
            </w:r>
          </w:p>
        </w:tc>
        <w:tc>
          <w:tcPr>
            <w:tcW w:w="2618" w:type="pct"/>
            <w:tcBorders>
              <w:top w:val="single" w:sz="4" w:space="0" w:color="auto"/>
              <w:left w:val="single" w:sz="4" w:space="0" w:color="auto"/>
              <w:bottom w:val="single" w:sz="4" w:space="0" w:color="auto"/>
              <w:right w:val="single" w:sz="4" w:space="0" w:color="auto"/>
            </w:tcBorders>
            <w:shd w:val="clear" w:color="auto" w:fill="FFFFFF"/>
          </w:tcPr>
          <w:p w:rsidR="002A22A4" w:rsidRPr="006E709F" w:rsidRDefault="002A22A4" w:rsidP="00D75DE0">
            <w:pPr>
              <w:pStyle w:val="Tabletext"/>
              <w:spacing w:after="60"/>
            </w:pPr>
            <w:r w:rsidRPr="006E709F">
              <w:rPr>
                <w:b/>
              </w:rPr>
              <w:t>And</w:t>
            </w:r>
            <w:r w:rsidRPr="006E709F">
              <w:t xml:space="preserve">, </w:t>
            </w:r>
            <w:r w:rsidR="00D40A21" w:rsidRPr="006E709F">
              <w:t>for every $50</w:t>
            </w:r>
            <w:r w:rsidR="00DA13DE" w:rsidRPr="006E709F">
              <w:t> </w:t>
            </w:r>
            <w:r w:rsidR="00D40A21" w:rsidRPr="006E709F">
              <w:t>000 you have in the balanced investment option</w:t>
            </w:r>
            <w:r w:rsidRPr="006E709F">
              <w:t xml:space="preserve"> you will be charged $650 each year.</w:t>
            </w:r>
          </w:p>
        </w:tc>
      </w:tr>
      <w:tr w:rsidR="002A22A4" w:rsidRPr="006E709F" w:rsidTr="00E118FA">
        <w:tc>
          <w:tcPr>
            <w:tcW w:w="1802"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2A22A4" w:rsidRPr="006E709F" w:rsidRDefault="002A22A4" w:rsidP="00D75DE0">
            <w:pPr>
              <w:pStyle w:val="Tabletext"/>
              <w:spacing w:after="60"/>
            </w:pPr>
            <w:r w:rsidRPr="006E709F">
              <w:rPr>
                <w:b/>
              </w:rPr>
              <w:t>EQUALS</w:t>
            </w:r>
            <w:r w:rsidRPr="006E709F">
              <w:t xml:space="preserve"> </w:t>
            </w:r>
            <w:r w:rsidR="00B2417E" w:rsidRPr="006E709F">
              <w:t>Cost of balanced investment option</w:t>
            </w:r>
          </w:p>
        </w:tc>
        <w:tc>
          <w:tcPr>
            <w:tcW w:w="580"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2A22A4" w:rsidRPr="006E709F" w:rsidRDefault="002A22A4" w:rsidP="00D75DE0">
            <w:pPr>
              <w:pStyle w:val="Tabletext"/>
              <w:spacing w:after="60"/>
            </w:pPr>
          </w:p>
        </w:tc>
        <w:tc>
          <w:tcPr>
            <w:tcW w:w="261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2A22A4" w:rsidRPr="006E709F" w:rsidRDefault="002A22A4" w:rsidP="00D75DE0">
            <w:pPr>
              <w:pStyle w:val="Tabletext"/>
              <w:spacing w:after="60"/>
            </w:pPr>
            <w:r w:rsidRPr="006E709F">
              <w:t>If you had an investment of $50</w:t>
            </w:r>
            <w:r w:rsidR="00DA13DE" w:rsidRPr="006E709F">
              <w:t> </w:t>
            </w:r>
            <w:r w:rsidRPr="006E709F">
              <w:t>000 at the beginning of the year and you put in an additional $5</w:t>
            </w:r>
            <w:r w:rsidR="00DA13DE" w:rsidRPr="006E709F">
              <w:t> </w:t>
            </w:r>
            <w:r w:rsidRPr="006E709F">
              <w:t>000 during that year, you would be charged fees of from:</w:t>
            </w:r>
          </w:p>
          <w:p w:rsidR="002A22A4" w:rsidRPr="006E709F" w:rsidRDefault="002A22A4" w:rsidP="00D75DE0">
            <w:pPr>
              <w:pStyle w:val="Tabletext"/>
              <w:spacing w:after="60"/>
              <w:jc w:val="center"/>
              <w:rPr>
                <w:b/>
              </w:rPr>
            </w:pPr>
            <w:r w:rsidRPr="006E709F">
              <w:rPr>
                <w:b/>
              </w:rPr>
              <w:t>$650 to $850</w:t>
            </w:r>
            <w:r w:rsidR="000C4237" w:rsidRPr="000C4237">
              <w:rPr>
                <w:b/>
                <w:position w:val="6"/>
                <w:sz w:val="16"/>
              </w:rPr>
              <w:t>*</w:t>
            </w:r>
          </w:p>
          <w:p w:rsidR="002A22A4" w:rsidRPr="006E709F" w:rsidRDefault="002A22A4" w:rsidP="00D75DE0">
            <w:pPr>
              <w:pStyle w:val="Tabletext"/>
              <w:spacing w:after="60"/>
              <w:jc w:val="center"/>
              <w:rPr>
                <w:b/>
              </w:rPr>
            </w:pPr>
            <w:r w:rsidRPr="006E709F">
              <w:rPr>
                <w:b/>
              </w:rPr>
              <w:t>What it costs you will depend on the investment option you choose and the fees you negotiate.</w:t>
            </w:r>
          </w:p>
        </w:tc>
      </w:tr>
    </w:tbl>
    <w:p w:rsidR="0048795D" w:rsidRPr="006E709F" w:rsidRDefault="000C4237" w:rsidP="00D75DE0">
      <w:pPr>
        <w:pStyle w:val="notemargin"/>
        <w:rPr>
          <w:sz w:val="16"/>
          <w:szCs w:val="16"/>
        </w:rPr>
      </w:pPr>
      <w:r w:rsidRPr="000C4237">
        <w:rPr>
          <w:b/>
          <w:position w:val="6"/>
          <w:sz w:val="16"/>
          <w:szCs w:val="16"/>
        </w:rPr>
        <w:t>*</w:t>
      </w:r>
      <w:r w:rsidR="002A22A4" w:rsidRPr="006E709F">
        <w:rPr>
          <w:b/>
          <w:sz w:val="16"/>
          <w:szCs w:val="16"/>
        </w:rPr>
        <w:t xml:space="preserve"> </w:t>
      </w:r>
      <w:r w:rsidR="002A22A4" w:rsidRPr="006E709F">
        <w:rPr>
          <w:sz w:val="16"/>
          <w:szCs w:val="16"/>
        </w:rPr>
        <w:t>Additional fees may apply:</w:t>
      </w:r>
    </w:p>
    <w:p w:rsidR="002A22A4" w:rsidRPr="006E709F" w:rsidRDefault="002A22A4" w:rsidP="00D75DE0">
      <w:pPr>
        <w:pStyle w:val="notemargin"/>
        <w:rPr>
          <w:sz w:val="16"/>
          <w:szCs w:val="16"/>
        </w:rPr>
      </w:pPr>
      <w:r w:rsidRPr="006E709F">
        <w:rPr>
          <w:b/>
          <w:sz w:val="16"/>
          <w:szCs w:val="16"/>
        </w:rPr>
        <w:t>Establishment fee</w:t>
      </w:r>
      <w:r w:rsidR="00A801D0" w:rsidRPr="006E709F">
        <w:rPr>
          <w:sz w:val="16"/>
          <w:szCs w:val="16"/>
        </w:rPr>
        <w:t>—</w:t>
      </w:r>
      <w:r w:rsidRPr="006E709F">
        <w:rPr>
          <w:sz w:val="16"/>
          <w:szCs w:val="16"/>
        </w:rPr>
        <w:t>$50</w:t>
      </w:r>
    </w:p>
    <w:p w:rsidR="002A22A4" w:rsidRPr="006E709F" w:rsidRDefault="002A22A4" w:rsidP="00D75DE0">
      <w:pPr>
        <w:pStyle w:val="notemargin"/>
        <w:tabs>
          <w:tab w:val="clear" w:pos="709"/>
          <w:tab w:val="left" w:pos="567"/>
        </w:tabs>
        <w:ind w:left="0" w:firstLine="0"/>
        <w:rPr>
          <w:sz w:val="16"/>
          <w:szCs w:val="16"/>
        </w:rPr>
      </w:pPr>
      <w:r w:rsidRPr="006E709F">
        <w:rPr>
          <w:b/>
          <w:sz w:val="16"/>
          <w:szCs w:val="16"/>
        </w:rPr>
        <w:t>And</w:t>
      </w:r>
      <w:r w:rsidRPr="006E709F">
        <w:rPr>
          <w:sz w:val="16"/>
          <w:szCs w:val="16"/>
        </w:rPr>
        <w:t xml:space="preserve">, </w:t>
      </w:r>
      <w:r w:rsidR="00B2417E" w:rsidRPr="006E709F">
        <w:rPr>
          <w:sz w:val="16"/>
          <w:szCs w:val="16"/>
        </w:rPr>
        <w:t xml:space="preserve">if you leave the </w:t>
      </w:r>
      <w:r w:rsidR="00761295" w:rsidRPr="006E709F">
        <w:rPr>
          <w:i/>
        </w:rPr>
        <w:t>[managed investment scheme / retail CCIV]</w:t>
      </w:r>
      <w:r w:rsidR="00B2417E" w:rsidRPr="006E709F">
        <w:rPr>
          <w:sz w:val="16"/>
          <w:szCs w:val="16"/>
        </w:rPr>
        <w:t xml:space="preserve"> early</w:t>
      </w:r>
      <w:r w:rsidRPr="006E709F">
        <w:rPr>
          <w:sz w:val="16"/>
          <w:szCs w:val="16"/>
        </w:rPr>
        <w:t xml:space="preserve">, you may also be charged </w:t>
      </w:r>
      <w:r w:rsidR="00B2417E" w:rsidRPr="006E709F">
        <w:rPr>
          <w:b/>
          <w:sz w:val="16"/>
          <w:szCs w:val="16"/>
        </w:rPr>
        <w:t>exit fees</w:t>
      </w:r>
      <w:r w:rsidRPr="006E709F">
        <w:rPr>
          <w:sz w:val="16"/>
          <w:szCs w:val="16"/>
        </w:rPr>
        <w:t xml:space="preserve"> of between 0 and 5% of your </w:t>
      </w:r>
      <w:r w:rsidR="00B2417E" w:rsidRPr="006E709F">
        <w:rPr>
          <w:sz w:val="16"/>
          <w:szCs w:val="16"/>
        </w:rPr>
        <w:t>total account balance</w:t>
      </w:r>
      <w:r w:rsidRPr="006E709F">
        <w:rPr>
          <w:sz w:val="16"/>
          <w:szCs w:val="16"/>
        </w:rPr>
        <w:t xml:space="preserve"> (between $0 and $2</w:t>
      </w:r>
      <w:r w:rsidR="00DA13DE" w:rsidRPr="006E709F">
        <w:rPr>
          <w:sz w:val="16"/>
          <w:szCs w:val="16"/>
        </w:rPr>
        <w:t> </w:t>
      </w:r>
      <w:r w:rsidRPr="006E709F">
        <w:rPr>
          <w:sz w:val="16"/>
          <w:szCs w:val="16"/>
        </w:rPr>
        <w:t>500 for every $50</w:t>
      </w:r>
      <w:r w:rsidR="00DA13DE" w:rsidRPr="006E709F">
        <w:rPr>
          <w:sz w:val="16"/>
          <w:szCs w:val="16"/>
        </w:rPr>
        <w:t> </w:t>
      </w:r>
      <w:r w:rsidRPr="006E709F">
        <w:rPr>
          <w:sz w:val="16"/>
          <w:szCs w:val="16"/>
        </w:rPr>
        <w:t>000 you withdraw)</w:t>
      </w:r>
    </w:p>
    <w:p w:rsidR="002A22A4" w:rsidRPr="006E709F" w:rsidRDefault="002A22A4" w:rsidP="00D5406C">
      <w:pPr>
        <w:pStyle w:val="ActHead5"/>
      </w:pPr>
      <w:bookmarkStart w:id="86" w:name="_Toc160609773"/>
      <w:r w:rsidRPr="000C4237">
        <w:rPr>
          <w:rStyle w:val="CharSectno"/>
        </w:rPr>
        <w:t>213</w:t>
      </w:r>
      <w:r w:rsidR="00A801D0" w:rsidRPr="006E709F">
        <w:t xml:space="preserve">  </w:t>
      </w:r>
      <w:r w:rsidRPr="006E709F">
        <w:t>Defined benefit funds</w:t>
      </w:r>
      <w:bookmarkEnd w:id="86"/>
    </w:p>
    <w:p w:rsidR="002A22A4" w:rsidRPr="006E709F" w:rsidRDefault="002A22A4" w:rsidP="00A801D0">
      <w:pPr>
        <w:pStyle w:val="subsection"/>
      </w:pPr>
      <w:r w:rsidRPr="006E709F">
        <w:tab/>
      </w:r>
      <w:r w:rsidRPr="006E709F">
        <w:tab/>
        <w:t>An example of fees and costs is not required in a Product Disclosure Statement for a defined benefit fund.</w:t>
      </w:r>
    </w:p>
    <w:p w:rsidR="002A22A4" w:rsidRPr="006E709F" w:rsidRDefault="00A801D0" w:rsidP="00A801D0">
      <w:pPr>
        <w:pStyle w:val="notetext"/>
      </w:pPr>
      <w:r w:rsidRPr="006E709F">
        <w:t>Note:</w:t>
      </w:r>
      <w:r w:rsidRPr="006E709F">
        <w:tab/>
      </w:r>
      <w:r w:rsidR="002A22A4" w:rsidRPr="006E709F">
        <w:rPr>
          <w:b/>
          <w:i/>
        </w:rPr>
        <w:t>Defined benefit fund</w:t>
      </w:r>
      <w:r w:rsidR="002A22A4" w:rsidRPr="006E709F">
        <w:t xml:space="preserve"> is defined in subregulation</w:t>
      </w:r>
      <w:r w:rsidR="00DA13DE" w:rsidRPr="006E709F">
        <w:t> </w:t>
      </w:r>
      <w:r w:rsidR="002A22A4" w:rsidRPr="006E709F">
        <w:t>1.03(1) of the SIS Regulations.</w:t>
      </w:r>
    </w:p>
    <w:p w:rsidR="002A22A4" w:rsidRPr="006E709F" w:rsidRDefault="00A801D0" w:rsidP="00A801D0">
      <w:pPr>
        <w:pStyle w:val="ActHead3"/>
        <w:pageBreakBefore/>
      </w:pPr>
      <w:bookmarkStart w:id="87" w:name="_Toc160609774"/>
      <w:r w:rsidRPr="000C4237">
        <w:rPr>
          <w:rStyle w:val="CharDivNo"/>
        </w:rPr>
        <w:t>Division</w:t>
      </w:r>
      <w:r w:rsidR="00DA13DE" w:rsidRPr="000C4237">
        <w:rPr>
          <w:rStyle w:val="CharDivNo"/>
        </w:rPr>
        <w:t> </w:t>
      </w:r>
      <w:r w:rsidR="002A22A4" w:rsidRPr="000C4237">
        <w:rPr>
          <w:rStyle w:val="CharDivNo"/>
        </w:rPr>
        <w:t>6</w:t>
      </w:r>
      <w:r w:rsidR="00CA4A64" w:rsidRPr="006E709F">
        <w:t>—</w:t>
      </w:r>
      <w:r w:rsidR="002A22A4" w:rsidRPr="000C4237">
        <w:rPr>
          <w:rStyle w:val="CharDivText"/>
        </w:rPr>
        <w:t>How to fill in the example of annual fees and costs</w:t>
      </w:r>
      <w:bookmarkEnd w:id="87"/>
    </w:p>
    <w:p w:rsidR="00B2417E" w:rsidRPr="006E709F" w:rsidRDefault="00B2417E" w:rsidP="00B2417E">
      <w:pPr>
        <w:pStyle w:val="ActHead5"/>
      </w:pPr>
      <w:bookmarkStart w:id="88" w:name="_Toc160609775"/>
      <w:r w:rsidRPr="000C4237">
        <w:rPr>
          <w:rStyle w:val="CharSectno"/>
        </w:rPr>
        <w:t>214</w:t>
      </w:r>
      <w:r w:rsidRPr="006E709F">
        <w:t xml:space="preserve">  Fees and costs must be ongoing amounts</w:t>
      </w:r>
      <w:bookmarkEnd w:id="88"/>
    </w:p>
    <w:p w:rsidR="00B2417E" w:rsidRPr="006E709F" w:rsidRDefault="00B2417E" w:rsidP="00B2417E">
      <w:pPr>
        <w:pStyle w:val="subsection"/>
      </w:pPr>
      <w:r w:rsidRPr="006E709F">
        <w:tab/>
      </w:r>
      <w:r w:rsidRPr="006E709F">
        <w:tab/>
        <w:t>The fees and costs stated in the example must be typical ongoing fees that apply to the MySuper product or investment option.</w:t>
      </w:r>
    </w:p>
    <w:p w:rsidR="00B2417E" w:rsidRPr="006E709F" w:rsidRDefault="00B2417E" w:rsidP="00B2417E">
      <w:pPr>
        <w:pStyle w:val="notetext"/>
      </w:pPr>
      <w:r w:rsidRPr="006E709F">
        <w:t>Note:</w:t>
      </w:r>
      <w:r w:rsidRPr="006E709F">
        <w:tab/>
        <w:t>The example should not be based on “honeymoon rates”. It must be consistent with the statement for an existing member or product holder having the stated balance and level of contributions each year.</w:t>
      </w:r>
    </w:p>
    <w:p w:rsidR="00B2417E" w:rsidRPr="006E709F" w:rsidRDefault="00B2417E" w:rsidP="00B2417E">
      <w:pPr>
        <w:pStyle w:val="ActHead5"/>
      </w:pPr>
      <w:bookmarkStart w:id="89" w:name="_Toc160609776"/>
      <w:r w:rsidRPr="000C4237">
        <w:rPr>
          <w:rStyle w:val="CharSectno"/>
        </w:rPr>
        <w:t>214A</w:t>
      </w:r>
      <w:r w:rsidRPr="006E709F">
        <w:t xml:space="preserve">  Example of annual fees and costs for a MySuper product—lifecycle MySuper product</w:t>
      </w:r>
      <w:bookmarkEnd w:id="89"/>
    </w:p>
    <w:p w:rsidR="00B2417E" w:rsidRPr="006E709F" w:rsidRDefault="00850128" w:rsidP="00850128">
      <w:pPr>
        <w:pStyle w:val="subsection"/>
      </w:pPr>
      <w:r w:rsidRPr="006E709F">
        <w:tab/>
      </w:r>
      <w:r w:rsidRPr="006E709F">
        <w:tab/>
      </w:r>
      <w:r w:rsidR="00B2417E" w:rsidRPr="006E709F">
        <w:t>If the example of fees and costs for a MySuper product uses a lifecycle MySuper product, the investment fee quoted in the example must be the highest investment fee for a lifecycle stage of the lifecycle MySuper product.</w:t>
      </w:r>
    </w:p>
    <w:p w:rsidR="002A22A4" w:rsidRPr="006E709F" w:rsidRDefault="002A22A4" w:rsidP="00D5406C">
      <w:pPr>
        <w:pStyle w:val="ActHead5"/>
      </w:pPr>
      <w:bookmarkStart w:id="90" w:name="_Toc160609777"/>
      <w:r w:rsidRPr="000C4237">
        <w:rPr>
          <w:rStyle w:val="CharSectno"/>
        </w:rPr>
        <w:t>215</w:t>
      </w:r>
      <w:r w:rsidR="00A801D0" w:rsidRPr="006E709F">
        <w:t xml:space="preserve">  </w:t>
      </w:r>
      <w:r w:rsidRPr="006E709F">
        <w:t>Minimum entry balance rule</w:t>
      </w:r>
      <w:bookmarkEnd w:id="90"/>
    </w:p>
    <w:p w:rsidR="002A22A4" w:rsidRPr="006E709F" w:rsidRDefault="002A22A4" w:rsidP="00A801D0">
      <w:pPr>
        <w:pStyle w:val="subsection"/>
      </w:pPr>
      <w:r w:rsidRPr="006E709F">
        <w:tab/>
      </w:r>
      <w:r w:rsidRPr="006E709F">
        <w:tab/>
        <w:t xml:space="preserve">If the minimum balance required to enter </w:t>
      </w:r>
      <w:r w:rsidR="00B2417E" w:rsidRPr="006E709F">
        <w:t>a superannuation entity</w:t>
      </w:r>
      <w:r w:rsidR="00761295" w:rsidRPr="006E709F">
        <w:t>, a managed investment scheme or a retail CCIV</w:t>
      </w:r>
      <w:r w:rsidRPr="006E709F">
        <w:t xml:space="preserve"> is greater than $50</w:t>
      </w:r>
      <w:r w:rsidR="00DA13DE" w:rsidRPr="006E709F">
        <w:t> </w:t>
      </w:r>
      <w:r w:rsidRPr="006E709F">
        <w:t>000, the example of annual fees and costs must be based on an amount that is the lowest multiple of $50</w:t>
      </w:r>
      <w:r w:rsidR="00DA13DE" w:rsidRPr="006E709F">
        <w:t> </w:t>
      </w:r>
      <w:r w:rsidRPr="006E709F">
        <w:t>000 that exceeds the minimum entry balance.</w:t>
      </w:r>
    </w:p>
    <w:p w:rsidR="002A22A4" w:rsidRPr="006E709F" w:rsidRDefault="002A22A4" w:rsidP="00247078">
      <w:pPr>
        <w:pStyle w:val="notetext"/>
      </w:pPr>
      <w:r w:rsidRPr="006E709F">
        <w:t>Example</w:t>
      </w:r>
      <w:r w:rsidR="00B51393" w:rsidRPr="006E709F">
        <w:t>:</w:t>
      </w:r>
      <w:r w:rsidR="00B51393" w:rsidRPr="006E709F">
        <w:tab/>
      </w:r>
      <w:r w:rsidRPr="006E709F">
        <w:t xml:space="preserve">If </w:t>
      </w:r>
      <w:r w:rsidR="00B2417E" w:rsidRPr="006E709F">
        <w:t>a superannuation entity</w:t>
      </w:r>
      <w:r w:rsidR="00761295" w:rsidRPr="006E709F">
        <w:t>, a managed investment scheme or a retail CCIV</w:t>
      </w:r>
      <w:r w:rsidRPr="006E709F">
        <w:t xml:space="preserve"> has a minimum entry balance of $65</w:t>
      </w:r>
      <w:r w:rsidR="00DA13DE" w:rsidRPr="006E709F">
        <w:t> </w:t>
      </w:r>
      <w:r w:rsidRPr="006E709F">
        <w:t>000, the relevant amount for the example of annual fees and costs is $100</w:t>
      </w:r>
      <w:r w:rsidR="00DA13DE" w:rsidRPr="006E709F">
        <w:t> </w:t>
      </w:r>
      <w:r w:rsidRPr="006E709F">
        <w:t>000.</w:t>
      </w:r>
    </w:p>
    <w:p w:rsidR="00B2417E" w:rsidRPr="006E709F" w:rsidRDefault="00B2417E" w:rsidP="00B2417E">
      <w:pPr>
        <w:pStyle w:val="ActHead5"/>
      </w:pPr>
      <w:bookmarkStart w:id="91" w:name="_Toc160609778"/>
      <w:r w:rsidRPr="000C4237">
        <w:rPr>
          <w:rStyle w:val="CharSectno"/>
        </w:rPr>
        <w:t>216</w:t>
      </w:r>
      <w:r w:rsidRPr="006E709F">
        <w:t xml:space="preserve">  Exit fees</w:t>
      </w:r>
      <w:bookmarkEnd w:id="91"/>
    </w:p>
    <w:p w:rsidR="00B2417E" w:rsidRPr="006E709F" w:rsidRDefault="00F44200" w:rsidP="00F44200">
      <w:pPr>
        <w:pStyle w:val="subsection"/>
      </w:pPr>
      <w:r w:rsidRPr="006E709F">
        <w:tab/>
      </w:r>
      <w:r w:rsidRPr="006E709F">
        <w:tab/>
      </w:r>
      <w:r w:rsidR="00636892" w:rsidRPr="006E709F">
        <w:t>If an exit fee may be charged in relation to a collective investment product, the fee</w:t>
      </w:r>
      <w:r w:rsidR="00B2417E" w:rsidRPr="006E709F">
        <w:t xml:space="preserve"> must be described in footnote to the table, based on:</w:t>
      </w:r>
    </w:p>
    <w:p w:rsidR="00B2417E" w:rsidRPr="006E709F" w:rsidRDefault="00B2417E" w:rsidP="00B2417E">
      <w:pPr>
        <w:pStyle w:val="paragraph"/>
      </w:pPr>
      <w:r w:rsidRPr="006E709F">
        <w:tab/>
        <w:t>(a)</w:t>
      </w:r>
      <w:r w:rsidRPr="006E709F">
        <w:tab/>
        <w:t>a balance of $50</w:t>
      </w:r>
      <w:r w:rsidR="00DA13DE" w:rsidRPr="006E709F">
        <w:t> </w:t>
      </w:r>
      <w:r w:rsidRPr="006E709F">
        <w:t>000; or</w:t>
      </w:r>
    </w:p>
    <w:p w:rsidR="00B2417E" w:rsidRPr="006E709F" w:rsidRDefault="00B2417E" w:rsidP="00B2417E">
      <w:pPr>
        <w:pStyle w:val="paragraph"/>
      </w:pPr>
      <w:r w:rsidRPr="006E709F">
        <w:tab/>
        <w:t>(b)</w:t>
      </w:r>
      <w:r w:rsidRPr="006E709F">
        <w:tab/>
        <w:t>if clause</w:t>
      </w:r>
      <w:r w:rsidR="00DA13DE" w:rsidRPr="006E709F">
        <w:t> </w:t>
      </w:r>
      <w:r w:rsidRPr="006E709F">
        <w:t>215 applies—an amount that is a multiple of $50</w:t>
      </w:r>
      <w:r w:rsidR="00DA13DE" w:rsidRPr="006E709F">
        <w:t> </w:t>
      </w:r>
      <w:r w:rsidRPr="006E709F">
        <w:t>000.</w:t>
      </w:r>
    </w:p>
    <w:p w:rsidR="002A22A4" w:rsidRPr="006E709F" w:rsidRDefault="002A22A4" w:rsidP="00D5406C">
      <w:pPr>
        <w:pStyle w:val="ActHead5"/>
      </w:pPr>
      <w:bookmarkStart w:id="92" w:name="_Toc160609779"/>
      <w:r w:rsidRPr="000C4237">
        <w:rPr>
          <w:rStyle w:val="CharSectno"/>
        </w:rPr>
        <w:t>217</w:t>
      </w:r>
      <w:r w:rsidR="00A801D0" w:rsidRPr="006E709F">
        <w:t xml:space="preserve">  </w:t>
      </w:r>
      <w:r w:rsidRPr="006E709F">
        <w:t>Contribution fees</w:t>
      </w:r>
      <w:bookmarkEnd w:id="92"/>
    </w:p>
    <w:p w:rsidR="002A22A4" w:rsidRPr="006E709F" w:rsidRDefault="002A22A4" w:rsidP="00A801D0">
      <w:pPr>
        <w:pStyle w:val="subsection"/>
      </w:pPr>
      <w:r w:rsidRPr="006E709F">
        <w:tab/>
        <w:t>(1)</w:t>
      </w:r>
      <w:r w:rsidRPr="006E709F">
        <w:tab/>
        <w:t xml:space="preserve">The amounts of contribution fees to be inserted in the example of annual fees and costs for a </w:t>
      </w:r>
      <w:r w:rsidR="00BD52AE" w:rsidRPr="006E709F">
        <w:t>collective investment product</w:t>
      </w:r>
      <w:r w:rsidRPr="006E709F">
        <w:t>, are applied against a $5</w:t>
      </w:r>
      <w:r w:rsidR="00DA13DE" w:rsidRPr="006E709F">
        <w:t> </w:t>
      </w:r>
      <w:r w:rsidRPr="006E709F">
        <w:t>000 investment.</w:t>
      </w:r>
    </w:p>
    <w:p w:rsidR="002A22A4" w:rsidRPr="006E709F" w:rsidRDefault="002A22A4" w:rsidP="00A801D0">
      <w:pPr>
        <w:pStyle w:val="subsection"/>
      </w:pPr>
      <w:r w:rsidRPr="006E709F">
        <w:tab/>
        <w:t>(2)</w:t>
      </w:r>
      <w:r w:rsidRPr="006E709F">
        <w:tab/>
        <w:t>If a Product Disclosure Statement relates to a product:</w:t>
      </w:r>
    </w:p>
    <w:p w:rsidR="002A22A4" w:rsidRPr="006E709F" w:rsidRDefault="002A22A4" w:rsidP="00A801D0">
      <w:pPr>
        <w:pStyle w:val="paragraph"/>
      </w:pPr>
      <w:r w:rsidRPr="006E709F">
        <w:tab/>
        <w:t>(a)</w:t>
      </w:r>
      <w:r w:rsidRPr="006E709F">
        <w:tab/>
        <w:t>that is paid for by a single lump sum amount; and</w:t>
      </w:r>
    </w:p>
    <w:p w:rsidR="0048795D" w:rsidRPr="006E709F" w:rsidRDefault="002A22A4" w:rsidP="00A801D0">
      <w:pPr>
        <w:pStyle w:val="paragraph"/>
      </w:pPr>
      <w:r w:rsidRPr="006E709F">
        <w:tab/>
        <w:t>(b)</w:t>
      </w:r>
      <w:r w:rsidRPr="006E709F">
        <w:tab/>
        <w:t>for which no additional contributions can be made;</w:t>
      </w:r>
    </w:p>
    <w:p w:rsidR="002A22A4" w:rsidRPr="006E709F" w:rsidRDefault="002A22A4" w:rsidP="00A801D0">
      <w:pPr>
        <w:pStyle w:val="subsection2"/>
      </w:pPr>
      <w:r w:rsidRPr="006E709F">
        <w:t>the example of annual fees and costs should be modified by removing references to contributions or contribution fees.</w:t>
      </w:r>
    </w:p>
    <w:p w:rsidR="002A22A4" w:rsidRPr="006E709F" w:rsidRDefault="002A22A4" w:rsidP="00A801D0">
      <w:pPr>
        <w:pStyle w:val="subsection"/>
      </w:pPr>
      <w:r w:rsidRPr="006E709F">
        <w:tab/>
        <w:t>(3)</w:t>
      </w:r>
      <w:r w:rsidRPr="006E709F">
        <w:tab/>
        <w:t>The example must be based on a balance:</w:t>
      </w:r>
    </w:p>
    <w:p w:rsidR="002A22A4" w:rsidRPr="006E709F" w:rsidRDefault="002A22A4" w:rsidP="00A801D0">
      <w:pPr>
        <w:pStyle w:val="paragraph"/>
      </w:pPr>
      <w:r w:rsidRPr="006E709F">
        <w:tab/>
        <w:t>(a)</w:t>
      </w:r>
      <w:r w:rsidRPr="006E709F">
        <w:tab/>
        <w:t>of $50</w:t>
      </w:r>
      <w:r w:rsidR="00DA13DE" w:rsidRPr="006E709F">
        <w:t> </w:t>
      </w:r>
      <w:r w:rsidRPr="006E709F">
        <w:t>000; or</w:t>
      </w:r>
    </w:p>
    <w:p w:rsidR="002A22A4" w:rsidRPr="006E709F" w:rsidRDefault="002A22A4" w:rsidP="00A801D0">
      <w:pPr>
        <w:pStyle w:val="paragraph"/>
      </w:pPr>
      <w:r w:rsidRPr="006E709F">
        <w:tab/>
        <w:t>(b)</w:t>
      </w:r>
      <w:r w:rsidRPr="006E709F">
        <w:tab/>
        <w:t>worked out in accordance with clause</w:t>
      </w:r>
      <w:r w:rsidR="00DA13DE" w:rsidRPr="006E709F">
        <w:t> </w:t>
      </w:r>
      <w:r w:rsidRPr="006E709F">
        <w:t>215.</w:t>
      </w:r>
    </w:p>
    <w:p w:rsidR="002A22A4" w:rsidRPr="006E709F" w:rsidRDefault="00A801D0" w:rsidP="00A801D0">
      <w:pPr>
        <w:pStyle w:val="notetext"/>
      </w:pPr>
      <w:r w:rsidRPr="006E709F">
        <w:t>Note:</w:t>
      </w:r>
      <w:r w:rsidRPr="006E709F">
        <w:tab/>
      </w:r>
      <w:r w:rsidR="002A22A4" w:rsidRPr="006E709F">
        <w:t>If there is a fee paid for the initial contribution, it should be described as the establishment fee.</w:t>
      </w:r>
    </w:p>
    <w:p w:rsidR="00B2417E" w:rsidRPr="006E709F" w:rsidRDefault="00B2417E" w:rsidP="00B2417E">
      <w:pPr>
        <w:pStyle w:val="ActHead5"/>
      </w:pPr>
      <w:bookmarkStart w:id="93" w:name="_Toc160609780"/>
      <w:r w:rsidRPr="000C4237">
        <w:rPr>
          <w:rStyle w:val="CharSectno"/>
        </w:rPr>
        <w:t>218</w:t>
      </w:r>
      <w:r w:rsidRPr="006E709F">
        <w:t xml:space="preserve">  Administration fees and investment fees for a superannuation product</w:t>
      </w:r>
      <w:bookmarkEnd w:id="93"/>
    </w:p>
    <w:p w:rsidR="00B2417E" w:rsidRPr="006E709F" w:rsidRDefault="00B2417E" w:rsidP="00B2417E">
      <w:pPr>
        <w:pStyle w:val="SubsectionHead"/>
      </w:pPr>
      <w:r w:rsidRPr="006E709F">
        <w:t>Administration fees</w:t>
      </w:r>
    </w:p>
    <w:p w:rsidR="00B2417E" w:rsidRPr="006E709F" w:rsidRDefault="00B2417E" w:rsidP="00B2417E">
      <w:pPr>
        <w:pStyle w:val="subsection"/>
      </w:pPr>
      <w:r w:rsidRPr="006E709F">
        <w:tab/>
        <w:t>(1)</w:t>
      </w:r>
      <w:r w:rsidRPr="006E709F">
        <w:tab/>
        <w:t>The example of administration fees for a MySuper product or an investment option offered by a superannuation entity is applied to an amount of $50</w:t>
      </w:r>
      <w:r w:rsidR="00DA13DE" w:rsidRPr="006E709F">
        <w:t> </w:t>
      </w:r>
      <w:r w:rsidRPr="006E709F">
        <w:t>000 or an amount that is a multiple of $50</w:t>
      </w:r>
      <w:r w:rsidR="00DA13DE" w:rsidRPr="006E709F">
        <w:t> </w:t>
      </w:r>
      <w:r w:rsidRPr="006E709F">
        <w:t>000 if clause</w:t>
      </w:r>
      <w:r w:rsidR="00DA13DE" w:rsidRPr="006E709F">
        <w:t> </w:t>
      </w:r>
      <w:r w:rsidRPr="006E709F">
        <w:t>215 applies.</w:t>
      </w:r>
    </w:p>
    <w:p w:rsidR="00B2417E" w:rsidRPr="006E709F" w:rsidRDefault="00B2417E" w:rsidP="00B2417E">
      <w:pPr>
        <w:pStyle w:val="notetext"/>
      </w:pPr>
      <w:r w:rsidRPr="006E709F">
        <w:rPr>
          <w:iCs/>
        </w:rPr>
        <w:t>Note:</w:t>
      </w:r>
      <w:r w:rsidRPr="006E709F">
        <w:rPr>
          <w:iCs/>
        </w:rPr>
        <w:tab/>
      </w:r>
      <w:r w:rsidRPr="006E709F">
        <w:t>In calculating the amount, do not include contributions that may be made during the year.</w:t>
      </w:r>
    </w:p>
    <w:p w:rsidR="00B2417E" w:rsidRPr="006E709F" w:rsidRDefault="00B2417E" w:rsidP="00B2417E">
      <w:pPr>
        <w:pStyle w:val="subsection"/>
      </w:pPr>
      <w:r w:rsidRPr="006E709F">
        <w:tab/>
        <w:t>(2)</w:t>
      </w:r>
      <w:r w:rsidRPr="006E709F">
        <w:tab/>
        <w:t>If there is a range in the amount of administration fees that may be charged for a MySuper product or an investment option offered by a superannuation entity, the example must use the highest administration fees in the range.</w:t>
      </w:r>
    </w:p>
    <w:p w:rsidR="00B2417E" w:rsidRPr="006E709F" w:rsidRDefault="00B2417E" w:rsidP="00B2417E">
      <w:pPr>
        <w:pStyle w:val="SubsectionHead"/>
      </w:pPr>
      <w:r w:rsidRPr="006E709F">
        <w:t>Investment fees</w:t>
      </w:r>
    </w:p>
    <w:p w:rsidR="00B2417E" w:rsidRPr="006E709F" w:rsidRDefault="00B2417E" w:rsidP="00B2417E">
      <w:pPr>
        <w:pStyle w:val="subsection"/>
      </w:pPr>
      <w:r w:rsidRPr="006E709F">
        <w:tab/>
        <w:t>(3)</w:t>
      </w:r>
      <w:r w:rsidRPr="006E709F">
        <w:tab/>
        <w:t>The example of investment fees for a MySuper product or an investment option offered by a superannuation entity is applied to an amount of $50</w:t>
      </w:r>
      <w:r w:rsidR="00DA13DE" w:rsidRPr="006E709F">
        <w:t> </w:t>
      </w:r>
      <w:r w:rsidRPr="006E709F">
        <w:t>000 or an amount that is a multiple of $50</w:t>
      </w:r>
      <w:r w:rsidR="00DA13DE" w:rsidRPr="006E709F">
        <w:t> </w:t>
      </w:r>
      <w:r w:rsidRPr="006E709F">
        <w:t>000 if clause</w:t>
      </w:r>
      <w:r w:rsidR="00DA13DE" w:rsidRPr="006E709F">
        <w:t> </w:t>
      </w:r>
      <w:r w:rsidRPr="006E709F">
        <w:t>215 applies.</w:t>
      </w:r>
    </w:p>
    <w:p w:rsidR="00B2417E" w:rsidRPr="006E709F" w:rsidRDefault="00B2417E" w:rsidP="00B2417E">
      <w:pPr>
        <w:pStyle w:val="notetext"/>
      </w:pPr>
      <w:r w:rsidRPr="006E709F">
        <w:rPr>
          <w:iCs/>
        </w:rPr>
        <w:t>Note:</w:t>
      </w:r>
      <w:r w:rsidRPr="006E709F">
        <w:rPr>
          <w:iCs/>
        </w:rPr>
        <w:tab/>
      </w:r>
      <w:r w:rsidRPr="006E709F">
        <w:t>In calculating the amount, do not include contributions that may be made during the year.</w:t>
      </w:r>
    </w:p>
    <w:p w:rsidR="00B2417E" w:rsidRPr="006E709F" w:rsidRDefault="00B2417E" w:rsidP="00B2417E">
      <w:pPr>
        <w:pStyle w:val="subsection"/>
      </w:pPr>
      <w:r w:rsidRPr="006E709F">
        <w:tab/>
        <w:t>(4)</w:t>
      </w:r>
      <w:r w:rsidRPr="006E709F">
        <w:tab/>
        <w:t>If there is a range in the amount of investment fees that may be charged for a MySuper product or an investment option offered by a superannuation entity, the example must use the highest investment fees in the range.</w:t>
      </w:r>
    </w:p>
    <w:p w:rsidR="00B2417E" w:rsidRPr="006E709F" w:rsidRDefault="00B2417E" w:rsidP="00B2417E">
      <w:pPr>
        <w:pStyle w:val="SubsectionHead"/>
      </w:pPr>
      <w:r w:rsidRPr="006E709F">
        <w:t>Indirect costs for a MySuper product or investment option</w:t>
      </w:r>
    </w:p>
    <w:p w:rsidR="00B2417E" w:rsidRPr="006E709F" w:rsidRDefault="00B2417E" w:rsidP="00B2417E">
      <w:pPr>
        <w:pStyle w:val="subsection"/>
      </w:pPr>
      <w:r w:rsidRPr="006E709F">
        <w:tab/>
        <w:t>(5)</w:t>
      </w:r>
      <w:r w:rsidRPr="006E709F">
        <w:tab/>
        <w:t>The example of indirect costs for a MySuper product or an investment option offered by a superannuation entity must be worked out by applying the indirect cost ratio for the MySuper product or the investment option to an amount of $50,000 or an amount that is a multiple of $50,000 if clause</w:t>
      </w:r>
      <w:r w:rsidR="00DA13DE" w:rsidRPr="006E709F">
        <w:t> </w:t>
      </w:r>
      <w:r w:rsidRPr="006E709F">
        <w:t>215 applies.</w:t>
      </w:r>
    </w:p>
    <w:p w:rsidR="00B2417E" w:rsidRPr="006E709F" w:rsidRDefault="00B2417E" w:rsidP="00B2417E">
      <w:pPr>
        <w:pStyle w:val="ActHead5"/>
      </w:pPr>
      <w:bookmarkStart w:id="94" w:name="_Toc160609781"/>
      <w:r w:rsidRPr="000C4237">
        <w:rPr>
          <w:rStyle w:val="CharSectno"/>
        </w:rPr>
        <w:t>218A</w:t>
      </w:r>
      <w:r w:rsidRPr="006E709F">
        <w:t xml:space="preserve">  Management costs for a </w:t>
      </w:r>
      <w:r w:rsidR="00333B75" w:rsidRPr="006E709F">
        <w:t>collective investment product</w:t>
      </w:r>
      <w:bookmarkEnd w:id="94"/>
    </w:p>
    <w:p w:rsidR="00B2417E" w:rsidRPr="006E709F" w:rsidRDefault="00B2417E" w:rsidP="00B2417E">
      <w:pPr>
        <w:pStyle w:val="subsection"/>
      </w:pPr>
      <w:r w:rsidRPr="006E709F">
        <w:tab/>
        <w:t>(1)</w:t>
      </w:r>
      <w:r w:rsidRPr="006E709F">
        <w:tab/>
        <w:t xml:space="preserve">The example of management costs for an investment option offered by a managed investment scheme </w:t>
      </w:r>
      <w:r w:rsidR="00761295" w:rsidRPr="006E709F">
        <w:t xml:space="preserve">or a retail CCIV </w:t>
      </w:r>
      <w:r w:rsidRPr="006E709F">
        <w:t>is applied to an amount of $50</w:t>
      </w:r>
      <w:r w:rsidR="00DA13DE" w:rsidRPr="006E709F">
        <w:t> </w:t>
      </w:r>
      <w:r w:rsidRPr="006E709F">
        <w:t>000 or an amount that is a multiple of $50</w:t>
      </w:r>
      <w:r w:rsidR="00DA13DE" w:rsidRPr="006E709F">
        <w:t> </w:t>
      </w:r>
      <w:r w:rsidRPr="006E709F">
        <w:t>000 if clause</w:t>
      </w:r>
      <w:r w:rsidR="00DA13DE" w:rsidRPr="006E709F">
        <w:t> </w:t>
      </w:r>
      <w:r w:rsidRPr="006E709F">
        <w:t>215 applies.</w:t>
      </w:r>
    </w:p>
    <w:p w:rsidR="00B2417E" w:rsidRPr="006E709F" w:rsidRDefault="00B2417E" w:rsidP="00B2417E">
      <w:pPr>
        <w:pStyle w:val="notetext"/>
      </w:pPr>
      <w:r w:rsidRPr="006E709F">
        <w:t>Note:</w:t>
      </w:r>
      <w:r w:rsidRPr="006E709F">
        <w:tab/>
        <w:t>In calculating the amount, do not include contributions that may be made during the year.</w:t>
      </w:r>
    </w:p>
    <w:p w:rsidR="00B2417E" w:rsidRPr="006E709F" w:rsidRDefault="00B2417E" w:rsidP="00B2417E">
      <w:pPr>
        <w:pStyle w:val="subsection"/>
      </w:pPr>
      <w:r w:rsidRPr="006E709F">
        <w:tab/>
        <w:t>(2)</w:t>
      </w:r>
      <w:r w:rsidRPr="006E709F">
        <w:tab/>
        <w:t>If there is a range in the amount of management costs that may be charged for an investment option offered by a managed investment scheme</w:t>
      </w:r>
      <w:r w:rsidR="00761295" w:rsidRPr="006E709F">
        <w:t xml:space="preserve"> or a retail CCIV</w:t>
      </w:r>
      <w:r w:rsidRPr="006E709F">
        <w:t>, the example must use the highest management costs in the range.</w:t>
      </w:r>
    </w:p>
    <w:p w:rsidR="00B2417E" w:rsidRPr="006E709F" w:rsidRDefault="00B2417E" w:rsidP="00B2417E">
      <w:pPr>
        <w:pStyle w:val="subsection"/>
      </w:pPr>
      <w:r w:rsidRPr="006E709F">
        <w:tab/>
        <w:t>(3)</w:t>
      </w:r>
      <w:r w:rsidRPr="006E709F">
        <w:tab/>
        <w:t>Management costs that are not deducted directly from a product holder’s account must be calculated using the indirect cost ratio for the relevant investment option offered by the managed investment scheme</w:t>
      </w:r>
      <w:r w:rsidR="00761295" w:rsidRPr="006E709F">
        <w:t xml:space="preserve"> or the retail CCIV</w:t>
      </w:r>
      <w:r w:rsidRPr="006E709F">
        <w:t>.</w:t>
      </w:r>
    </w:p>
    <w:p w:rsidR="00B2417E" w:rsidRPr="006E709F" w:rsidRDefault="00B2417E" w:rsidP="00B2417E">
      <w:pPr>
        <w:pStyle w:val="subsection"/>
      </w:pPr>
      <w:r w:rsidRPr="006E709F">
        <w:tab/>
        <w:t>(4)</w:t>
      </w:r>
      <w:r w:rsidRPr="006E709F">
        <w:tab/>
        <w:t xml:space="preserve">Any percentage based management costs that are deducted directly from a product holder’s account should be added to the percentage amount calculated under </w:t>
      </w:r>
      <w:r w:rsidR="00DA13DE" w:rsidRPr="006E709F">
        <w:t>subclause (</w:t>
      </w:r>
      <w:r w:rsidRPr="006E709F">
        <w:t>3).</w:t>
      </w:r>
    </w:p>
    <w:p w:rsidR="00B2417E" w:rsidRPr="006E709F" w:rsidRDefault="00B2417E" w:rsidP="00B2417E">
      <w:pPr>
        <w:pStyle w:val="subsection"/>
      </w:pPr>
      <w:r w:rsidRPr="006E709F">
        <w:tab/>
        <w:t>(5)</w:t>
      </w:r>
      <w:r w:rsidRPr="006E709F">
        <w:tab/>
        <w:t>Any dollar based management costs that are deducted directly from a product holder’s account must be shown separately in the management costs cell.</w:t>
      </w:r>
    </w:p>
    <w:p w:rsidR="00B2417E" w:rsidRPr="006E709F" w:rsidRDefault="00B2417E" w:rsidP="00B2417E">
      <w:pPr>
        <w:pStyle w:val="notetext"/>
      </w:pPr>
      <w:r w:rsidRPr="006E709F">
        <w:t>Example 1:</w:t>
      </w:r>
      <w:r w:rsidRPr="006E709F">
        <w:tab/>
        <w:t>Management costs: 2 % deducted directly from your account + 1.6% deducted indirectly.</w:t>
      </w:r>
    </w:p>
    <w:p w:rsidR="00B2417E" w:rsidRPr="006E709F" w:rsidRDefault="00B2417E" w:rsidP="00B2417E">
      <w:pPr>
        <w:pStyle w:val="notetext"/>
      </w:pPr>
      <w:r w:rsidRPr="006E709F">
        <w:t>Example 2:</w:t>
      </w:r>
      <w:r w:rsidRPr="006E709F">
        <w:tab/>
        <w:t>Management costs: $52 per year ($1 per week) deducted directly from your account + 1.6% deducted indirectly.</w:t>
      </w:r>
    </w:p>
    <w:p w:rsidR="00B2417E" w:rsidRPr="006E709F" w:rsidRDefault="00B2417E" w:rsidP="00B2417E">
      <w:pPr>
        <w:pStyle w:val="notetext"/>
      </w:pPr>
      <w:r w:rsidRPr="006E709F">
        <w:t>Example 3:</w:t>
      </w:r>
      <w:r w:rsidRPr="006E709F">
        <w:tab/>
        <w:t>Management costs: $52 per year ($1 per week) + 1% deducted directly from your account + 1.6% deducted indirectly.</w:t>
      </w:r>
    </w:p>
    <w:p w:rsidR="00B2417E" w:rsidRPr="006E709F" w:rsidRDefault="00B2417E" w:rsidP="00B2417E">
      <w:pPr>
        <w:pStyle w:val="ActHead5"/>
      </w:pPr>
      <w:bookmarkStart w:id="95" w:name="_Toc160609782"/>
      <w:r w:rsidRPr="000C4237">
        <w:rPr>
          <w:rStyle w:val="CharSectno"/>
        </w:rPr>
        <w:t>219</w:t>
      </w:r>
      <w:r w:rsidRPr="006E709F">
        <w:t xml:space="preserve">  Withdrawal fees and exit fees</w:t>
      </w:r>
      <w:bookmarkEnd w:id="95"/>
    </w:p>
    <w:p w:rsidR="002A22A4" w:rsidRPr="006E709F" w:rsidRDefault="002A22A4" w:rsidP="00A801D0">
      <w:pPr>
        <w:pStyle w:val="subsection"/>
      </w:pPr>
      <w:r w:rsidRPr="006E709F">
        <w:tab/>
        <w:t>(1)</w:t>
      </w:r>
      <w:r w:rsidRPr="006E709F">
        <w:tab/>
        <w:t xml:space="preserve">The example of a withdrawal fee or </w:t>
      </w:r>
      <w:r w:rsidR="00B2417E" w:rsidRPr="006E709F">
        <w:t>an exit fee</w:t>
      </w:r>
      <w:r w:rsidRPr="006E709F">
        <w:t xml:space="preserve"> for a </w:t>
      </w:r>
      <w:r w:rsidR="00333B75" w:rsidRPr="006E709F">
        <w:t>collective investment product</w:t>
      </w:r>
      <w:r w:rsidRPr="006E709F">
        <w:t xml:space="preserve"> is applied against an amount of $50</w:t>
      </w:r>
      <w:r w:rsidR="00DA13DE" w:rsidRPr="006E709F">
        <w:t> </w:t>
      </w:r>
      <w:r w:rsidRPr="006E709F">
        <w:t>000 or an amount that is a multiple of $50</w:t>
      </w:r>
      <w:r w:rsidR="00DA13DE" w:rsidRPr="006E709F">
        <w:t> </w:t>
      </w:r>
      <w:r w:rsidRPr="006E709F">
        <w:t>000 if clause</w:t>
      </w:r>
      <w:r w:rsidR="00DA13DE" w:rsidRPr="006E709F">
        <w:t> </w:t>
      </w:r>
      <w:r w:rsidRPr="006E709F">
        <w:t>215 applies.</w:t>
      </w:r>
    </w:p>
    <w:p w:rsidR="002A22A4" w:rsidRPr="006E709F" w:rsidRDefault="002A22A4" w:rsidP="00A801D0">
      <w:pPr>
        <w:pStyle w:val="subsection"/>
      </w:pPr>
      <w:r w:rsidRPr="006E709F">
        <w:tab/>
        <w:t>(2)</w:t>
      </w:r>
      <w:r w:rsidRPr="006E709F">
        <w:tab/>
        <w:t>In calculating the amount, do not include contributions that may be made during the year.</w:t>
      </w:r>
    </w:p>
    <w:p w:rsidR="00B2417E" w:rsidRPr="006E709F" w:rsidRDefault="00B2417E" w:rsidP="00B2417E">
      <w:pPr>
        <w:pStyle w:val="ActHead5"/>
      </w:pPr>
      <w:bookmarkStart w:id="96" w:name="_Toc160609783"/>
      <w:r w:rsidRPr="000C4237">
        <w:rPr>
          <w:rStyle w:val="CharSectno"/>
        </w:rPr>
        <w:t>220</w:t>
      </w:r>
      <w:r w:rsidRPr="006E709F">
        <w:t xml:space="preserve">  If there is no generic MySuper product or balanced investment option</w:t>
      </w:r>
      <w:bookmarkEnd w:id="96"/>
    </w:p>
    <w:p w:rsidR="00B2417E" w:rsidRPr="006E709F" w:rsidRDefault="00B2417E" w:rsidP="00B2417E">
      <w:pPr>
        <w:pStyle w:val="SubsectionHead"/>
      </w:pPr>
      <w:r w:rsidRPr="006E709F">
        <w:t>Superannuation entities</w:t>
      </w:r>
    </w:p>
    <w:p w:rsidR="00B2417E" w:rsidRPr="006E709F" w:rsidRDefault="00B2417E" w:rsidP="00B2417E">
      <w:pPr>
        <w:pStyle w:val="subsection"/>
      </w:pPr>
      <w:r w:rsidRPr="006E709F">
        <w:tab/>
        <w:t>(1)</w:t>
      </w:r>
      <w:r w:rsidRPr="006E709F">
        <w:tab/>
        <w:t>If a superannuation entity does not offer a generic MySuper product, the example should be based on:</w:t>
      </w:r>
    </w:p>
    <w:p w:rsidR="00B2417E" w:rsidRPr="006E709F" w:rsidRDefault="00B2417E" w:rsidP="00B2417E">
      <w:pPr>
        <w:pStyle w:val="paragraph"/>
      </w:pPr>
      <w:r w:rsidRPr="006E709F">
        <w:tab/>
        <w:t>(a)</w:t>
      </w:r>
      <w:r w:rsidRPr="006E709F">
        <w:tab/>
        <w:t>where the superannuation entity offers a balanced investment option—the balanced investment option under which most assets of the superannuation entity are invested; and</w:t>
      </w:r>
    </w:p>
    <w:p w:rsidR="00B2417E" w:rsidRPr="006E709F" w:rsidRDefault="00B2417E" w:rsidP="00B2417E">
      <w:pPr>
        <w:pStyle w:val="paragraph"/>
      </w:pPr>
      <w:r w:rsidRPr="006E709F">
        <w:tab/>
        <w:t>(b)</w:t>
      </w:r>
      <w:r w:rsidRPr="006E709F">
        <w:tab/>
        <w:t>where the superannuation entity does not offer a balanced investment option—the investment option under which most assets of the superannuation entity are invested.</w:t>
      </w:r>
    </w:p>
    <w:p w:rsidR="00B2417E" w:rsidRPr="006E709F" w:rsidRDefault="00B2417E" w:rsidP="00B2417E">
      <w:pPr>
        <w:pStyle w:val="SubsectionHead"/>
      </w:pPr>
      <w:r w:rsidRPr="006E709F">
        <w:t>Managed investment schemes</w:t>
      </w:r>
    </w:p>
    <w:p w:rsidR="00B2417E" w:rsidRPr="006E709F" w:rsidRDefault="00B2417E" w:rsidP="00B2417E">
      <w:pPr>
        <w:pStyle w:val="subsection"/>
      </w:pPr>
      <w:r w:rsidRPr="006E709F">
        <w:tab/>
        <w:t>(2)</w:t>
      </w:r>
      <w:r w:rsidRPr="006E709F">
        <w:tab/>
        <w:t>If a managed investment scheme does not offer a balanced investment option, the example should be based on:</w:t>
      </w:r>
    </w:p>
    <w:p w:rsidR="00B2417E" w:rsidRPr="006E709F" w:rsidRDefault="00B2417E" w:rsidP="00B2417E">
      <w:pPr>
        <w:pStyle w:val="paragraph"/>
      </w:pPr>
      <w:r w:rsidRPr="006E709F">
        <w:tab/>
        <w:t>(a)</w:t>
      </w:r>
      <w:r w:rsidRPr="006E709F">
        <w:tab/>
        <w:t>where the scheme offers a default investment option—that option; and</w:t>
      </w:r>
    </w:p>
    <w:p w:rsidR="00B2417E" w:rsidRPr="006E709F" w:rsidRDefault="00B2417E" w:rsidP="00B2417E">
      <w:pPr>
        <w:pStyle w:val="paragraph"/>
      </w:pPr>
      <w:r w:rsidRPr="006E709F">
        <w:tab/>
        <w:t>(b)</w:t>
      </w:r>
      <w:r w:rsidRPr="006E709F">
        <w:tab/>
        <w:t>where the scheme does not offer a default investment option—the investment option under which most assets of the scheme are invested.</w:t>
      </w:r>
    </w:p>
    <w:p w:rsidR="00761295" w:rsidRPr="006E709F" w:rsidRDefault="00761295" w:rsidP="00761295">
      <w:pPr>
        <w:pStyle w:val="SubsectionHead"/>
      </w:pPr>
      <w:r w:rsidRPr="006E709F">
        <w:t>CCIVs</w:t>
      </w:r>
    </w:p>
    <w:p w:rsidR="00761295" w:rsidRPr="006E709F" w:rsidRDefault="00761295" w:rsidP="00761295">
      <w:pPr>
        <w:pStyle w:val="subsection"/>
      </w:pPr>
      <w:r w:rsidRPr="006E709F">
        <w:tab/>
        <w:t>(3)</w:t>
      </w:r>
      <w:r w:rsidRPr="006E709F">
        <w:tab/>
        <w:t>If a retail CCIV does not offer a balanced investment option, the example should be based on:</w:t>
      </w:r>
    </w:p>
    <w:p w:rsidR="00761295" w:rsidRPr="006E709F" w:rsidRDefault="00761295" w:rsidP="00761295">
      <w:pPr>
        <w:pStyle w:val="paragraph"/>
      </w:pPr>
      <w:r w:rsidRPr="006E709F">
        <w:tab/>
        <w:t>(a)</w:t>
      </w:r>
      <w:r w:rsidRPr="006E709F">
        <w:tab/>
        <w:t>where the CCIV offers a default investment option—that option; and</w:t>
      </w:r>
    </w:p>
    <w:p w:rsidR="00761295" w:rsidRPr="006E709F" w:rsidRDefault="00761295" w:rsidP="00761295">
      <w:pPr>
        <w:pStyle w:val="paragraph"/>
      </w:pPr>
      <w:r w:rsidRPr="006E709F">
        <w:tab/>
        <w:t>(b)</w:t>
      </w:r>
      <w:r w:rsidRPr="006E709F">
        <w:tab/>
        <w:t>where the CCIV does not offer a default investment option—the investment option under which the CCIV has the most funds invested.</w:t>
      </w:r>
    </w:p>
    <w:p w:rsidR="002A22A4" w:rsidRPr="006E709F" w:rsidRDefault="00A801D0" w:rsidP="00CA4A64">
      <w:pPr>
        <w:pStyle w:val="ActHead3"/>
        <w:pageBreakBefore/>
      </w:pPr>
      <w:bookmarkStart w:id="97" w:name="_Toc160609784"/>
      <w:r w:rsidRPr="000C4237">
        <w:rPr>
          <w:rStyle w:val="CharDivNo"/>
        </w:rPr>
        <w:t>Division</w:t>
      </w:r>
      <w:r w:rsidR="00DA13DE" w:rsidRPr="000C4237">
        <w:rPr>
          <w:rStyle w:val="CharDivNo"/>
        </w:rPr>
        <w:t> </w:t>
      </w:r>
      <w:r w:rsidR="002A22A4" w:rsidRPr="000C4237">
        <w:rPr>
          <w:rStyle w:val="CharDivNo"/>
        </w:rPr>
        <w:t>7</w:t>
      </w:r>
      <w:r w:rsidR="00495B24" w:rsidRPr="006E709F">
        <w:t>—</w:t>
      </w:r>
      <w:r w:rsidR="002A22A4" w:rsidRPr="000C4237">
        <w:rPr>
          <w:rStyle w:val="CharDivText"/>
        </w:rPr>
        <w:t>Consumer Advisory Warning</w:t>
      </w:r>
      <w:bookmarkEnd w:id="97"/>
    </w:p>
    <w:p w:rsidR="002A22A4" w:rsidRPr="006E709F" w:rsidRDefault="002A22A4" w:rsidP="00D9431E">
      <w:pPr>
        <w:pStyle w:val="ActHead5"/>
      </w:pPr>
      <w:bookmarkStart w:id="98" w:name="_Toc160609785"/>
      <w:r w:rsidRPr="000C4237">
        <w:rPr>
          <w:rStyle w:val="CharSectno"/>
        </w:rPr>
        <w:t>221</w:t>
      </w:r>
      <w:r w:rsidR="00A801D0" w:rsidRPr="006E709F">
        <w:t xml:space="preserve">  </w:t>
      </w:r>
      <w:r w:rsidRPr="006E709F">
        <w:t>Consumer advisory warning</w:t>
      </w:r>
      <w:bookmarkEnd w:id="98"/>
    </w:p>
    <w:p w:rsidR="00A801D0" w:rsidRPr="006E709F" w:rsidRDefault="00A801D0" w:rsidP="00A801D0">
      <w:pPr>
        <w:pStyle w:val="Tabletext"/>
      </w:pPr>
    </w:p>
    <w:tbl>
      <w:tblPr>
        <w:tblW w:w="5000" w:type="pct"/>
        <w:jc w:val="center"/>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8633"/>
      </w:tblGrid>
      <w:tr w:rsidR="002A22A4" w:rsidRPr="006E709F" w:rsidTr="00E118FA">
        <w:trPr>
          <w:tblCellSpacing w:w="0" w:type="dxa"/>
          <w:jc w:val="center"/>
        </w:trPr>
        <w:tc>
          <w:tcPr>
            <w:tcW w:w="5000" w:type="pct"/>
            <w:shd w:val="clear" w:color="auto" w:fill="auto"/>
            <w:vAlign w:val="center"/>
          </w:tcPr>
          <w:p w:rsidR="002A22A4" w:rsidRPr="006E709F" w:rsidRDefault="002A22A4" w:rsidP="006014BA">
            <w:pPr>
              <w:pStyle w:val="Tabletext"/>
              <w:jc w:val="center"/>
              <w:rPr>
                <w:b/>
              </w:rPr>
            </w:pPr>
            <w:r w:rsidRPr="006E709F">
              <w:rPr>
                <w:b/>
              </w:rPr>
              <w:t>DID YOU KNOW?</w:t>
            </w:r>
          </w:p>
          <w:p w:rsidR="002A22A4" w:rsidRPr="006E709F" w:rsidRDefault="002A22A4" w:rsidP="006014BA">
            <w:pPr>
              <w:pStyle w:val="Tabletext"/>
              <w:jc w:val="center"/>
              <w:rPr>
                <w:b/>
              </w:rPr>
            </w:pPr>
            <w:r w:rsidRPr="006E709F">
              <w:rPr>
                <w:b/>
              </w:rPr>
              <w:t>Small differences in both investment performance and fees and costs can have a substantial impact on your long term returns.</w:t>
            </w:r>
          </w:p>
          <w:p w:rsidR="002A22A4" w:rsidRPr="006E709F" w:rsidRDefault="002A22A4" w:rsidP="006014BA">
            <w:pPr>
              <w:pStyle w:val="Tabletext"/>
              <w:jc w:val="center"/>
              <w:rPr>
                <w:b/>
              </w:rPr>
            </w:pPr>
            <w:r w:rsidRPr="006E709F">
              <w:rPr>
                <w:b/>
              </w:rPr>
              <w:t xml:space="preserve">For example, total annual fees and costs of 2% of your </w:t>
            </w:r>
            <w:r w:rsidR="00B2417E" w:rsidRPr="006E709F">
              <w:rPr>
                <w:b/>
              </w:rPr>
              <w:t>account balance</w:t>
            </w:r>
            <w:r w:rsidRPr="006E709F">
              <w:rPr>
                <w:b/>
              </w:rPr>
              <w:t xml:space="preserve"> rather than 1% could reduce your final return by up to 20% over a 30</w:t>
            </w:r>
            <w:r w:rsidR="00E376FA" w:rsidRPr="006E709F">
              <w:rPr>
                <w:b/>
              </w:rPr>
              <w:t xml:space="preserve"> </w:t>
            </w:r>
            <w:r w:rsidRPr="006E709F">
              <w:rPr>
                <w:b/>
              </w:rPr>
              <w:t>year period</w:t>
            </w:r>
            <w:r w:rsidR="006014BA" w:rsidRPr="006E709F">
              <w:rPr>
                <w:b/>
              </w:rPr>
              <w:br/>
            </w:r>
            <w:r w:rsidRPr="006E709F">
              <w:rPr>
                <w:b/>
              </w:rPr>
              <w:t>(for example, reduce it from $100</w:t>
            </w:r>
            <w:r w:rsidR="00DA13DE" w:rsidRPr="006E709F">
              <w:rPr>
                <w:b/>
              </w:rPr>
              <w:t> </w:t>
            </w:r>
            <w:r w:rsidRPr="006E709F">
              <w:rPr>
                <w:b/>
              </w:rPr>
              <w:t>000 to $80</w:t>
            </w:r>
            <w:r w:rsidR="00DA13DE" w:rsidRPr="006E709F">
              <w:rPr>
                <w:b/>
              </w:rPr>
              <w:t> </w:t>
            </w:r>
            <w:r w:rsidRPr="006E709F">
              <w:rPr>
                <w:b/>
              </w:rPr>
              <w:t>000).</w:t>
            </w:r>
          </w:p>
          <w:p w:rsidR="002A22A4" w:rsidRPr="006E709F" w:rsidRDefault="002A22A4" w:rsidP="006014BA">
            <w:pPr>
              <w:pStyle w:val="Tabletext"/>
              <w:jc w:val="center"/>
              <w:rPr>
                <w:b/>
              </w:rPr>
            </w:pPr>
            <w:r w:rsidRPr="006E709F">
              <w:rPr>
                <w:b/>
              </w:rPr>
              <w:t>You should consider whether features such as superior investment performance or the provision of better member services justify higher fees and costs.</w:t>
            </w:r>
          </w:p>
          <w:p w:rsidR="002A22A4" w:rsidRPr="006E709F" w:rsidRDefault="00B2417E" w:rsidP="006014BA">
            <w:pPr>
              <w:pStyle w:val="Tabletext"/>
              <w:jc w:val="center"/>
              <w:rPr>
                <w:b/>
              </w:rPr>
            </w:pPr>
            <w:r w:rsidRPr="006E709F">
              <w:rPr>
                <w:b/>
              </w:rPr>
              <w:t>Your employer may be able to negotiate to pay lower administration fees.</w:t>
            </w:r>
            <w:r w:rsidR="002A22A4" w:rsidRPr="006E709F">
              <w:rPr>
                <w:b/>
              </w:rPr>
              <w:t xml:space="preserve"> Ask the fund or your financial adviser.</w:t>
            </w:r>
          </w:p>
          <w:p w:rsidR="002A22A4" w:rsidRPr="006E709F" w:rsidRDefault="002A22A4" w:rsidP="006014BA">
            <w:pPr>
              <w:pStyle w:val="Tabletext"/>
              <w:jc w:val="center"/>
              <w:rPr>
                <w:b/>
              </w:rPr>
            </w:pPr>
            <w:r w:rsidRPr="006E709F">
              <w:rPr>
                <w:b/>
              </w:rPr>
              <w:t>TO FIND OUT MORE</w:t>
            </w:r>
          </w:p>
          <w:p w:rsidR="002A22A4" w:rsidRPr="006E709F" w:rsidRDefault="002A22A4" w:rsidP="006014BA">
            <w:pPr>
              <w:pStyle w:val="Tabletext"/>
              <w:jc w:val="center"/>
              <w:rPr>
                <w:b/>
              </w:rPr>
            </w:pPr>
            <w:r w:rsidRPr="006E709F">
              <w:t xml:space="preserve">If you would like to find out more, or see the impact of the fees based on your own circumstances, the </w:t>
            </w:r>
            <w:r w:rsidRPr="006E709F">
              <w:rPr>
                <w:b/>
              </w:rPr>
              <w:t>Australian Securities and Investments Commission (ASIC)</w:t>
            </w:r>
            <w:r w:rsidRPr="006E709F">
              <w:t xml:space="preserve"> website </w:t>
            </w:r>
            <w:r w:rsidR="00C01C82" w:rsidRPr="006E709F">
              <w:t>(www.moneysmart.gov.au)</w:t>
            </w:r>
            <w:r w:rsidRPr="006E709F">
              <w:t xml:space="preserve"> has a </w:t>
            </w:r>
            <w:r w:rsidRPr="006E709F">
              <w:rPr>
                <w:i/>
              </w:rPr>
              <w:t>[superannuation or managed investment fee]</w:t>
            </w:r>
            <w:r w:rsidRPr="006E709F">
              <w:t xml:space="preserve"> calculator to help you check out different fee</w:t>
            </w:r>
            <w:r w:rsidR="00E376FA" w:rsidRPr="006E709F">
              <w:t xml:space="preserve"> </w:t>
            </w:r>
            <w:r w:rsidRPr="006E709F">
              <w:t>options.</w:t>
            </w:r>
          </w:p>
        </w:tc>
      </w:tr>
    </w:tbl>
    <w:p w:rsidR="002A22A4" w:rsidRPr="006E709F" w:rsidRDefault="002A22A4" w:rsidP="00BD0A25">
      <w:pPr>
        <w:pStyle w:val="ActHead5"/>
      </w:pPr>
      <w:bookmarkStart w:id="99" w:name="_Toc160609786"/>
      <w:r w:rsidRPr="000C4237">
        <w:rPr>
          <w:rStyle w:val="CharSectno"/>
        </w:rPr>
        <w:t>222</w:t>
      </w:r>
      <w:r w:rsidR="00A801D0" w:rsidRPr="006E709F">
        <w:t xml:space="preserve">  </w:t>
      </w:r>
      <w:r w:rsidRPr="006E709F">
        <w:t>Where to place the Consumer Advisory Warning</w:t>
      </w:r>
      <w:bookmarkEnd w:id="99"/>
    </w:p>
    <w:p w:rsidR="002A22A4" w:rsidRPr="006E709F" w:rsidRDefault="002A22A4" w:rsidP="00A801D0">
      <w:pPr>
        <w:pStyle w:val="subsection"/>
      </w:pPr>
      <w:r w:rsidRPr="006E709F">
        <w:tab/>
      </w:r>
      <w:r w:rsidRPr="006E709F">
        <w:tab/>
        <w:t>The Consumer Advisory Warning must be located at the beginning of the fees section of the Product Disclosure Statement.</w:t>
      </w:r>
    </w:p>
    <w:p w:rsidR="002A22A4" w:rsidRPr="006E709F" w:rsidRDefault="00A801D0" w:rsidP="00A801D0">
      <w:pPr>
        <w:pStyle w:val="ActHead2"/>
        <w:pageBreakBefore/>
      </w:pPr>
      <w:bookmarkStart w:id="100" w:name="_Toc160609787"/>
      <w:r w:rsidRPr="000C4237">
        <w:rPr>
          <w:rStyle w:val="CharPartNo"/>
        </w:rPr>
        <w:t>Part</w:t>
      </w:r>
      <w:r w:rsidR="00DA13DE" w:rsidRPr="000C4237">
        <w:rPr>
          <w:rStyle w:val="CharPartNo"/>
        </w:rPr>
        <w:t> </w:t>
      </w:r>
      <w:r w:rsidR="002A22A4" w:rsidRPr="000C4237">
        <w:rPr>
          <w:rStyle w:val="CharPartNo"/>
        </w:rPr>
        <w:t>3</w:t>
      </w:r>
      <w:r w:rsidRPr="006E709F">
        <w:t>—</w:t>
      </w:r>
      <w:r w:rsidR="002A22A4" w:rsidRPr="000C4237">
        <w:rPr>
          <w:rStyle w:val="CharPartText"/>
        </w:rPr>
        <w:t>Fees and costs in periodic statements</w:t>
      </w:r>
      <w:bookmarkEnd w:id="100"/>
    </w:p>
    <w:p w:rsidR="002A22A4" w:rsidRPr="006E709F" w:rsidRDefault="00A801D0" w:rsidP="00A801D0">
      <w:pPr>
        <w:pStyle w:val="ActHead3"/>
      </w:pPr>
      <w:bookmarkStart w:id="101" w:name="_Toc160609788"/>
      <w:r w:rsidRPr="000C4237">
        <w:rPr>
          <w:rStyle w:val="CharDivNo"/>
        </w:rPr>
        <w:t>Division</w:t>
      </w:r>
      <w:r w:rsidR="00DA13DE" w:rsidRPr="000C4237">
        <w:rPr>
          <w:rStyle w:val="CharDivNo"/>
        </w:rPr>
        <w:t> </w:t>
      </w:r>
      <w:r w:rsidR="002A22A4" w:rsidRPr="000C4237">
        <w:rPr>
          <w:rStyle w:val="CharDivNo"/>
        </w:rPr>
        <w:t>1</w:t>
      </w:r>
      <w:r w:rsidR="00EA46A9" w:rsidRPr="006E709F">
        <w:t>—</w:t>
      </w:r>
      <w:r w:rsidR="002A22A4" w:rsidRPr="000C4237">
        <w:rPr>
          <w:rStyle w:val="CharDivText"/>
        </w:rPr>
        <w:t>Other Management Costs</w:t>
      </w:r>
      <w:bookmarkEnd w:id="101"/>
    </w:p>
    <w:p w:rsidR="00C01C82" w:rsidRPr="006E709F" w:rsidRDefault="00C01C82" w:rsidP="00C01C82">
      <w:pPr>
        <w:pStyle w:val="ActHead5"/>
      </w:pPr>
      <w:bookmarkStart w:id="102" w:name="_Toc160609789"/>
      <w:r w:rsidRPr="000C4237">
        <w:rPr>
          <w:rStyle w:val="CharSectno"/>
        </w:rPr>
        <w:t>301</w:t>
      </w:r>
      <w:r w:rsidRPr="006E709F">
        <w:t xml:space="preserve">  Indirect costs related to investment and administration of accounts</w:t>
      </w:r>
      <w:bookmarkEnd w:id="102"/>
    </w:p>
    <w:p w:rsidR="00C01C82" w:rsidRPr="006E709F" w:rsidRDefault="00C01C82" w:rsidP="00C01C82">
      <w:pPr>
        <w:pStyle w:val="subsection"/>
      </w:pPr>
      <w:r w:rsidRPr="006E709F">
        <w:tab/>
        <w:t>(1)</w:t>
      </w:r>
      <w:r w:rsidRPr="006E709F">
        <w:tab/>
        <w:t>The following text and the appropriate amount, in dollars, must be inserted after the part of the periodic statement that itemises transactions during the period.</w:t>
      </w:r>
    </w:p>
    <w:p w:rsidR="00C01C82" w:rsidRPr="006E709F" w:rsidRDefault="00C01C82" w:rsidP="00C01C82"/>
    <w:p w:rsidR="00C01C82" w:rsidRPr="006E709F" w:rsidRDefault="00C01C82" w:rsidP="00C01C82">
      <w:pPr>
        <w:ind w:left="1134"/>
        <w:rPr>
          <w:b/>
          <w:sz w:val="26"/>
          <w:szCs w:val="26"/>
        </w:rPr>
      </w:pPr>
      <w:r w:rsidRPr="006E709F">
        <w:rPr>
          <w:b/>
          <w:sz w:val="26"/>
          <w:szCs w:val="26"/>
        </w:rPr>
        <w:t>Indirect costs of your investment</w:t>
      </w:r>
    </w:p>
    <w:p w:rsidR="00C01C82" w:rsidRPr="006E709F" w:rsidRDefault="00C01C82" w:rsidP="00C01C82">
      <w:pPr>
        <w:pStyle w:val="subsection"/>
      </w:pPr>
      <w:r w:rsidRPr="006E709F">
        <w:tab/>
      </w:r>
      <w:r w:rsidRPr="006E709F">
        <w:tab/>
        <w:t>This approximate amount has been deducted from your investment and includes amounts that have reduced the return on your investment but are not charged directly to you as a fee.</w:t>
      </w:r>
    </w:p>
    <w:p w:rsidR="00C01C82" w:rsidRPr="006E709F" w:rsidRDefault="00C01C82" w:rsidP="00C01C82">
      <w:pPr>
        <w:pStyle w:val="subsection"/>
      </w:pPr>
      <w:r w:rsidRPr="006E709F">
        <w:tab/>
        <w:t>(2)</w:t>
      </w:r>
      <w:r w:rsidRPr="006E709F">
        <w:tab/>
        <w:t>The amount inserted must include:</w:t>
      </w:r>
    </w:p>
    <w:p w:rsidR="00C01C82" w:rsidRPr="006E709F" w:rsidRDefault="00C01C82" w:rsidP="00C01C82">
      <w:pPr>
        <w:pStyle w:val="paragraph"/>
      </w:pPr>
      <w:r w:rsidRPr="006E709F">
        <w:tab/>
        <w:t>(a)</w:t>
      </w:r>
      <w:r w:rsidRPr="006E709F">
        <w:tab/>
        <w:t>for a MySuper product or an investment option offered by a superannuation entity—the indirect costs for the MySuper product or investment option; and</w:t>
      </w:r>
    </w:p>
    <w:p w:rsidR="00C01C82" w:rsidRPr="006E709F" w:rsidRDefault="00C01C82" w:rsidP="00C01C82">
      <w:pPr>
        <w:pStyle w:val="paragraph"/>
      </w:pPr>
      <w:r w:rsidRPr="006E709F">
        <w:tab/>
        <w:t>(b)</w:t>
      </w:r>
      <w:r w:rsidRPr="006E709F">
        <w:tab/>
        <w:t>for an investment option offered by a managed investment scheme</w:t>
      </w:r>
      <w:r w:rsidR="00761295" w:rsidRPr="006E709F">
        <w:t xml:space="preserve"> or a retail CCIV</w:t>
      </w:r>
      <w:r w:rsidRPr="006E709F">
        <w:t>—all management costs not deducted directly from a product holder’s account during the reporting period.</w:t>
      </w:r>
    </w:p>
    <w:p w:rsidR="00C01C82" w:rsidRPr="006E709F" w:rsidRDefault="00C01C82" w:rsidP="00C01C82">
      <w:pPr>
        <w:pStyle w:val="subsection"/>
      </w:pPr>
      <w:r w:rsidRPr="006E709F">
        <w:tab/>
        <w:t>(3)</w:t>
      </w:r>
      <w:r w:rsidRPr="006E709F">
        <w:tab/>
        <w:t>The amount must be shown as a single total amount in dollars.</w:t>
      </w:r>
    </w:p>
    <w:p w:rsidR="00C01C82" w:rsidRPr="006E709F" w:rsidRDefault="00C01C82" w:rsidP="00C01C82">
      <w:pPr>
        <w:pStyle w:val="subsection"/>
      </w:pPr>
      <w:r w:rsidRPr="006E709F">
        <w:tab/>
        <w:t>(4)</w:t>
      </w:r>
      <w:r w:rsidRPr="006E709F">
        <w:tab/>
        <w:t xml:space="preserve">The amount for a </w:t>
      </w:r>
      <w:r w:rsidR="00333B75" w:rsidRPr="006E709F">
        <w:t>collective investment product</w:t>
      </w:r>
      <w:r w:rsidRPr="006E709F">
        <w:t xml:space="preserve"> must be calculated by multiplying the indirect cost ratio for the relevant investment option by the product holder’s average account balance for the option over the reporting period.</w:t>
      </w:r>
    </w:p>
    <w:p w:rsidR="002A22A4" w:rsidRPr="006E709F" w:rsidRDefault="00A801D0" w:rsidP="00A801D0">
      <w:pPr>
        <w:pStyle w:val="ActHead3"/>
        <w:pageBreakBefore/>
      </w:pPr>
      <w:bookmarkStart w:id="103" w:name="_Toc160609790"/>
      <w:r w:rsidRPr="000C4237">
        <w:rPr>
          <w:rStyle w:val="CharDivNo"/>
        </w:rPr>
        <w:t>Division</w:t>
      </w:r>
      <w:r w:rsidR="00DA13DE" w:rsidRPr="000C4237">
        <w:rPr>
          <w:rStyle w:val="CharDivNo"/>
        </w:rPr>
        <w:t> </w:t>
      </w:r>
      <w:r w:rsidR="002A22A4" w:rsidRPr="000C4237">
        <w:rPr>
          <w:rStyle w:val="CharDivNo"/>
        </w:rPr>
        <w:t>2</w:t>
      </w:r>
      <w:r w:rsidR="00EA46A9" w:rsidRPr="006E709F">
        <w:t>—</w:t>
      </w:r>
      <w:r w:rsidR="002A22A4" w:rsidRPr="000C4237">
        <w:rPr>
          <w:rStyle w:val="CharDivText"/>
        </w:rPr>
        <w:t>Total fees</w:t>
      </w:r>
      <w:bookmarkEnd w:id="103"/>
    </w:p>
    <w:p w:rsidR="002A22A4" w:rsidRPr="006E709F" w:rsidRDefault="002A22A4" w:rsidP="00D9431E">
      <w:pPr>
        <w:pStyle w:val="ActHead5"/>
      </w:pPr>
      <w:bookmarkStart w:id="104" w:name="_Toc160609791"/>
      <w:r w:rsidRPr="000C4237">
        <w:rPr>
          <w:rStyle w:val="CharSectno"/>
        </w:rPr>
        <w:t>302</w:t>
      </w:r>
      <w:r w:rsidR="00A801D0" w:rsidRPr="006E709F">
        <w:t xml:space="preserve">  </w:t>
      </w:r>
      <w:r w:rsidRPr="006E709F">
        <w:t>Total of fees in the periodic statement</w:t>
      </w:r>
      <w:bookmarkEnd w:id="104"/>
    </w:p>
    <w:p w:rsidR="002A22A4" w:rsidRPr="006E709F" w:rsidRDefault="002A22A4" w:rsidP="00A801D0">
      <w:pPr>
        <w:pStyle w:val="subsection"/>
      </w:pPr>
      <w:r w:rsidRPr="006E709F">
        <w:tab/>
        <w:t>(1)</w:t>
      </w:r>
      <w:r w:rsidRPr="006E709F">
        <w:tab/>
        <w:t>The following text and the appropriate amount, in dollars, must be displayed:</w:t>
      </w:r>
    </w:p>
    <w:p w:rsidR="002A22A4" w:rsidRPr="006E709F" w:rsidRDefault="002A22A4" w:rsidP="00A801D0">
      <w:pPr>
        <w:pStyle w:val="paragraph"/>
      </w:pPr>
      <w:r w:rsidRPr="006E709F">
        <w:tab/>
        <w:t>(a)</w:t>
      </w:r>
      <w:r w:rsidRPr="006E709F">
        <w:tab/>
        <w:t>at the end of the part of the periodic statement that itemises transactions during the period; or</w:t>
      </w:r>
    </w:p>
    <w:p w:rsidR="002A22A4" w:rsidRPr="006E709F" w:rsidRDefault="002A22A4" w:rsidP="00A801D0">
      <w:pPr>
        <w:pStyle w:val="paragraph"/>
      </w:pPr>
      <w:r w:rsidRPr="006E709F">
        <w:tab/>
        <w:t>(b)</w:t>
      </w:r>
      <w:r w:rsidRPr="006E709F">
        <w:tab/>
        <w:t>in a summary part of the periodic statement.</w:t>
      </w:r>
    </w:p>
    <w:p w:rsidR="002A22A4" w:rsidRPr="006E709F" w:rsidRDefault="002A22A4" w:rsidP="007E5000">
      <w:pPr>
        <w:pStyle w:val="notemargin"/>
        <w:ind w:left="1843"/>
      </w:pPr>
      <w:r w:rsidRPr="006E709F">
        <w:rPr>
          <w:b/>
        </w:rPr>
        <w:t>TOTAL FEES YOU PAID</w:t>
      </w:r>
    </w:p>
    <w:p w:rsidR="002A22A4" w:rsidRPr="006E709F" w:rsidRDefault="002A22A4" w:rsidP="00BD0A25">
      <w:pPr>
        <w:pStyle w:val="notetext"/>
        <w:ind w:left="1134" w:firstLine="0"/>
      </w:pPr>
      <w:r w:rsidRPr="006E709F">
        <w:t>This approximate amount includes all the fees and costs which affected your investment during the period.</w:t>
      </w:r>
    </w:p>
    <w:p w:rsidR="002A22A4" w:rsidRPr="006E709F" w:rsidRDefault="002A22A4" w:rsidP="00A801D0">
      <w:pPr>
        <w:pStyle w:val="subsection"/>
      </w:pPr>
      <w:r w:rsidRPr="006E709F">
        <w:tab/>
        <w:t>(2)</w:t>
      </w:r>
      <w:r w:rsidRPr="006E709F">
        <w:tab/>
        <w:t>The total fees you paid are the total of all fees and costs disclosed in the periodic statement.</w:t>
      </w:r>
    </w:p>
    <w:p w:rsidR="002A22A4" w:rsidRPr="006E709F" w:rsidRDefault="00A801D0" w:rsidP="00A801D0">
      <w:pPr>
        <w:pStyle w:val="ActHead3"/>
        <w:pageBreakBefore/>
      </w:pPr>
      <w:bookmarkStart w:id="105" w:name="_Toc160609792"/>
      <w:r w:rsidRPr="000C4237">
        <w:rPr>
          <w:rStyle w:val="CharDivNo"/>
        </w:rPr>
        <w:t>Division</w:t>
      </w:r>
      <w:r w:rsidR="00DA13DE" w:rsidRPr="000C4237">
        <w:rPr>
          <w:rStyle w:val="CharDivNo"/>
        </w:rPr>
        <w:t> </w:t>
      </w:r>
      <w:r w:rsidR="002A22A4" w:rsidRPr="000C4237">
        <w:rPr>
          <w:rStyle w:val="CharDivNo"/>
        </w:rPr>
        <w:t>3</w:t>
      </w:r>
      <w:r w:rsidR="00EA46A9" w:rsidRPr="006E709F">
        <w:t>—</w:t>
      </w:r>
      <w:r w:rsidR="002A22A4" w:rsidRPr="000C4237">
        <w:rPr>
          <w:rStyle w:val="CharDivText"/>
        </w:rPr>
        <w:t>Additional Explanation of Fees and Costs</w:t>
      </w:r>
      <w:bookmarkEnd w:id="105"/>
    </w:p>
    <w:p w:rsidR="00C01C82" w:rsidRPr="006E709F" w:rsidRDefault="00C01C82" w:rsidP="00C01C82">
      <w:pPr>
        <w:pStyle w:val="ActHead5"/>
      </w:pPr>
      <w:bookmarkStart w:id="106" w:name="_Toc160609793"/>
      <w:r w:rsidRPr="000C4237">
        <w:rPr>
          <w:rStyle w:val="CharSectno"/>
        </w:rPr>
        <w:t>303</w:t>
      </w:r>
      <w:r w:rsidRPr="006E709F">
        <w:t xml:space="preserve">  Matters to be included as additional explanation of fees and costs</w:t>
      </w:r>
      <w:bookmarkEnd w:id="106"/>
    </w:p>
    <w:p w:rsidR="00C01C82" w:rsidRPr="006E709F" w:rsidRDefault="00C01C82" w:rsidP="00C01C82">
      <w:pPr>
        <w:pStyle w:val="SubsectionHead"/>
      </w:pPr>
      <w:r w:rsidRPr="006E709F">
        <w:t>Superannuation products</w:t>
      </w:r>
    </w:p>
    <w:p w:rsidR="00C01C82" w:rsidRPr="006E709F" w:rsidRDefault="00C01C82" w:rsidP="00C01C82">
      <w:pPr>
        <w:pStyle w:val="subsection"/>
      </w:pPr>
      <w:r w:rsidRPr="006E709F">
        <w:tab/>
        <w:t>(1)</w:t>
      </w:r>
      <w:r w:rsidRPr="006E709F">
        <w:tab/>
        <w:t>The following information must be included in the periodic statement for a superannuation product under the heading “Additional Explanation of Fees and Costs”, if it has not been included in another part of the periodic statement:</w:t>
      </w:r>
    </w:p>
    <w:p w:rsidR="00C01C82" w:rsidRPr="006E709F" w:rsidRDefault="00C01C82" w:rsidP="00C01C82">
      <w:pPr>
        <w:pStyle w:val="paragraph"/>
      </w:pPr>
      <w:r w:rsidRPr="006E709F">
        <w:tab/>
        <w:t>(a)</w:t>
      </w:r>
      <w:r w:rsidRPr="006E709F">
        <w:tab/>
        <w:t>details of any activity fees, advice fees and insurance fees that were incurred by the member during the period;</w:t>
      </w:r>
    </w:p>
    <w:p w:rsidR="00C01C82" w:rsidRPr="006E709F" w:rsidRDefault="00C01C82" w:rsidP="00C01C82">
      <w:pPr>
        <w:pStyle w:val="paragraph"/>
      </w:pPr>
      <w:r w:rsidRPr="006E709F">
        <w:tab/>
        <w:t>(b)</w:t>
      </w:r>
      <w:r w:rsidRPr="006E709F">
        <w:tab/>
        <w:t>for a superannuation product that is subject to tax—whether the benefit of any tax deduction has been passed on to the investor in the form of a reduced fee or cost</w:t>
      </w:r>
      <w:r w:rsidR="00973CA7" w:rsidRPr="006E709F">
        <w:t>;</w:t>
      </w:r>
    </w:p>
    <w:p w:rsidR="00636892" w:rsidRPr="006E709F" w:rsidRDefault="00636892" w:rsidP="00636892">
      <w:pPr>
        <w:pStyle w:val="paragraph"/>
      </w:pPr>
      <w:r w:rsidRPr="006E709F">
        <w:tab/>
        <w:t>(c)</w:t>
      </w:r>
      <w:r w:rsidRPr="006E709F">
        <w:tab/>
        <w:t>a statement that if the account balance for a MySuper product or a choice product offered by the superannuation entity is less than $6,000 at the end of the entity’s income year:</w:t>
      </w:r>
    </w:p>
    <w:p w:rsidR="00636892" w:rsidRPr="006E709F" w:rsidRDefault="00636892" w:rsidP="00636892">
      <w:pPr>
        <w:pStyle w:val="paragraphsub"/>
      </w:pPr>
      <w:r w:rsidRPr="006E709F">
        <w:tab/>
        <w:t>(i)</w:t>
      </w:r>
      <w:r w:rsidRPr="006E709F">
        <w:tab/>
        <w:t>the total combined amount of administration fees, investment fees and indirect costs charged in relation to the MySuper product or a choice product is capped at 3% of the account balance; and</w:t>
      </w:r>
    </w:p>
    <w:p w:rsidR="00636892" w:rsidRPr="006E709F" w:rsidRDefault="00636892" w:rsidP="00636892">
      <w:pPr>
        <w:pStyle w:val="paragraphsub"/>
      </w:pPr>
      <w:r w:rsidRPr="006E709F">
        <w:tab/>
        <w:t>(ii)</w:t>
      </w:r>
      <w:r w:rsidRPr="006E709F">
        <w:tab/>
        <w:t>any amount charged in excess of that cap must be refunded.</w:t>
      </w:r>
    </w:p>
    <w:p w:rsidR="00333B75" w:rsidRPr="006E709F" w:rsidRDefault="00333B75" w:rsidP="00333B75">
      <w:pPr>
        <w:pStyle w:val="SubsectionHead"/>
      </w:pPr>
      <w:r w:rsidRPr="006E709F">
        <w:t>Collective investment products</w:t>
      </w:r>
    </w:p>
    <w:p w:rsidR="00C01C82" w:rsidRPr="006E709F" w:rsidRDefault="00C01C82" w:rsidP="00C01C82">
      <w:pPr>
        <w:pStyle w:val="subsection"/>
      </w:pPr>
      <w:r w:rsidRPr="006E709F">
        <w:tab/>
        <w:t>(2)</w:t>
      </w:r>
      <w:r w:rsidRPr="006E709F">
        <w:tab/>
        <w:t>The following information must be included in the periodic statement under the heading “Additional Explanation of Fees and Costs”, if it has not been included in another part of the periodic statement:</w:t>
      </w:r>
    </w:p>
    <w:p w:rsidR="00C01C82" w:rsidRPr="006E709F" w:rsidRDefault="00C01C82" w:rsidP="00C01C82">
      <w:pPr>
        <w:pStyle w:val="paragraph"/>
      </w:pPr>
      <w:r w:rsidRPr="006E709F">
        <w:tab/>
        <w:t>(a)</w:t>
      </w:r>
      <w:r w:rsidRPr="006E709F">
        <w:tab/>
        <w:t>details of incidental fees, such as cheque dishonour fees, that were incurred by the product holder during the period;</w:t>
      </w:r>
    </w:p>
    <w:p w:rsidR="00C01C82" w:rsidRPr="006E709F" w:rsidRDefault="00C01C82" w:rsidP="00C01C82">
      <w:pPr>
        <w:pStyle w:val="paragraph"/>
      </w:pPr>
      <w:r w:rsidRPr="006E709F">
        <w:tab/>
        <w:t>(b)</w:t>
      </w:r>
      <w:r w:rsidRPr="006E709F">
        <w:tab/>
        <w:t>details of any service fees that may have been incurred by the product holder;</w:t>
      </w:r>
    </w:p>
    <w:p w:rsidR="00C01C82" w:rsidRPr="006E709F" w:rsidRDefault="00C01C82" w:rsidP="00C01C82">
      <w:pPr>
        <w:pStyle w:val="paragraph"/>
      </w:pPr>
      <w:r w:rsidRPr="006E709F">
        <w:tab/>
        <w:t>(c)</w:t>
      </w:r>
      <w:r w:rsidRPr="006E709F">
        <w:tab/>
        <w:t xml:space="preserve">for a </w:t>
      </w:r>
      <w:r w:rsidR="00333B75" w:rsidRPr="006E709F">
        <w:t>collective investment product</w:t>
      </w:r>
      <w:r w:rsidRPr="006E709F">
        <w:t xml:space="preserve"> that is subject to tax—whether the benefit of any tax deduction has been passed on to the investor in the form of a reduced fee or cost.</w:t>
      </w:r>
    </w:p>
    <w:p w:rsidR="008258B2" w:rsidRPr="006E709F" w:rsidRDefault="008258B2" w:rsidP="00583C00">
      <w:pPr>
        <w:sectPr w:rsidR="008258B2" w:rsidRPr="006E709F" w:rsidSect="0052661F">
          <w:headerReference w:type="even" r:id="rId51"/>
          <w:headerReference w:type="default" r:id="rId52"/>
          <w:footerReference w:type="even" r:id="rId53"/>
          <w:footerReference w:type="default" r:id="rId54"/>
          <w:headerReference w:type="first" r:id="rId55"/>
          <w:footerReference w:type="first" r:id="rId56"/>
          <w:pgSz w:w="11907" w:h="16839" w:code="9"/>
          <w:pgMar w:top="2325" w:right="1797" w:bottom="1440" w:left="1797" w:header="720" w:footer="709" w:gutter="0"/>
          <w:cols w:space="720"/>
          <w:docGrid w:linePitch="299"/>
        </w:sectPr>
      </w:pPr>
    </w:p>
    <w:p w:rsidR="00F011D7" w:rsidRPr="006E709F" w:rsidRDefault="00A801D0" w:rsidP="00A801D0">
      <w:pPr>
        <w:pStyle w:val="ActHead1"/>
        <w:pageBreakBefore/>
      </w:pPr>
      <w:bookmarkStart w:id="107" w:name="_Toc160609794"/>
      <w:r w:rsidRPr="000C4237">
        <w:rPr>
          <w:rStyle w:val="CharChapNo"/>
        </w:rPr>
        <w:t>Schedule</w:t>
      </w:r>
      <w:r w:rsidR="00DA13DE" w:rsidRPr="000C4237">
        <w:rPr>
          <w:rStyle w:val="CharChapNo"/>
        </w:rPr>
        <w:t> </w:t>
      </w:r>
      <w:r w:rsidR="00F011D7" w:rsidRPr="000C4237">
        <w:rPr>
          <w:rStyle w:val="CharChapNo"/>
        </w:rPr>
        <w:t>10A</w:t>
      </w:r>
      <w:r w:rsidRPr="006E709F">
        <w:t>—</w:t>
      </w:r>
      <w:r w:rsidR="00F011D7" w:rsidRPr="000C4237">
        <w:rPr>
          <w:rStyle w:val="CharChapText"/>
        </w:rPr>
        <w:t xml:space="preserve">Modifications of </w:t>
      </w:r>
      <w:r w:rsidRPr="000C4237">
        <w:rPr>
          <w:rStyle w:val="CharChapText"/>
        </w:rPr>
        <w:t>Part</w:t>
      </w:r>
      <w:r w:rsidR="00DA13DE" w:rsidRPr="000C4237">
        <w:rPr>
          <w:rStyle w:val="CharChapText"/>
        </w:rPr>
        <w:t> </w:t>
      </w:r>
      <w:r w:rsidR="00F011D7" w:rsidRPr="000C4237">
        <w:rPr>
          <w:rStyle w:val="CharChapText"/>
        </w:rPr>
        <w:t>7.9 of the Act</w:t>
      </w:r>
      <w:bookmarkEnd w:id="107"/>
    </w:p>
    <w:p w:rsidR="00F011D7" w:rsidRPr="006E709F" w:rsidRDefault="00F011D7" w:rsidP="00A801D0">
      <w:pPr>
        <w:pStyle w:val="notemargin"/>
      </w:pPr>
      <w:r w:rsidRPr="006E709F">
        <w:t>(regulations</w:t>
      </w:r>
      <w:r w:rsidR="00DA13DE" w:rsidRPr="006E709F">
        <w:t> </w:t>
      </w:r>
      <w:r w:rsidRPr="006E709F">
        <w:t xml:space="preserve">7.9.02, 7.9.04, 7.9.05, 7.9.06, 7.9.09C, </w:t>
      </w:r>
      <w:r w:rsidRPr="006E709F">
        <w:rPr>
          <w:szCs w:val="18"/>
        </w:rPr>
        <w:t xml:space="preserve">7.9.11C, 7.9.11N, 7.9.11V, </w:t>
      </w:r>
      <w:r w:rsidRPr="006E709F">
        <w:t>7.9.12, 7.9.24, 7.9.27, 7.9.30, 7.9.43, 7.9.47, 7.9.51, 7.9.56, 7.9.60, 7.9.61, 7.9.63, 7.9.73 and 8.4.02)</w:t>
      </w:r>
    </w:p>
    <w:p w:rsidR="002A22A4" w:rsidRPr="006E709F" w:rsidRDefault="00A801D0" w:rsidP="00A801D0">
      <w:pPr>
        <w:pStyle w:val="ActHead2"/>
      </w:pPr>
      <w:bookmarkStart w:id="108" w:name="_Toc160609795"/>
      <w:r w:rsidRPr="000C4237">
        <w:rPr>
          <w:rStyle w:val="CharPartNo"/>
        </w:rPr>
        <w:t>Part</w:t>
      </w:r>
      <w:r w:rsidR="00DA13DE" w:rsidRPr="000C4237">
        <w:rPr>
          <w:rStyle w:val="CharPartNo"/>
        </w:rPr>
        <w:t> </w:t>
      </w:r>
      <w:r w:rsidR="002A22A4" w:rsidRPr="000C4237">
        <w:rPr>
          <w:rStyle w:val="CharPartNo"/>
        </w:rPr>
        <w:t>1</w:t>
      </w:r>
      <w:r w:rsidRPr="006E709F">
        <w:t>—</w:t>
      </w:r>
      <w:r w:rsidR="002A22A4" w:rsidRPr="000C4237">
        <w:rPr>
          <w:rStyle w:val="CharPartText"/>
        </w:rPr>
        <w:t>Modifications relating to sub</w:t>
      </w:r>
      <w:r w:rsidR="000C4237" w:rsidRPr="000C4237">
        <w:rPr>
          <w:rStyle w:val="CharPartText"/>
        </w:rPr>
        <w:noBreakHyphen/>
      </w:r>
      <w:r w:rsidR="002A22A4" w:rsidRPr="000C4237">
        <w:rPr>
          <w:rStyle w:val="CharPartText"/>
        </w:rPr>
        <w:t>plans</w:t>
      </w:r>
      <w:bookmarkEnd w:id="108"/>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7E5000" w:rsidP="00C66015">
      <w:pPr>
        <w:pStyle w:val="ItemHead"/>
      </w:pPr>
      <w:r w:rsidRPr="006E709F">
        <w:t xml:space="preserve">1.1  </w:t>
      </w:r>
      <w:r w:rsidR="00FF4176" w:rsidRPr="006E709F">
        <w:t>Paragraph 1</w:t>
      </w:r>
      <w:r w:rsidRPr="006E709F">
        <w:t>012D</w:t>
      </w:r>
      <w:r w:rsidR="002A22A4" w:rsidRPr="006E709F">
        <w:t>(10</w:t>
      </w:r>
      <w:r w:rsidR="00A801D0" w:rsidRPr="006E709F">
        <w:t>)(</w:t>
      </w:r>
      <w:r w:rsidR="002A22A4" w:rsidRPr="006E709F">
        <w:t>b)</w:t>
      </w:r>
    </w:p>
    <w:p w:rsidR="00A801D0" w:rsidRPr="006E709F" w:rsidRDefault="00A801D0" w:rsidP="00C66015">
      <w:pPr>
        <w:pStyle w:val="Item"/>
        <w:rPr>
          <w:i/>
        </w:rPr>
      </w:pPr>
      <w:r w:rsidRPr="006E709F">
        <w:rPr>
          <w:i/>
        </w:rPr>
        <w:t>substitute</w:t>
      </w:r>
    </w:p>
    <w:p w:rsidR="002A22A4" w:rsidRPr="006E709F" w:rsidRDefault="002A22A4" w:rsidP="00A801D0">
      <w:pPr>
        <w:pStyle w:val="paragraph"/>
      </w:pPr>
      <w:r w:rsidRPr="006E709F">
        <w:tab/>
        <w:t>(b)</w:t>
      </w:r>
      <w:r w:rsidRPr="006E709F">
        <w:tab/>
        <w:t>a superannuation product is the same as another superannuation product only if the other superannuation product is:</w:t>
      </w:r>
    </w:p>
    <w:p w:rsidR="002A22A4" w:rsidRPr="006E709F" w:rsidRDefault="002A22A4" w:rsidP="00A801D0">
      <w:pPr>
        <w:pStyle w:val="paragraphsub"/>
      </w:pPr>
      <w:r w:rsidRPr="006E709F">
        <w:tab/>
        <w:t>(i)</w:t>
      </w:r>
      <w:r w:rsidRPr="006E709F">
        <w:tab/>
        <w:t>an interest in the same sub</w:t>
      </w:r>
      <w:r w:rsidR="000C4237">
        <w:noBreakHyphen/>
      </w:r>
      <w:r w:rsidRPr="006E709F">
        <w:t>plan; or</w:t>
      </w:r>
    </w:p>
    <w:p w:rsidR="002A22A4" w:rsidRPr="006E709F" w:rsidRDefault="002A22A4" w:rsidP="00A801D0">
      <w:pPr>
        <w:pStyle w:val="paragraphsub"/>
      </w:pPr>
      <w:r w:rsidRPr="006E709F">
        <w:tab/>
        <w:t>(ii)</w:t>
      </w:r>
      <w:r w:rsidRPr="006E709F">
        <w:tab/>
        <w:t>if there is no sub</w:t>
      </w:r>
      <w:r w:rsidR="000C4237">
        <w:noBreakHyphen/>
      </w:r>
      <w:r w:rsidRPr="006E709F">
        <w:t>plan</w:t>
      </w:r>
      <w:r w:rsidR="00A801D0" w:rsidRPr="006E709F">
        <w:t>—</w:t>
      </w:r>
      <w:r w:rsidRPr="006E709F">
        <w:t>an interest in the same fund.</w:t>
      </w:r>
    </w:p>
    <w:p w:rsidR="002A22A4" w:rsidRPr="006E709F" w:rsidRDefault="00A801D0" w:rsidP="00A801D0">
      <w:pPr>
        <w:pStyle w:val="ActHead2"/>
        <w:pageBreakBefore/>
      </w:pPr>
      <w:bookmarkStart w:id="109" w:name="_Toc160609796"/>
      <w:r w:rsidRPr="000C4237">
        <w:rPr>
          <w:rStyle w:val="CharPartNo"/>
        </w:rPr>
        <w:t>Part</w:t>
      </w:r>
      <w:r w:rsidR="00DA13DE" w:rsidRPr="000C4237">
        <w:rPr>
          <w:rStyle w:val="CharPartNo"/>
        </w:rPr>
        <w:t> </w:t>
      </w:r>
      <w:r w:rsidR="002A22A4" w:rsidRPr="000C4237">
        <w:rPr>
          <w:rStyle w:val="CharPartNo"/>
        </w:rPr>
        <w:t>2</w:t>
      </w:r>
      <w:r w:rsidRPr="006E709F">
        <w:t>—</w:t>
      </w:r>
      <w:r w:rsidR="002A22A4" w:rsidRPr="000C4237">
        <w:rPr>
          <w:rStyle w:val="CharPartText"/>
        </w:rPr>
        <w:t xml:space="preserve">Modifications relating to Product Disclosure Statements for </w:t>
      </w:r>
      <w:r w:rsidR="00B16490" w:rsidRPr="00B16490">
        <w:rPr>
          <w:rStyle w:val="CharPartText"/>
        </w:rPr>
        <w:t>RSAs</w:t>
      </w:r>
      <w:bookmarkEnd w:id="109"/>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7E5000" w:rsidP="00C66015">
      <w:pPr>
        <w:pStyle w:val="ItemHead"/>
      </w:pPr>
      <w:r w:rsidRPr="006E709F">
        <w:t xml:space="preserve">2.1  </w:t>
      </w:r>
      <w:r w:rsidR="002A22A4" w:rsidRPr="006E709F">
        <w:t>After subsection</w:t>
      </w:r>
      <w:r w:rsidR="00DA13DE" w:rsidRPr="006E709F">
        <w:t> </w:t>
      </w:r>
      <w:r w:rsidR="002A22A4" w:rsidRPr="006E709F">
        <w:t>1012D(9B)</w:t>
      </w:r>
    </w:p>
    <w:p w:rsidR="00A801D0" w:rsidRPr="006E709F" w:rsidRDefault="00A801D0" w:rsidP="00C66015">
      <w:pPr>
        <w:pStyle w:val="Item"/>
        <w:rPr>
          <w:i/>
        </w:rPr>
      </w:pPr>
      <w:r w:rsidRPr="006E709F">
        <w:rPr>
          <w:i/>
        </w:rPr>
        <w:t>insert</w:t>
      </w:r>
    </w:p>
    <w:p w:rsidR="002A22A4" w:rsidRPr="006E709F" w:rsidRDefault="002A22A4" w:rsidP="00A801D0">
      <w:pPr>
        <w:pStyle w:val="SubsectionHead"/>
      </w:pPr>
      <w:r w:rsidRPr="006E709F">
        <w:t>Recommendation, issue or sale situation</w:t>
      </w:r>
      <w:r w:rsidR="00A801D0" w:rsidRPr="006E709F">
        <w:t>—</w:t>
      </w:r>
      <w:r w:rsidRPr="006E709F">
        <w:t>takeover or merger</w:t>
      </w:r>
    </w:p>
    <w:p w:rsidR="002A22A4" w:rsidRPr="006E709F" w:rsidRDefault="002A22A4" w:rsidP="00A801D0">
      <w:pPr>
        <w:pStyle w:val="subsection"/>
      </w:pPr>
      <w:r w:rsidRPr="006E709F">
        <w:tab/>
        <w:t>(9C)</w:t>
      </w:r>
      <w:r w:rsidRPr="006E709F">
        <w:tab/>
        <w:t>In a recommendation situation, issue situation or sale situation, the issuer does not have to give a Product Disclosure Statement if a person:</w:t>
      </w:r>
    </w:p>
    <w:p w:rsidR="0048795D" w:rsidRPr="006E709F" w:rsidRDefault="002A22A4" w:rsidP="00A801D0">
      <w:pPr>
        <w:pStyle w:val="paragraph"/>
      </w:pPr>
      <w:r w:rsidRPr="006E709F">
        <w:tab/>
        <w:t>(a)</w:t>
      </w:r>
      <w:r w:rsidRPr="006E709F">
        <w:tab/>
        <w:t>becomes the holder of an RSA with an RSA institution; and</w:t>
      </w:r>
    </w:p>
    <w:p w:rsidR="0048795D" w:rsidRPr="006E709F" w:rsidRDefault="002A22A4" w:rsidP="00A801D0">
      <w:pPr>
        <w:pStyle w:val="paragraph"/>
      </w:pPr>
      <w:r w:rsidRPr="006E709F">
        <w:tab/>
        <w:t>(b)</w:t>
      </w:r>
      <w:r w:rsidRPr="006E709F">
        <w:tab/>
        <w:t>does so as a direct result of:</w:t>
      </w:r>
    </w:p>
    <w:p w:rsidR="0048795D" w:rsidRPr="006E709F" w:rsidRDefault="002A22A4" w:rsidP="00A801D0">
      <w:pPr>
        <w:pStyle w:val="paragraphsub"/>
      </w:pPr>
      <w:r w:rsidRPr="006E709F">
        <w:tab/>
        <w:t>(i)</w:t>
      </w:r>
      <w:r w:rsidRPr="006E709F">
        <w:tab/>
        <w:t>the takeover of the RSA provider with which the person previously held an RSA by:</w:t>
      </w:r>
    </w:p>
    <w:p w:rsidR="0048795D" w:rsidRPr="006E709F" w:rsidRDefault="002A22A4" w:rsidP="00A801D0">
      <w:pPr>
        <w:pStyle w:val="paragraphsub-sub"/>
      </w:pPr>
      <w:r w:rsidRPr="006E709F">
        <w:tab/>
        <w:t>(A)</w:t>
      </w:r>
      <w:r w:rsidRPr="006E709F">
        <w:tab/>
        <w:t>the RSA institution; or</w:t>
      </w:r>
    </w:p>
    <w:p w:rsidR="0048795D" w:rsidRPr="006E709F" w:rsidRDefault="002A22A4" w:rsidP="00A801D0">
      <w:pPr>
        <w:pStyle w:val="paragraphsub-sub"/>
      </w:pPr>
      <w:r w:rsidRPr="006E709F">
        <w:tab/>
        <w:t>(B)</w:t>
      </w:r>
      <w:r w:rsidRPr="006E709F">
        <w:tab/>
        <w:t>a corporation that is a related corporation of the RSA institution; or</w:t>
      </w:r>
    </w:p>
    <w:p w:rsidR="0048795D" w:rsidRPr="006E709F" w:rsidRDefault="002A22A4" w:rsidP="00A801D0">
      <w:pPr>
        <w:pStyle w:val="paragraphsub"/>
      </w:pPr>
      <w:r w:rsidRPr="006E709F">
        <w:tab/>
        <w:t>(ii)</w:t>
      </w:r>
      <w:r w:rsidRPr="006E709F">
        <w:tab/>
        <w:t>a merger involving the RSA provider with which the person previously held an RSA and which results in the creation of the RSA institution; or</w:t>
      </w:r>
    </w:p>
    <w:p w:rsidR="0048795D" w:rsidRPr="006E709F" w:rsidRDefault="002A22A4" w:rsidP="00A801D0">
      <w:pPr>
        <w:pStyle w:val="paragraphsub"/>
      </w:pPr>
      <w:r w:rsidRPr="006E709F">
        <w:tab/>
        <w:t>(iii)</w:t>
      </w:r>
      <w:r w:rsidRPr="006E709F">
        <w:tab/>
        <w:t>the transfer of any, or all of, the assets and liabilities of the RSA provider with which the person previously held an RSA to the RSA institution:</w:t>
      </w:r>
    </w:p>
    <w:p w:rsidR="0048795D" w:rsidRPr="006E709F" w:rsidRDefault="002A22A4" w:rsidP="00A801D0">
      <w:pPr>
        <w:pStyle w:val="paragraphsub-sub"/>
      </w:pPr>
      <w:r w:rsidRPr="006E709F">
        <w:tab/>
        <w:t>(A)</w:t>
      </w:r>
      <w:r w:rsidRPr="006E709F">
        <w:tab/>
        <w:t xml:space="preserve">under a provision of the </w:t>
      </w:r>
      <w:r w:rsidRPr="006E709F">
        <w:rPr>
          <w:i/>
        </w:rPr>
        <w:t>Banking Act 1959</w:t>
      </w:r>
      <w:r w:rsidRPr="006E709F">
        <w:t xml:space="preserve">, the </w:t>
      </w:r>
      <w:r w:rsidRPr="006E709F">
        <w:rPr>
          <w:i/>
        </w:rPr>
        <w:t>Life Insurance Act 1995</w:t>
      </w:r>
      <w:r w:rsidRPr="006E709F">
        <w:t xml:space="preserve"> or of any other law of the Commonwealth, a State or a Territory; or</w:t>
      </w:r>
    </w:p>
    <w:p w:rsidR="0048795D" w:rsidRPr="006E709F" w:rsidRDefault="002A22A4" w:rsidP="00A801D0">
      <w:pPr>
        <w:pStyle w:val="paragraphsub-sub"/>
      </w:pPr>
      <w:r w:rsidRPr="006E709F">
        <w:tab/>
        <w:t>(B)</w:t>
      </w:r>
      <w:r w:rsidRPr="006E709F">
        <w:tab/>
        <w:t>under a voluntary transfer of engagements; or</w:t>
      </w:r>
    </w:p>
    <w:p w:rsidR="002A22A4" w:rsidRPr="006E709F" w:rsidRDefault="002A22A4" w:rsidP="00A801D0">
      <w:pPr>
        <w:pStyle w:val="paragraphsub-sub"/>
      </w:pPr>
      <w:r w:rsidRPr="006E709F">
        <w:tab/>
        <w:t>(C)</w:t>
      </w:r>
      <w:r w:rsidRPr="006E709F">
        <w:tab/>
        <w:t>on the request of the Australian Prudential Regulation Authority.</w:t>
      </w:r>
    </w:p>
    <w:p w:rsidR="002A22A4" w:rsidRPr="006E709F" w:rsidRDefault="00A801D0" w:rsidP="00221306">
      <w:pPr>
        <w:pStyle w:val="ActHead2"/>
        <w:pageBreakBefore/>
      </w:pPr>
      <w:bookmarkStart w:id="110" w:name="_Toc160609797"/>
      <w:r w:rsidRPr="000C4237">
        <w:rPr>
          <w:rStyle w:val="CharPartNo"/>
        </w:rPr>
        <w:t>Part</w:t>
      </w:r>
      <w:r w:rsidR="00DA13DE" w:rsidRPr="000C4237">
        <w:rPr>
          <w:rStyle w:val="CharPartNo"/>
        </w:rPr>
        <w:t> </w:t>
      </w:r>
      <w:r w:rsidR="002A22A4" w:rsidRPr="000C4237">
        <w:rPr>
          <w:rStyle w:val="CharPartNo"/>
        </w:rPr>
        <w:t>3</w:t>
      </w:r>
      <w:r w:rsidRPr="006E709F">
        <w:t>—</w:t>
      </w:r>
      <w:r w:rsidR="002A22A4" w:rsidRPr="000C4237">
        <w:rPr>
          <w:rStyle w:val="CharPartText"/>
        </w:rPr>
        <w:t>Modifications relating to insurance options under contract associated with superannuation interest</w:t>
      </w:r>
      <w:bookmarkEnd w:id="110"/>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7E5000" w:rsidP="00C66015">
      <w:pPr>
        <w:pStyle w:val="ItemHead"/>
      </w:pPr>
      <w:r w:rsidRPr="006E709F">
        <w:t xml:space="preserve">3.1  </w:t>
      </w:r>
      <w:r w:rsidR="002A22A4" w:rsidRPr="006E709F">
        <w:t>After subsection</w:t>
      </w:r>
      <w:r w:rsidR="00DA13DE" w:rsidRPr="006E709F">
        <w:t> </w:t>
      </w:r>
      <w:r w:rsidR="002A22A4" w:rsidRPr="006E709F">
        <w:t>1012D(9B)</w:t>
      </w:r>
    </w:p>
    <w:p w:rsidR="00A801D0" w:rsidRPr="006E709F" w:rsidRDefault="00A801D0" w:rsidP="00C66015">
      <w:pPr>
        <w:pStyle w:val="Item"/>
        <w:rPr>
          <w:i/>
        </w:rPr>
      </w:pPr>
      <w:r w:rsidRPr="006E709F">
        <w:rPr>
          <w:i/>
        </w:rPr>
        <w:t>insert</w:t>
      </w:r>
    </w:p>
    <w:p w:rsidR="002A22A4" w:rsidRPr="006E709F" w:rsidRDefault="002A22A4" w:rsidP="00A801D0">
      <w:pPr>
        <w:pStyle w:val="SubsectionHead"/>
      </w:pPr>
      <w:r w:rsidRPr="006E709F">
        <w:t>Insurance options</w:t>
      </w:r>
    </w:p>
    <w:p w:rsidR="002A22A4" w:rsidRPr="006E709F" w:rsidRDefault="002A22A4" w:rsidP="00A801D0">
      <w:pPr>
        <w:pStyle w:val="subsection"/>
      </w:pPr>
      <w:r w:rsidRPr="006E709F">
        <w:tab/>
        <w:t>(9C)</w:t>
      </w:r>
      <w:r w:rsidRPr="006E709F">
        <w:tab/>
        <w:t>A product issuer does not have to give a Product Disclosure Statement to a person if:</w:t>
      </w:r>
    </w:p>
    <w:p w:rsidR="002A22A4" w:rsidRPr="006E709F" w:rsidRDefault="002A22A4" w:rsidP="00A801D0">
      <w:pPr>
        <w:pStyle w:val="paragraph"/>
      </w:pPr>
      <w:r w:rsidRPr="006E709F">
        <w:rPr>
          <w:color w:val="000000"/>
        </w:rPr>
        <w:tab/>
        <w:t>(a)</w:t>
      </w:r>
      <w:r w:rsidRPr="006E709F">
        <w:rPr>
          <w:color w:val="000000"/>
        </w:rPr>
        <w:tab/>
        <w:t>a product holder seeks to change the coverage of insurance options under a contract associated with a superannuation interest; and</w:t>
      </w:r>
    </w:p>
    <w:p w:rsidR="002A22A4" w:rsidRPr="006E709F" w:rsidRDefault="002A22A4" w:rsidP="00A801D0">
      <w:pPr>
        <w:pStyle w:val="paragraph"/>
      </w:pPr>
      <w:r w:rsidRPr="006E709F">
        <w:tab/>
        <w:t>(b)</w:t>
      </w:r>
      <w:r w:rsidRPr="006E709F">
        <w:tab/>
        <w:t xml:space="preserve">information in relation to the change of insurance options has not already been given in a periodic statement or in accordance with other periodic reporting requirements under </w:t>
      </w:r>
      <w:r w:rsidR="00A801D0" w:rsidRPr="006E709F">
        <w:t>Division</w:t>
      </w:r>
      <w:r w:rsidR="00DA13DE" w:rsidRPr="006E709F">
        <w:t> </w:t>
      </w:r>
      <w:r w:rsidRPr="006E709F">
        <w:t>3.</w:t>
      </w:r>
    </w:p>
    <w:p w:rsidR="002A22A4" w:rsidRPr="006E709F" w:rsidRDefault="002A22A4" w:rsidP="00A801D0">
      <w:pPr>
        <w:pStyle w:val="subsection"/>
      </w:pPr>
      <w:r w:rsidRPr="006E709F">
        <w:tab/>
        <w:t>(9D)</w:t>
      </w:r>
      <w:r w:rsidRPr="006E709F">
        <w:tab/>
        <w:t xml:space="preserve">If </w:t>
      </w:r>
      <w:r w:rsidR="00DA13DE" w:rsidRPr="006E709F">
        <w:t>subsection (</w:t>
      </w:r>
      <w:r w:rsidRPr="006E709F">
        <w:t>9C) applies:</w:t>
      </w:r>
    </w:p>
    <w:p w:rsidR="002A22A4" w:rsidRPr="006E709F" w:rsidRDefault="002A22A4" w:rsidP="00A801D0">
      <w:pPr>
        <w:pStyle w:val="paragraph"/>
      </w:pPr>
      <w:r w:rsidRPr="006E709F">
        <w:rPr>
          <w:color w:val="000000"/>
        </w:rPr>
        <w:tab/>
        <w:t>(a)</w:t>
      </w:r>
      <w:r w:rsidRPr="006E709F">
        <w:rPr>
          <w:color w:val="000000"/>
        </w:rPr>
        <w:tab/>
        <w:t>the product issuer must ensure that the product holder has sufficient information to enable the product holder to make an informed decision; and</w:t>
      </w:r>
    </w:p>
    <w:p w:rsidR="002A22A4" w:rsidRPr="006E709F" w:rsidRDefault="002A22A4" w:rsidP="00A801D0">
      <w:pPr>
        <w:pStyle w:val="paragraph"/>
      </w:pPr>
      <w:r w:rsidRPr="006E709F">
        <w:tab/>
        <w:t>(b)</w:t>
      </w:r>
      <w:r w:rsidRPr="006E709F">
        <w:tab/>
        <w:t xml:space="preserve">that subsection does not prevent the product issuer from complying with </w:t>
      </w:r>
      <w:r w:rsidR="00DA13DE" w:rsidRPr="006E709F">
        <w:t>paragraph (</w:t>
      </w:r>
      <w:r w:rsidRPr="006E709F">
        <w:t>a) by giving the product holder a Product Disclosure Statement.</w:t>
      </w:r>
    </w:p>
    <w:p w:rsidR="00A37D65" w:rsidRPr="006E709F" w:rsidRDefault="00A801D0" w:rsidP="00AE08F9">
      <w:pPr>
        <w:pStyle w:val="ActHead2"/>
        <w:pageBreakBefore/>
      </w:pPr>
      <w:bookmarkStart w:id="111" w:name="_Toc160609798"/>
      <w:r w:rsidRPr="000C4237">
        <w:rPr>
          <w:rStyle w:val="CharPartNo"/>
        </w:rPr>
        <w:t>Part</w:t>
      </w:r>
      <w:r w:rsidR="00DA13DE" w:rsidRPr="000C4237">
        <w:rPr>
          <w:rStyle w:val="CharPartNo"/>
        </w:rPr>
        <w:t> </w:t>
      </w:r>
      <w:r w:rsidR="00A37D65" w:rsidRPr="000C4237">
        <w:rPr>
          <w:rStyle w:val="CharPartNo"/>
        </w:rPr>
        <w:t>5A</w:t>
      </w:r>
      <w:r w:rsidRPr="006E709F">
        <w:t>—</w:t>
      </w:r>
      <w:r w:rsidR="00A37D65" w:rsidRPr="000C4237">
        <w:rPr>
          <w:rStyle w:val="CharPartText"/>
        </w:rPr>
        <w:t xml:space="preserve">Modifications for </w:t>
      </w:r>
      <w:r w:rsidR="00574642" w:rsidRPr="00574642">
        <w:rPr>
          <w:rStyle w:val="CharPartText"/>
        </w:rPr>
        <w:t>standard margin lending facilities</w:t>
      </w:r>
      <w:bookmarkEnd w:id="111"/>
    </w:p>
    <w:p w:rsidR="002406FE" w:rsidRPr="006E709F" w:rsidRDefault="002406FE" w:rsidP="002406FE">
      <w:pPr>
        <w:pStyle w:val="Header"/>
      </w:pPr>
      <w:r w:rsidRPr="000C4237">
        <w:rPr>
          <w:rStyle w:val="CharDivNo"/>
        </w:rPr>
        <w:t xml:space="preserve"> </w:t>
      </w:r>
      <w:r w:rsidRPr="000C4237">
        <w:rPr>
          <w:rStyle w:val="CharDivText"/>
        </w:rPr>
        <w:t xml:space="preserve"> </w:t>
      </w:r>
    </w:p>
    <w:p w:rsidR="00A37D65" w:rsidRPr="006E709F" w:rsidRDefault="00A37D65" w:rsidP="00C66015">
      <w:pPr>
        <w:pStyle w:val="ItemHead"/>
      </w:pPr>
      <w:r w:rsidRPr="006E709F">
        <w:t>5A.2</w:t>
      </w:r>
      <w:r w:rsidR="007E5000" w:rsidRPr="006E709F">
        <w:t xml:space="preserve">  </w:t>
      </w:r>
      <w:r w:rsidRPr="006E709F">
        <w:t>Subsection</w:t>
      </w:r>
      <w:r w:rsidR="00DA13DE" w:rsidRPr="006E709F">
        <w:t> </w:t>
      </w:r>
      <w:r w:rsidRPr="006E709F">
        <w:t>1013C(1)</w:t>
      </w:r>
    </w:p>
    <w:p w:rsidR="00A801D0" w:rsidRPr="006E709F" w:rsidRDefault="00A801D0" w:rsidP="00C66015">
      <w:pPr>
        <w:pStyle w:val="Item"/>
        <w:rPr>
          <w:i/>
        </w:rPr>
      </w:pPr>
      <w:r w:rsidRPr="006E709F">
        <w:rPr>
          <w:i/>
        </w:rPr>
        <w:t>substitute</w:t>
      </w:r>
    </w:p>
    <w:p w:rsidR="00A37D65" w:rsidRPr="006E709F" w:rsidRDefault="00A37D65" w:rsidP="00EA46A9">
      <w:pPr>
        <w:pStyle w:val="subsection"/>
      </w:pPr>
      <w:r w:rsidRPr="006E709F">
        <w:tab/>
        <w:t>(1)</w:t>
      </w:r>
      <w:r w:rsidRPr="006E709F">
        <w:tab/>
        <w:t xml:space="preserve">A Product Disclosure Statement for a </w:t>
      </w:r>
      <w:r w:rsidR="00070583" w:rsidRPr="00BE1284">
        <w:t>standard margin lending facility</w:t>
      </w:r>
      <w:r w:rsidRPr="006E709F">
        <w:t xml:space="preserve"> to which </w:t>
      </w:r>
      <w:r w:rsidR="00A801D0" w:rsidRPr="006E709F">
        <w:t>Subdivision</w:t>
      </w:r>
      <w:r w:rsidR="00DA13DE" w:rsidRPr="006E709F">
        <w:t> </w:t>
      </w:r>
      <w:r w:rsidRPr="006E709F">
        <w:t xml:space="preserve">4.2A of </w:t>
      </w:r>
      <w:r w:rsidR="00A801D0" w:rsidRPr="006E709F">
        <w:t>Division</w:t>
      </w:r>
      <w:r w:rsidR="00DA13DE" w:rsidRPr="006E709F">
        <w:t> </w:t>
      </w:r>
      <w:r w:rsidRPr="006E709F">
        <w:t xml:space="preserve">4 of </w:t>
      </w:r>
      <w:r w:rsidR="00A801D0" w:rsidRPr="006E709F">
        <w:t>Part</w:t>
      </w:r>
      <w:r w:rsidR="00DA13DE" w:rsidRPr="006E709F">
        <w:t> </w:t>
      </w:r>
      <w:r w:rsidRPr="006E709F">
        <w:t xml:space="preserve">7.9 of the </w:t>
      </w:r>
      <w:r w:rsidRPr="006E709F">
        <w:rPr>
          <w:i/>
        </w:rPr>
        <w:t xml:space="preserve">Corporations </w:t>
      </w:r>
      <w:r w:rsidR="000C4237">
        <w:rPr>
          <w:i/>
        </w:rPr>
        <w:t>Regulations 2</w:t>
      </w:r>
      <w:r w:rsidRPr="006E709F">
        <w:rPr>
          <w:i/>
        </w:rPr>
        <w:t>001</w:t>
      </w:r>
      <w:r w:rsidRPr="006E709F">
        <w:t xml:space="preserve"> applies must:</w:t>
      </w:r>
    </w:p>
    <w:p w:rsidR="00A37D65" w:rsidRPr="006E709F" w:rsidRDefault="00A37D65" w:rsidP="00A801D0">
      <w:pPr>
        <w:pStyle w:val="paragraph"/>
      </w:pPr>
      <w:r w:rsidRPr="006E709F">
        <w:tab/>
        <w:t>(a)</w:t>
      </w:r>
      <w:r w:rsidRPr="006E709F">
        <w:tab/>
        <w:t>include the statements and information required by regulations made for this paragraph; and</w:t>
      </w:r>
    </w:p>
    <w:p w:rsidR="00A37D65" w:rsidRPr="006E709F" w:rsidRDefault="00A37D65" w:rsidP="00A801D0">
      <w:pPr>
        <w:pStyle w:val="paragraph"/>
      </w:pPr>
      <w:r w:rsidRPr="006E709F">
        <w:tab/>
        <w:t>(b)</w:t>
      </w:r>
      <w:r w:rsidRPr="006E709F">
        <w:tab/>
        <w:t>be in the form required by regulations made for this paragraph.</w:t>
      </w:r>
    </w:p>
    <w:p w:rsidR="00A37D65" w:rsidRPr="006E709F" w:rsidRDefault="00A37D65" w:rsidP="00A801D0">
      <w:pPr>
        <w:pStyle w:val="subsection"/>
      </w:pPr>
      <w:r w:rsidRPr="006E709F">
        <w:tab/>
        <w:t>(1A)</w:t>
      </w:r>
      <w:r w:rsidRPr="006E709F">
        <w:tab/>
        <w:t>If a law other than this Act or regulations under this Act requires the responsible person for the Product Disclosure Statement:</w:t>
      </w:r>
    </w:p>
    <w:p w:rsidR="00A37D65" w:rsidRPr="006E709F" w:rsidRDefault="00A37D65" w:rsidP="00A801D0">
      <w:pPr>
        <w:pStyle w:val="paragraph"/>
      </w:pPr>
      <w:r w:rsidRPr="006E709F">
        <w:tab/>
        <w:t>(a)</w:t>
      </w:r>
      <w:r w:rsidRPr="006E709F">
        <w:tab/>
        <w:t>to give, disclose or provide a matter; or</w:t>
      </w:r>
    </w:p>
    <w:p w:rsidR="00A37D65" w:rsidRPr="006E709F" w:rsidRDefault="00A37D65" w:rsidP="00A801D0">
      <w:pPr>
        <w:pStyle w:val="paragraph"/>
      </w:pPr>
      <w:r w:rsidRPr="006E709F">
        <w:tab/>
        <w:t>(b)</w:t>
      </w:r>
      <w:r w:rsidRPr="006E709F">
        <w:tab/>
        <w:t>to include a matter in the Statement;</w:t>
      </w:r>
    </w:p>
    <w:p w:rsidR="00A37D65" w:rsidRPr="006E709F" w:rsidRDefault="00A37D65" w:rsidP="00A801D0">
      <w:pPr>
        <w:pStyle w:val="subsection2"/>
      </w:pPr>
      <w:r w:rsidRPr="006E709F">
        <w:t>the Statement may make provision for the matter by applying, adopting or incorporating the matter as in force at a particular time or as in force from time to time.</w:t>
      </w:r>
    </w:p>
    <w:p w:rsidR="00A37D65" w:rsidRPr="006E709F" w:rsidRDefault="00A37D65" w:rsidP="00A801D0">
      <w:pPr>
        <w:pStyle w:val="subsection"/>
      </w:pPr>
      <w:r w:rsidRPr="006E709F">
        <w:tab/>
        <w:t>(1B)</w:t>
      </w:r>
      <w:r w:rsidRPr="006E709F">
        <w:tab/>
        <w:t xml:space="preserve">In addition to </w:t>
      </w:r>
      <w:r w:rsidR="00DA13DE" w:rsidRPr="006E709F">
        <w:t>subsection (</w:t>
      </w:r>
      <w:r w:rsidRPr="006E709F">
        <w:t>1A), a Product Disclosure Statement may make provision for a matter contained in writing by applying, adopting or incorporating the matter as in force at a particular time or as in force from time to time.</w:t>
      </w:r>
    </w:p>
    <w:p w:rsidR="00A37D65" w:rsidRPr="006E709F" w:rsidRDefault="00A37D65" w:rsidP="00A801D0">
      <w:pPr>
        <w:pStyle w:val="subsection"/>
      </w:pPr>
      <w:r w:rsidRPr="006E709F">
        <w:tab/>
        <w:t>(1C)</w:t>
      </w:r>
      <w:r w:rsidRPr="006E709F">
        <w:tab/>
        <w:t>If a Product Disclosure Statement applies, adopts or incorporates a matter contained in writing:</w:t>
      </w:r>
    </w:p>
    <w:p w:rsidR="00A37D65" w:rsidRPr="006E709F" w:rsidRDefault="00A37D65" w:rsidP="00A801D0">
      <w:pPr>
        <w:pStyle w:val="paragraph"/>
      </w:pPr>
      <w:r w:rsidRPr="006E709F">
        <w:tab/>
        <w:t>(a)</w:t>
      </w:r>
      <w:r w:rsidRPr="006E709F">
        <w:tab/>
        <w:t>the applied, adopted or incorporated matter forms part of the Statement; and</w:t>
      </w:r>
    </w:p>
    <w:p w:rsidR="00A37D65" w:rsidRPr="006E709F" w:rsidRDefault="00A37D65" w:rsidP="00A801D0">
      <w:pPr>
        <w:pStyle w:val="paragraph"/>
      </w:pPr>
      <w:r w:rsidRPr="006E709F">
        <w:tab/>
        <w:t>(b)</w:t>
      </w:r>
      <w:r w:rsidRPr="006E709F">
        <w:tab/>
        <w:t>the responsible person for the Statement is not required to give the document which provides for the matter to a person (as part of giving the Statement or later) if that person has not asked for the document; and</w:t>
      </w:r>
    </w:p>
    <w:p w:rsidR="00A37D65" w:rsidRPr="006E709F" w:rsidRDefault="00A37D65" w:rsidP="00A801D0">
      <w:pPr>
        <w:pStyle w:val="paragraph"/>
      </w:pPr>
      <w:r w:rsidRPr="006E709F">
        <w:tab/>
        <w:t>(c)</w:t>
      </w:r>
      <w:r w:rsidRPr="006E709F">
        <w:tab/>
        <w:t>the responsible person for the Statement must give the document which provides for the matter to a person if that person asks for the document.</w:t>
      </w:r>
    </w:p>
    <w:p w:rsidR="00A37D65" w:rsidRPr="006E709F" w:rsidRDefault="00A37D65" w:rsidP="00A801D0">
      <w:pPr>
        <w:pStyle w:val="subsection"/>
      </w:pPr>
      <w:r w:rsidRPr="006E709F">
        <w:tab/>
        <w:t>(1D)</w:t>
      </w:r>
      <w:r w:rsidRPr="006E709F">
        <w:tab/>
        <w:t>The regulations may prescribe requirements for applying, adopting, or incorporating a matter contained in writing in a Product Disclosure Statement.</w:t>
      </w:r>
    </w:p>
    <w:p w:rsidR="00A37D65" w:rsidRPr="006E709F" w:rsidRDefault="00A37D65" w:rsidP="00A801D0">
      <w:pPr>
        <w:pStyle w:val="subsection"/>
      </w:pPr>
      <w:r w:rsidRPr="006E709F">
        <w:tab/>
        <w:t>(1E)</w:t>
      </w:r>
      <w:r w:rsidRPr="006E709F">
        <w:tab/>
        <w:t xml:space="preserve">A Product Disclosure Statement may refer to information, other than information to which </w:t>
      </w:r>
      <w:r w:rsidR="00DA13DE" w:rsidRPr="006E709F">
        <w:t>subsection (</w:t>
      </w:r>
      <w:r w:rsidRPr="006E709F">
        <w:t>1A) or (1B) applies, that is set out in another document; and</w:t>
      </w:r>
    </w:p>
    <w:p w:rsidR="00A37D65" w:rsidRPr="006E709F" w:rsidRDefault="00A37D65" w:rsidP="00A801D0">
      <w:pPr>
        <w:pStyle w:val="subsection"/>
      </w:pPr>
      <w:r w:rsidRPr="006E709F">
        <w:tab/>
        <w:t>(1F)</w:t>
      </w:r>
      <w:r w:rsidRPr="006E709F">
        <w:tab/>
        <w:t xml:space="preserve">If the Product Disclosure Statement refers to other information as permitted by </w:t>
      </w:r>
      <w:r w:rsidR="00DA13DE" w:rsidRPr="006E709F">
        <w:t>subsection (</w:t>
      </w:r>
      <w:r w:rsidRPr="006E709F">
        <w:t>1E), that information does not form part of the Statement.</w:t>
      </w:r>
    </w:p>
    <w:p w:rsidR="00A37D65" w:rsidRPr="006E709F" w:rsidRDefault="00A801D0" w:rsidP="00A801D0">
      <w:pPr>
        <w:pStyle w:val="notetext"/>
      </w:pPr>
      <w:r w:rsidRPr="006E709F">
        <w:t>Note:</w:t>
      </w:r>
      <w:r w:rsidRPr="006E709F">
        <w:tab/>
      </w:r>
      <w:r w:rsidR="00A37D65" w:rsidRPr="006E709F">
        <w:t xml:space="preserve">Although the information mentioned in </w:t>
      </w:r>
      <w:r w:rsidR="00DA13DE" w:rsidRPr="006E709F">
        <w:t>subsection (</w:t>
      </w:r>
      <w:r w:rsidR="00A37D65" w:rsidRPr="006E709F">
        <w:t>1F) would not form part of the Product Disclosure Statement, it would be subject to requirements imposed by the Act or these Regulations such as the prohibition on making misleading or deceptive statements.</w:t>
      </w:r>
    </w:p>
    <w:p w:rsidR="00A37D65" w:rsidRPr="006E709F" w:rsidRDefault="007E5000" w:rsidP="00C66015">
      <w:pPr>
        <w:pStyle w:val="ItemHead"/>
      </w:pPr>
      <w:r w:rsidRPr="006E709F">
        <w:t xml:space="preserve">5A.3  </w:t>
      </w:r>
      <w:r w:rsidR="00A37D65" w:rsidRPr="006E709F">
        <w:t>Section</w:t>
      </w:r>
      <w:r w:rsidR="00DA13DE" w:rsidRPr="006E709F">
        <w:t> </w:t>
      </w:r>
      <w:r w:rsidR="00A37D65" w:rsidRPr="006E709F">
        <w:t>1013D</w:t>
      </w:r>
    </w:p>
    <w:p w:rsidR="00A801D0" w:rsidRPr="006E709F" w:rsidRDefault="00A801D0" w:rsidP="00C66015">
      <w:pPr>
        <w:pStyle w:val="Item"/>
        <w:rPr>
          <w:i/>
        </w:rPr>
      </w:pPr>
      <w:r w:rsidRPr="006E709F">
        <w:rPr>
          <w:i/>
        </w:rPr>
        <w:t>omit</w:t>
      </w:r>
    </w:p>
    <w:p w:rsidR="00A37D65" w:rsidRPr="006E709F" w:rsidRDefault="007E5000" w:rsidP="00C66015">
      <w:pPr>
        <w:pStyle w:val="ItemHead"/>
      </w:pPr>
      <w:r w:rsidRPr="006E709F">
        <w:t xml:space="preserve">5A.4  </w:t>
      </w:r>
      <w:r w:rsidR="00A37D65" w:rsidRPr="006E709F">
        <w:t>Section</w:t>
      </w:r>
      <w:r w:rsidR="00DA13DE" w:rsidRPr="006E709F">
        <w:t> </w:t>
      </w:r>
      <w:r w:rsidR="00A37D65" w:rsidRPr="006E709F">
        <w:t>1013E</w:t>
      </w:r>
    </w:p>
    <w:p w:rsidR="00A801D0" w:rsidRPr="006E709F" w:rsidRDefault="00A801D0" w:rsidP="00C66015">
      <w:pPr>
        <w:pStyle w:val="Item"/>
        <w:rPr>
          <w:i/>
        </w:rPr>
      </w:pPr>
      <w:r w:rsidRPr="006E709F">
        <w:rPr>
          <w:i/>
        </w:rPr>
        <w:t>omit</w:t>
      </w:r>
    </w:p>
    <w:p w:rsidR="00A37D65" w:rsidRPr="006E709F" w:rsidRDefault="007E5000" w:rsidP="00C66015">
      <w:pPr>
        <w:pStyle w:val="ItemHead"/>
      </w:pPr>
      <w:r w:rsidRPr="006E709F">
        <w:t xml:space="preserve">5A.5  </w:t>
      </w:r>
      <w:r w:rsidR="00A37D65" w:rsidRPr="006E709F">
        <w:t>Section</w:t>
      </w:r>
      <w:r w:rsidR="00DA13DE" w:rsidRPr="006E709F">
        <w:t> </w:t>
      </w:r>
      <w:r w:rsidR="00A37D65" w:rsidRPr="006E709F">
        <w:t>1013L</w:t>
      </w:r>
    </w:p>
    <w:p w:rsidR="00A801D0" w:rsidRPr="006E709F" w:rsidRDefault="00A801D0" w:rsidP="00C66015">
      <w:pPr>
        <w:pStyle w:val="Item"/>
        <w:rPr>
          <w:i/>
        </w:rPr>
      </w:pPr>
      <w:r w:rsidRPr="006E709F">
        <w:rPr>
          <w:i/>
        </w:rPr>
        <w:t>substitute</w:t>
      </w:r>
    </w:p>
    <w:p w:rsidR="00A37D65" w:rsidRPr="006E709F" w:rsidRDefault="007E5000" w:rsidP="005A44F5">
      <w:pPr>
        <w:pStyle w:val="Specials"/>
      </w:pPr>
      <w:r w:rsidRPr="006E709F">
        <w:t xml:space="preserve">1013L  </w:t>
      </w:r>
      <w:r w:rsidR="00A37D65" w:rsidRPr="006E709F">
        <w:t>When Product Disclosure document may consist of 2 or more documents</w:t>
      </w:r>
    </w:p>
    <w:p w:rsidR="00A37D65" w:rsidRPr="006E709F" w:rsidRDefault="00A37D65" w:rsidP="00A801D0">
      <w:pPr>
        <w:pStyle w:val="subsection"/>
      </w:pPr>
      <w:r w:rsidRPr="006E709F">
        <w:tab/>
      </w:r>
      <w:r w:rsidRPr="006E709F">
        <w:tab/>
        <w:t>A Product Disclosure Statement may consist of 2 or more documents, only if:</w:t>
      </w:r>
    </w:p>
    <w:p w:rsidR="00A37D65" w:rsidRPr="006E709F" w:rsidRDefault="00A37D65" w:rsidP="00A801D0">
      <w:pPr>
        <w:pStyle w:val="paragraph"/>
      </w:pPr>
      <w:r w:rsidRPr="006E709F">
        <w:tab/>
        <w:t>(a)</w:t>
      </w:r>
      <w:r w:rsidRPr="006E709F">
        <w:tab/>
        <w:t>one of the documents is a document that complies with the requirements for a Product Disclosure Statement under this Act and the Regulations; and</w:t>
      </w:r>
    </w:p>
    <w:p w:rsidR="00A37D65" w:rsidRPr="006E709F" w:rsidRDefault="00A37D65" w:rsidP="00A801D0">
      <w:pPr>
        <w:pStyle w:val="paragraph"/>
      </w:pPr>
      <w:r w:rsidRPr="006E709F">
        <w:tab/>
        <w:t>(b)</w:t>
      </w:r>
      <w:r w:rsidRPr="006E709F">
        <w:tab/>
        <w:t xml:space="preserve">the other document or documents contain a matter in writing that is applied, adopted or incorporated by the document mentioned in </w:t>
      </w:r>
      <w:r w:rsidR="00DA13DE" w:rsidRPr="006E709F">
        <w:t>paragraph (</w:t>
      </w:r>
      <w:r w:rsidRPr="006E709F">
        <w:t>a).</w:t>
      </w:r>
    </w:p>
    <w:p w:rsidR="00A37D65" w:rsidRPr="006E709F" w:rsidRDefault="00A37D65" w:rsidP="00C66015">
      <w:pPr>
        <w:pStyle w:val="ItemHead"/>
      </w:pPr>
      <w:r w:rsidRPr="006E709F">
        <w:t>5A.</w:t>
      </w:r>
      <w:r w:rsidR="007E5000" w:rsidRPr="006E709F">
        <w:t xml:space="preserve">6  </w:t>
      </w:r>
      <w:r w:rsidR="00A801D0" w:rsidRPr="006E709F">
        <w:t>Subdivision</w:t>
      </w:r>
      <w:r w:rsidR="00E376FA" w:rsidRPr="006E709F">
        <w:t xml:space="preserve"> </w:t>
      </w:r>
      <w:r w:rsidRPr="006E709F">
        <w:t xml:space="preserve">D, </w:t>
      </w:r>
      <w:r w:rsidR="00A801D0" w:rsidRPr="006E709F">
        <w:t>Division</w:t>
      </w:r>
      <w:r w:rsidR="00DA13DE" w:rsidRPr="006E709F">
        <w:t> </w:t>
      </w:r>
      <w:r w:rsidRPr="006E709F">
        <w:t>2</w:t>
      </w:r>
    </w:p>
    <w:p w:rsidR="00A801D0" w:rsidRPr="006E709F" w:rsidRDefault="00A801D0" w:rsidP="00C66015">
      <w:pPr>
        <w:pStyle w:val="Item"/>
        <w:rPr>
          <w:i/>
        </w:rPr>
      </w:pPr>
      <w:r w:rsidRPr="006E709F">
        <w:rPr>
          <w:i/>
        </w:rPr>
        <w:t>omit</w:t>
      </w:r>
    </w:p>
    <w:p w:rsidR="00A37D65" w:rsidRPr="006E709F" w:rsidRDefault="007E5000" w:rsidP="00C66015">
      <w:pPr>
        <w:pStyle w:val="ItemHead"/>
      </w:pPr>
      <w:r w:rsidRPr="006E709F">
        <w:t xml:space="preserve">5A.7  </w:t>
      </w:r>
      <w:r w:rsidR="00A37D65" w:rsidRPr="006E709F">
        <w:t>Subsection</w:t>
      </w:r>
      <w:r w:rsidR="00DA13DE" w:rsidRPr="006E709F">
        <w:t> </w:t>
      </w:r>
      <w:r w:rsidR="00A37D65" w:rsidRPr="006E709F">
        <w:t>1015D(3)</w:t>
      </w:r>
    </w:p>
    <w:p w:rsidR="00A801D0" w:rsidRPr="006E709F" w:rsidRDefault="00A801D0" w:rsidP="00C66015">
      <w:pPr>
        <w:pStyle w:val="Item"/>
        <w:rPr>
          <w:i/>
        </w:rPr>
      </w:pPr>
      <w:r w:rsidRPr="006E709F">
        <w:rPr>
          <w:i/>
        </w:rPr>
        <w:t>omit</w:t>
      </w:r>
    </w:p>
    <w:p w:rsidR="00A37D65" w:rsidRPr="006E709F" w:rsidRDefault="00A801D0" w:rsidP="00AE08F9">
      <w:pPr>
        <w:pStyle w:val="ActHead2"/>
        <w:pageBreakBefore/>
      </w:pPr>
      <w:bookmarkStart w:id="112" w:name="_Toc160609799"/>
      <w:r w:rsidRPr="000C4237">
        <w:rPr>
          <w:rStyle w:val="CharPartNo"/>
        </w:rPr>
        <w:t>Part</w:t>
      </w:r>
      <w:r w:rsidR="00DA13DE" w:rsidRPr="000C4237">
        <w:rPr>
          <w:rStyle w:val="CharPartNo"/>
        </w:rPr>
        <w:t> </w:t>
      </w:r>
      <w:r w:rsidR="00A37D65" w:rsidRPr="000C4237">
        <w:rPr>
          <w:rStyle w:val="CharPartNo"/>
        </w:rPr>
        <w:t>5B</w:t>
      </w:r>
      <w:r w:rsidRPr="006E709F">
        <w:t>—</w:t>
      </w:r>
      <w:r w:rsidR="00A37D65" w:rsidRPr="000C4237">
        <w:rPr>
          <w:rStyle w:val="CharPartText"/>
        </w:rPr>
        <w:t xml:space="preserve">Modifications for superannuation products to which </w:t>
      </w:r>
      <w:r w:rsidRPr="000C4237">
        <w:rPr>
          <w:rStyle w:val="CharPartText"/>
        </w:rPr>
        <w:t>Subdivision</w:t>
      </w:r>
      <w:r w:rsidR="00DA13DE" w:rsidRPr="000C4237">
        <w:rPr>
          <w:rStyle w:val="CharPartText"/>
        </w:rPr>
        <w:t> </w:t>
      </w:r>
      <w:r w:rsidR="00A37D65" w:rsidRPr="000C4237">
        <w:rPr>
          <w:rStyle w:val="CharPartText"/>
        </w:rPr>
        <w:t xml:space="preserve">4.2B of </w:t>
      </w:r>
      <w:r w:rsidRPr="000C4237">
        <w:rPr>
          <w:rStyle w:val="CharPartText"/>
        </w:rPr>
        <w:t>Division</w:t>
      </w:r>
      <w:r w:rsidR="00DA13DE" w:rsidRPr="000C4237">
        <w:rPr>
          <w:rStyle w:val="CharPartText"/>
        </w:rPr>
        <w:t> </w:t>
      </w:r>
      <w:r w:rsidR="00A37D65" w:rsidRPr="000C4237">
        <w:rPr>
          <w:rStyle w:val="CharPartText"/>
        </w:rPr>
        <w:t xml:space="preserve">4 of </w:t>
      </w:r>
      <w:r w:rsidRPr="000C4237">
        <w:rPr>
          <w:rStyle w:val="CharPartText"/>
        </w:rPr>
        <w:t>Part</w:t>
      </w:r>
      <w:r w:rsidR="00DA13DE" w:rsidRPr="000C4237">
        <w:rPr>
          <w:rStyle w:val="CharPartText"/>
        </w:rPr>
        <w:t> </w:t>
      </w:r>
      <w:r w:rsidR="00A37D65" w:rsidRPr="000C4237">
        <w:rPr>
          <w:rStyle w:val="CharPartText"/>
        </w:rPr>
        <w:t>7.9 applies</w:t>
      </w:r>
      <w:bookmarkEnd w:id="112"/>
    </w:p>
    <w:p w:rsidR="00A37D65" w:rsidRPr="006E709F" w:rsidRDefault="00A801D0" w:rsidP="00A37D65">
      <w:pPr>
        <w:pStyle w:val="Header"/>
      </w:pPr>
      <w:r w:rsidRPr="000C4237">
        <w:rPr>
          <w:rStyle w:val="CharDivNo"/>
        </w:rPr>
        <w:t xml:space="preserve"> </w:t>
      </w:r>
      <w:r w:rsidRPr="000C4237">
        <w:rPr>
          <w:rStyle w:val="CharDivText"/>
        </w:rPr>
        <w:t xml:space="preserve"> </w:t>
      </w:r>
    </w:p>
    <w:p w:rsidR="00A37D65" w:rsidRPr="006E709F" w:rsidRDefault="007E5000" w:rsidP="00C66015">
      <w:pPr>
        <w:pStyle w:val="ItemHead"/>
      </w:pPr>
      <w:r w:rsidRPr="006E709F">
        <w:t xml:space="preserve">5B.2  </w:t>
      </w:r>
      <w:r w:rsidR="00A37D65" w:rsidRPr="006E709F">
        <w:t>Subsection</w:t>
      </w:r>
      <w:r w:rsidR="00DA13DE" w:rsidRPr="006E709F">
        <w:t> </w:t>
      </w:r>
      <w:r w:rsidR="00A37D65" w:rsidRPr="006E709F">
        <w:t>1013C(1)</w:t>
      </w:r>
    </w:p>
    <w:p w:rsidR="00A801D0" w:rsidRPr="006E709F" w:rsidRDefault="00A801D0" w:rsidP="00A801D0">
      <w:pPr>
        <w:pStyle w:val="Item"/>
        <w:rPr>
          <w:i/>
        </w:rPr>
      </w:pPr>
      <w:r w:rsidRPr="006E709F">
        <w:rPr>
          <w:i/>
        </w:rPr>
        <w:t>substitute</w:t>
      </w:r>
    </w:p>
    <w:p w:rsidR="00A37D65" w:rsidRPr="006E709F" w:rsidRDefault="00A37D65" w:rsidP="00A801D0">
      <w:pPr>
        <w:pStyle w:val="subsection"/>
      </w:pPr>
      <w:r w:rsidRPr="006E709F">
        <w:tab/>
        <w:t>(1)</w:t>
      </w:r>
      <w:r w:rsidRPr="006E709F">
        <w:tab/>
        <w:t xml:space="preserve">A Product Disclosure Statement for a superannuation product to which </w:t>
      </w:r>
      <w:r w:rsidR="00A801D0" w:rsidRPr="006E709F">
        <w:t>Subdivision</w:t>
      </w:r>
      <w:r w:rsidR="00DA13DE" w:rsidRPr="006E709F">
        <w:t> </w:t>
      </w:r>
      <w:r w:rsidRPr="006E709F">
        <w:t xml:space="preserve">4.2B of </w:t>
      </w:r>
      <w:r w:rsidR="00A801D0" w:rsidRPr="006E709F">
        <w:t>Division</w:t>
      </w:r>
      <w:r w:rsidR="00DA13DE" w:rsidRPr="006E709F">
        <w:t> </w:t>
      </w:r>
      <w:r w:rsidRPr="006E709F">
        <w:t xml:space="preserve">4 of </w:t>
      </w:r>
      <w:r w:rsidR="00A801D0" w:rsidRPr="006E709F">
        <w:t>Part</w:t>
      </w:r>
      <w:r w:rsidR="00DA13DE" w:rsidRPr="006E709F">
        <w:t> </w:t>
      </w:r>
      <w:r w:rsidRPr="006E709F">
        <w:t xml:space="preserve">7.9 of the </w:t>
      </w:r>
      <w:r w:rsidRPr="006E709F">
        <w:rPr>
          <w:i/>
        </w:rPr>
        <w:t xml:space="preserve">Corporations </w:t>
      </w:r>
      <w:r w:rsidR="000C4237">
        <w:rPr>
          <w:i/>
        </w:rPr>
        <w:t>Regulations 2</w:t>
      </w:r>
      <w:r w:rsidRPr="006E709F">
        <w:rPr>
          <w:i/>
        </w:rPr>
        <w:t>001</w:t>
      </w:r>
      <w:r w:rsidRPr="006E709F">
        <w:t xml:space="preserve"> applies must:</w:t>
      </w:r>
    </w:p>
    <w:p w:rsidR="00A37D65" w:rsidRPr="006E709F" w:rsidRDefault="00A37D65" w:rsidP="00A801D0">
      <w:pPr>
        <w:pStyle w:val="paragraph"/>
      </w:pPr>
      <w:r w:rsidRPr="006E709F">
        <w:tab/>
        <w:t>(a)</w:t>
      </w:r>
      <w:r w:rsidRPr="006E709F">
        <w:tab/>
        <w:t>include the statements and information required by regulations made for this paragraph; and</w:t>
      </w:r>
    </w:p>
    <w:p w:rsidR="00A37D65" w:rsidRPr="006E709F" w:rsidRDefault="00A37D65" w:rsidP="00A801D0">
      <w:pPr>
        <w:pStyle w:val="paragraph"/>
      </w:pPr>
      <w:r w:rsidRPr="006E709F">
        <w:tab/>
        <w:t>(b)</w:t>
      </w:r>
      <w:r w:rsidRPr="006E709F">
        <w:tab/>
        <w:t>be in the form required by regulations made for this paragraph.</w:t>
      </w:r>
    </w:p>
    <w:p w:rsidR="00A37D65" w:rsidRPr="006E709F" w:rsidRDefault="00A37D65" w:rsidP="00A801D0">
      <w:pPr>
        <w:pStyle w:val="subsection"/>
      </w:pPr>
      <w:r w:rsidRPr="006E709F">
        <w:tab/>
        <w:t>(1A)</w:t>
      </w:r>
      <w:r w:rsidRPr="006E709F">
        <w:tab/>
        <w:t>If a law other than this Act or regulations under this Act requires the responsible person for the Product Disclosure Statement:</w:t>
      </w:r>
    </w:p>
    <w:p w:rsidR="00A37D65" w:rsidRPr="006E709F" w:rsidRDefault="00A37D65" w:rsidP="00A801D0">
      <w:pPr>
        <w:pStyle w:val="paragraph"/>
      </w:pPr>
      <w:r w:rsidRPr="006E709F">
        <w:tab/>
        <w:t>(a)</w:t>
      </w:r>
      <w:r w:rsidRPr="006E709F">
        <w:tab/>
        <w:t>to give, disclose or provide a matter; or</w:t>
      </w:r>
    </w:p>
    <w:p w:rsidR="00A37D65" w:rsidRPr="006E709F" w:rsidRDefault="00A37D65" w:rsidP="00A801D0">
      <w:pPr>
        <w:pStyle w:val="paragraph"/>
      </w:pPr>
      <w:r w:rsidRPr="006E709F">
        <w:tab/>
        <w:t>(b)</w:t>
      </w:r>
      <w:r w:rsidRPr="006E709F">
        <w:tab/>
        <w:t>to include a matter in the Statement;</w:t>
      </w:r>
    </w:p>
    <w:p w:rsidR="00A37D65" w:rsidRPr="006E709F" w:rsidRDefault="00A37D65" w:rsidP="00A801D0">
      <w:pPr>
        <w:pStyle w:val="subsection2"/>
      </w:pPr>
      <w:r w:rsidRPr="006E709F">
        <w:t>the Statement may make provision for the matter by applying, adopting or incorporating the matter as in force at a particular time or as in force from time to time.</w:t>
      </w:r>
    </w:p>
    <w:p w:rsidR="00A37D65" w:rsidRPr="006E709F" w:rsidRDefault="00A37D65" w:rsidP="00A801D0">
      <w:pPr>
        <w:pStyle w:val="subsection"/>
      </w:pPr>
      <w:r w:rsidRPr="006E709F">
        <w:tab/>
        <w:t>(1B)</w:t>
      </w:r>
      <w:r w:rsidRPr="006E709F">
        <w:tab/>
        <w:t xml:space="preserve">In addition to </w:t>
      </w:r>
      <w:r w:rsidR="00DA13DE" w:rsidRPr="006E709F">
        <w:t>subsection (</w:t>
      </w:r>
      <w:r w:rsidRPr="006E709F">
        <w:t>1A), a Product Disclosure Statement may make provision for a matter contained in writing by applying, adopting or incorporating the matter as in force at a particular time or as in force from time to time.</w:t>
      </w:r>
    </w:p>
    <w:p w:rsidR="00A37D65" w:rsidRPr="006E709F" w:rsidRDefault="00A37D65" w:rsidP="00A801D0">
      <w:pPr>
        <w:pStyle w:val="subsection"/>
      </w:pPr>
      <w:r w:rsidRPr="006E709F">
        <w:tab/>
        <w:t>(1C)</w:t>
      </w:r>
      <w:r w:rsidRPr="006E709F">
        <w:tab/>
        <w:t>If a Product Disclosure Statement applies, adopts or incorporates a matter contained in writing:</w:t>
      </w:r>
    </w:p>
    <w:p w:rsidR="00A37D65" w:rsidRPr="006E709F" w:rsidRDefault="00A37D65" w:rsidP="00A801D0">
      <w:pPr>
        <w:pStyle w:val="paragraph"/>
      </w:pPr>
      <w:r w:rsidRPr="006E709F">
        <w:tab/>
        <w:t>(a)</w:t>
      </w:r>
      <w:r w:rsidRPr="006E709F">
        <w:tab/>
        <w:t>the applied, adopted or incorporated matter forms part of the Statement; and</w:t>
      </w:r>
    </w:p>
    <w:p w:rsidR="00A37D65" w:rsidRPr="006E709F" w:rsidRDefault="00A37D65" w:rsidP="00A801D0">
      <w:pPr>
        <w:pStyle w:val="paragraph"/>
      </w:pPr>
      <w:r w:rsidRPr="006E709F">
        <w:tab/>
        <w:t>(b)</w:t>
      </w:r>
      <w:r w:rsidRPr="006E709F">
        <w:tab/>
        <w:t>the responsible person for the Statement is not required to give the document which provides for the matter to a person (as part of giving the Statement or later) if that person has not asked for the document; and</w:t>
      </w:r>
    </w:p>
    <w:p w:rsidR="00A37D65" w:rsidRPr="006E709F" w:rsidRDefault="00A37D65" w:rsidP="00A801D0">
      <w:pPr>
        <w:pStyle w:val="paragraph"/>
      </w:pPr>
      <w:r w:rsidRPr="006E709F">
        <w:tab/>
        <w:t>(c)</w:t>
      </w:r>
      <w:r w:rsidRPr="006E709F">
        <w:tab/>
        <w:t>the responsible person for the Statement must give the document which provides for the matter to a person if that person asks for the document.</w:t>
      </w:r>
    </w:p>
    <w:p w:rsidR="00A37D65" w:rsidRPr="006E709F" w:rsidRDefault="00A37D65" w:rsidP="00A801D0">
      <w:pPr>
        <w:pStyle w:val="subsection"/>
      </w:pPr>
      <w:r w:rsidRPr="006E709F">
        <w:tab/>
        <w:t>(1D)</w:t>
      </w:r>
      <w:r w:rsidRPr="006E709F">
        <w:tab/>
        <w:t>The regulations may prescribe requirements for applying, adopting, or incorporating a matter contained in writing in a Product Disclosure Statement.</w:t>
      </w:r>
    </w:p>
    <w:p w:rsidR="00A37D65" w:rsidRPr="006E709F" w:rsidRDefault="00A37D65" w:rsidP="00A801D0">
      <w:pPr>
        <w:pStyle w:val="subsection"/>
      </w:pPr>
      <w:r w:rsidRPr="006E709F">
        <w:tab/>
        <w:t>(1E)</w:t>
      </w:r>
      <w:r w:rsidRPr="006E709F">
        <w:tab/>
        <w:t xml:space="preserve">A Product Disclosure Statement may refer to information, other than information to which </w:t>
      </w:r>
      <w:r w:rsidR="00DA13DE" w:rsidRPr="006E709F">
        <w:t>subsection (</w:t>
      </w:r>
      <w:r w:rsidRPr="006E709F">
        <w:t>1A) or (1B) applies, that is set out in another document; and</w:t>
      </w:r>
    </w:p>
    <w:p w:rsidR="00A37D65" w:rsidRPr="006E709F" w:rsidRDefault="00A37D65" w:rsidP="00A801D0">
      <w:pPr>
        <w:pStyle w:val="subsection"/>
      </w:pPr>
      <w:r w:rsidRPr="006E709F">
        <w:tab/>
        <w:t>(1F)</w:t>
      </w:r>
      <w:r w:rsidRPr="006E709F">
        <w:tab/>
        <w:t xml:space="preserve">If the Product Disclosure Statement refers to other information as permitted by </w:t>
      </w:r>
      <w:r w:rsidR="00DA13DE" w:rsidRPr="006E709F">
        <w:t>subsection (</w:t>
      </w:r>
      <w:r w:rsidRPr="006E709F">
        <w:t>1E), that information does not form part of the Statement.</w:t>
      </w:r>
    </w:p>
    <w:p w:rsidR="00A37D65" w:rsidRPr="006E709F" w:rsidRDefault="00A801D0" w:rsidP="00A801D0">
      <w:pPr>
        <w:pStyle w:val="notetext"/>
      </w:pPr>
      <w:r w:rsidRPr="006E709F">
        <w:t>Note:</w:t>
      </w:r>
      <w:r w:rsidRPr="006E709F">
        <w:tab/>
      </w:r>
      <w:r w:rsidR="00A37D65" w:rsidRPr="006E709F">
        <w:t xml:space="preserve">Although the information mentioned in </w:t>
      </w:r>
      <w:r w:rsidR="00DA13DE" w:rsidRPr="006E709F">
        <w:t>subsection (</w:t>
      </w:r>
      <w:r w:rsidR="00A37D65" w:rsidRPr="006E709F">
        <w:t>1F) would not form part of the Product Disclosure Statement, it would be subject to requirements imposed by the Act or these Regulations such as the prohibition on making misleading or deceptive statements.</w:t>
      </w:r>
    </w:p>
    <w:p w:rsidR="00A37D65" w:rsidRPr="006E709F" w:rsidRDefault="000577C6" w:rsidP="00C66015">
      <w:pPr>
        <w:pStyle w:val="ItemHead"/>
      </w:pPr>
      <w:r w:rsidRPr="006E709F">
        <w:t xml:space="preserve">5B.3  </w:t>
      </w:r>
      <w:r w:rsidR="00A37D65" w:rsidRPr="006E709F">
        <w:t>Section</w:t>
      </w:r>
      <w:r w:rsidR="00DA13DE" w:rsidRPr="006E709F">
        <w:t> </w:t>
      </w:r>
      <w:r w:rsidR="00A37D65" w:rsidRPr="006E709F">
        <w:t>1013D</w:t>
      </w:r>
    </w:p>
    <w:p w:rsidR="00A801D0" w:rsidRPr="006E709F" w:rsidRDefault="00A801D0" w:rsidP="00A801D0">
      <w:pPr>
        <w:pStyle w:val="Item"/>
        <w:rPr>
          <w:i/>
        </w:rPr>
      </w:pPr>
      <w:r w:rsidRPr="006E709F">
        <w:rPr>
          <w:i/>
        </w:rPr>
        <w:t>omit</w:t>
      </w:r>
    </w:p>
    <w:p w:rsidR="00A37D65" w:rsidRPr="006E709F" w:rsidRDefault="000577C6" w:rsidP="00C66015">
      <w:pPr>
        <w:pStyle w:val="ItemHead"/>
      </w:pPr>
      <w:r w:rsidRPr="006E709F">
        <w:t xml:space="preserve">5B.4  </w:t>
      </w:r>
      <w:r w:rsidR="00A37D65" w:rsidRPr="006E709F">
        <w:t>Section</w:t>
      </w:r>
      <w:r w:rsidR="00DA13DE" w:rsidRPr="006E709F">
        <w:t> </w:t>
      </w:r>
      <w:r w:rsidR="00A37D65" w:rsidRPr="006E709F">
        <w:t>1013E</w:t>
      </w:r>
    </w:p>
    <w:p w:rsidR="00A801D0" w:rsidRPr="006E709F" w:rsidRDefault="00A801D0" w:rsidP="00A801D0">
      <w:pPr>
        <w:pStyle w:val="Item"/>
        <w:rPr>
          <w:i/>
        </w:rPr>
      </w:pPr>
      <w:r w:rsidRPr="006E709F">
        <w:rPr>
          <w:i/>
        </w:rPr>
        <w:t>omit</w:t>
      </w:r>
    </w:p>
    <w:p w:rsidR="00A37D65" w:rsidRPr="006E709F" w:rsidRDefault="000577C6" w:rsidP="00C66015">
      <w:pPr>
        <w:pStyle w:val="ItemHead"/>
      </w:pPr>
      <w:r w:rsidRPr="006E709F">
        <w:t xml:space="preserve">5B.5  </w:t>
      </w:r>
      <w:r w:rsidR="00A37D65" w:rsidRPr="006E709F">
        <w:t>Section</w:t>
      </w:r>
      <w:r w:rsidR="00DA13DE" w:rsidRPr="006E709F">
        <w:t> </w:t>
      </w:r>
      <w:r w:rsidR="00A37D65" w:rsidRPr="006E709F">
        <w:t>1013L</w:t>
      </w:r>
    </w:p>
    <w:p w:rsidR="00A801D0" w:rsidRPr="006E709F" w:rsidRDefault="00A801D0" w:rsidP="00C66015">
      <w:pPr>
        <w:pStyle w:val="Item"/>
        <w:rPr>
          <w:i/>
        </w:rPr>
      </w:pPr>
      <w:r w:rsidRPr="006E709F">
        <w:rPr>
          <w:i/>
        </w:rPr>
        <w:t>substitute</w:t>
      </w:r>
    </w:p>
    <w:p w:rsidR="00A37D65" w:rsidRPr="006E709F" w:rsidRDefault="000577C6" w:rsidP="005A44F5">
      <w:pPr>
        <w:pStyle w:val="Specials"/>
      </w:pPr>
      <w:r w:rsidRPr="006E709F">
        <w:t xml:space="preserve">1013L  </w:t>
      </w:r>
      <w:r w:rsidR="00A37D65" w:rsidRPr="006E709F">
        <w:t>When Product Disclosure Statement may consist of 2 or more documents</w:t>
      </w:r>
    </w:p>
    <w:p w:rsidR="00A37D65" w:rsidRPr="006E709F" w:rsidRDefault="00A37D65" w:rsidP="00A801D0">
      <w:pPr>
        <w:pStyle w:val="subsection"/>
      </w:pPr>
      <w:r w:rsidRPr="006E709F">
        <w:tab/>
      </w:r>
      <w:r w:rsidRPr="006E709F">
        <w:tab/>
        <w:t>A Product Disclosure Statement may consist of 2 or more documents only if:</w:t>
      </w:r>
    </w:p>
    <w:p w:rsidR="00A37D65" w:rsidRPr="006E709F" w:rsidRDefault="00A37D65" w:rsidP="00A801D0">
      <w:pPr>
        <w:pStyle w:val="paragraph"/>
      </w:pPr>
      <w:r w:rsidRPr="006E709F">
        <w:tab/>
        <w:t>(a)</w:t>
      </w:r>
      <w:r w:rsidRPr="006E709F">
        <w:tab/>
        <w:t>one of the documents is a document that complies with the requirements for a Product Disclosure Statement under this Act and the Regulations; and</w:t>
      </w:r>
    </w:p>
    <w:p w:rsidR="00A37D65" w:rsidRPr="006E709F" w:rsidRDefault="00A37D65" w:rsidP="00A801D0">
      <w:pPr>
        <w:pStyle w:val="paragraph"/>
      </w:pPr>
      <w:r w:rsidRPr="006E709F">
        <w:tab/>
        <w:t>(b)</w:t>
      </w:r>
      <w:r w:rsidRPr="006E709F">
        <w:tab/>
        <w:t xml:space="preserve">the other document or documents contain a matter in writing that is applied, adopted or incorporated by the document mentioned in </w:t>
      </w:r>
      <w:r w:rsidR="00DA13DE" w:rsidRPr="006E709F">
        <w:t>subparagraph (</w:t>
      </w:r>
      <w:r w:rsidRPr="006E709F">
        <w:t>a).</w:t>
      </w:r>
    </w:p>
    <w:p w:rsidR="00A37D65" w:rsidRPr="006E709F" w:rsidRDefault="000577C6" w:rsidP="00C66015">
      <w:pPr>
        <w:pStyle w:val="ItemHead"/>
      </w:pPr>
      <w:r w:rsidRPr="006E709F">
        <w:t xml:space="preserve">5B.6  </w:t>
      </w:r>
      <w:r w:rsidR="00A37D65" w:rsidRPr="006E709F">
        <w:t>Subsection</w:t>
      </w:r>
      <w:r w:rsidR="00DA13DE" w:rsidRPr="006E709F">
        <w:t> </w:t>
      </w:r>
      <w:r w:rsidR="00A37D65" w:rsidRPr="006E709F">
        <w:t>1015D(3)</w:t>
      </w:r>
    </w:p>
    <w:p w:rsidR="00A801D0" w:rsidRPr="006E709F" w:rsidRDefault="00A801D0" w:rsidP="00C66015">
      <w:pPr>
        <w:pStyle w:val="Item"/>
        <w:rPr>
          <w:i/>
        </w:rPr>
      </w:pPr>
      <w:r w:rsidRPr="006E709F">
        <w:rPr>
          <w:i/>
        </w:rPr>
        <w:t>omit</w:t>
      </w:r>
    </w:p>
    <w:p w:rsidR="00A37D65" w:rsidRPr="006E709F" w:rsidRDefault="00A801D0" w:rsidP="00AE08F9">
      <w:pPr>
        <w:pStyle w:val="ActHead2"/>
        <w:pageBreakBefore/>
      </w:pPr>
      <w:bookmarkStart w:id="113" w:name="_Toc160609800"/>
      <w:r w:rsidRPr="000C4237">
        <w:rPr>
          <w:rStyle w:val="CharPartNo"/>
        </w:rPr>
        <w:t>Part</w:t>
      </w:r>
      <w:r w:rsidR="00DA13DE" w:rsidRPr="000C4237">
        <w:rPr>
          <w:rStyle w:val="CharPartNo"/>
        </w:rPr>
        <w:t> </w:t>
      </w:r>
      <w:r w:rsidR="00A37D65" w:rsidRPr="000C4237">
        <w:rPr>
          <w:rStyle w:val="CharPartNo"/>
        </w:rPr>
        <w:t>5C</w:t>
      </w:r>
      <w:r w:rsidRPr="006E709F">
        <w:t>—</w:t>
      </w:r>
      <w:r w:rsidR="00A37D65" w:rsidRPr="000C4237">
        <w:rPr>
          <w:rStyle w:val="CharPartText"/>
        </w:rPr>
        <w:t>Modifications for simple managed investment scheme</w:t>
      </w:r>
      <w:bookmarkEnd w:id="113"/>
    </w:p>
    <w:p w:rsidR="00A37D65" w:rsidRPr="006E709F" w:rsidRDefault="00A801D0" w:rsidP="00A37D65">
      <w:pPr>
        <w:pStyle w:val="Header"/>
      </w:pPr>
      <w:r w:rsidRPr="000C4237">
        <w:rPr>
          <w:rStyle w:val="CharDivNo"/>
        </w:rPr>
        <w:t xml:space="preserve"> </w:t>
      </w:r>
      <w:r w:rsidRPr="000C4237">
        <w:rPr>
          <w:rStyle w:val="CharDivText"/>
        </w:rPr>
        <w:t xml:space="preserve"> </w:t>
      </w:r>
    </w:p>
    <w:p w:rsidR="00A37D65" w:rsidRPr="006E709F" w:rsidRDefault="00A37D65" w:rsidP="00C66015">
      <w:pPr>
        <w:pStyle w:val="ItemHead"/>
      </w:pPr>
      <w:r w:rsidRPr="006E709F">
        <w:t>5C</w:t>
      </w:r>
      <w:r w:rsidR="000577C6" w:rsidRPr="006E709F">
        <w:t xml:space="preserve">.2  </w:t>
      </w:r>
      <w:r w:rsidRPr="006E709F">
        <w:t>Subsection</w:t>
      </w:r>
      <w:r w:rsidR="00DA13DE" w:rsidRPr="006E709F">
        <w:t> </w:t>
      </w:r>
      <w:r w:rsidRPr="006E709F">
        <w:t>1013C(1)</w:t>
      </w:r>
    </w:p>
    <w:p w:rsidR="00A801D0" w:rsidRPr="006E709F" w:rsidRDefault="00A801D0" w:rsidP="00A801D0">
      <w:pPr>
        <w:pStyle w:val="Item"/>
        <w:rPr>
          <w:i/>
        </w:rPr>
      </w:pPr>
      <w:r w:rsidRPr="006E709F">
        <w:rPr>
          <w:i/>
        </w:rPr>
        <w:t>substitute</w:t>
      </w:r>
    </w:p>
    <w:p w:rsidR="00A37D65" w:rsidRPr="006E709F" w:rsidRDefault="00A37D65" w:rsidP="00A801D0">
      <w:pPr>
        <w:pStyle w:val="subsection"/>
      </w:pPr>
      <w:r w:rsidRPr="006E709F">
        <w:tab/>
        <w:t>(1)</w:t>
      </w:r>
      <w:r w:rsidRPr="006E709F">
        <w:tab/>
        <w:t xml:space="preserve">A Product Disclosure Statement for a simple managed investment scheme to which </w:t>
      </w:r>
      <w:r w:rsidR="00A801D0" w:rsidRPr="006E709F">
        <w:t>Subdivision</w:t>
      </w:r>
      <w:r w:rsidR="00DA13DE" w:rsidRPr="006E709F">
        <w:t> </w:t>
      </w:r>
      <w:r w:rsidRPr="006E709F">
        <w:t xml:space="preserve">4.2C of </w:t>
      </w:r>
      <w:r w:rsidR="00A801D0" w:rsidRPr="006E709F">
        <w:t>Division</w:t>
      </w:r>
      <w:r w:rsidR="00DA13DE" w:rsidRPr="006E709F">
        <w:t> </w:t>
      </w:r>
      <w:r w:rsidRPr="006E709F">
        <w:t xml:space="preserve">4 of </w:t>
      </w:r>
      <w:r w:rsidR="00A801D0" w:rsidRPr="006E709F">
        <w:t>Part</w:t>
      </w:r>
      <w:r w:rsidR="00DA13DE" w:rsidRPr="006E709F">
        <w:t> </w:t>
      </w:r>
      <w:r w:rsidRPr="006E709F">
        <w:t xml:space="preserve">7.9 of the </w:t>
      </w:r>
      <w:r w:rsidRPr="006E709F">
        <w:rPr>
          <w:i/>
        </w:rPr>
        <w:t xml:space="preserve">Corporations </w:t>
      </w:r>
      <w:r w:rsidR="000C4237">
        <w:rPr>
          <w:i/>
        </w:rPr>
        <w:t>Regulations 2</w:t>
      </w:r>
      <w:r w:rsidRPr="006E709F">
        <w:rPr>
          <w:i/>
        </w:rPr>
        <w:t>001</w:t>
      </w:r>
      <w:r w:rsidRPr="006E709F">
        <w:t xml:space="preserve"> applies must:</w:t>
      </w:r>
    </w:p>
    <w:p w:rsidR="00A37D65" w:rsidRPr="006E709F" w:rsidRDefault="00A37D65" w:rsidP="00A801D0">
      <w:pPr>
        <w:pStyle w:val="paragraph"/>
      </w:pPr>
      <w:r w:rsidRPr="006E709F">
        <w:tab/>
        <w:t>(a)</w:t>
      </w:r>
      <w:r w:rsidRPr="006E709F">
        <w:tab/>
        <w:t>include the statements and information required by regulations made for this paragraph; and</w:t>
      </w:r>
    </w:p>
    <w:p w:rsidR="00A37D65" w:rsidRPr="006E709F" w:rsidRDefault="00A37D65" w:rsidP="00A801D0">
      <w:pPr>
        <w:pStyle w:val="paragraph"/>
      </w:pPr>
      <w:r w:rsidRPr="006E709F">
        <w:tab/>
        <w:t>(b)</w:t>
      </w:r>
      <w:r w:rsidRPr="006E709F">
        <w:tab/>
        <w:t>be in the form required by regulations made for this paragraph; and</w:t>
      </w:r>
    </w:p>
    <w:p w:rsidR="00A37D65" w:rsidRPr="006E709F" w:rsidRDefault="00A37D65" w:rsidP="00A801D0">
      <w:pPr>
        <w:pStyle w:val="paragraph"/>
      </w:pPr>
      <w:r w:rsidRPr="006E709F">
        <w:tab/>
        <w:t>(c)</w:t>
      </w:r>
      <w:r w:rsidRPr="006E709F">
        <w:tab/>
        <w:t>relate only to 1 simple managed investment scheme.</w:t>
      </w:r>
    </w:p>
    <w:p w:rsidR="00A37D65" w:rsidRPr="006E709F" w:rsidRDefault="00A37D65" w:rsidP="00A801D0">
      <w:pPr>
        <w:pStyle w:val="subsection"/>
      </w:pPr>
      <w:r w:rsidRPr="006E709F">
        <w:tab/>
        <w:t>(1A)</w:t>
      </w:r>
      <w:r w:rsidRPr="006E709F">
        <w:tab/>
        <w:t>If a law other than this Act or regulations under this Act requires the responsible person for the Product Disclosure Statement:</w:t>
      </w:r>
    </w:p>
    <w:p w:rsidR="00A37D65" w:rsidRPr="006E709F" w:rsidRDefault="00A37D65" w:rsidP="00A801D0">
      <w:pPr>
        <w:pStyle w:val="paragraph"/>
      </w:pPr>
      <w:r w:rsidRPr="006E709F">
        <w:tab/>
        <w:t>(a)</w:t>
      </w:r>
      <w:r w:rsidRPr="006E709F">
        <w:tab/>
        <w:t>to give, disclose or provide a matter; or</w:t>
      </w:r>
    </w:p>
    <w:p w:rsidR="00A37D65" w:rsidRPr="006E709F" w:rsidRDefault="00A37D65" w:rsidP="00A801D0">
      <w:pPr>
        <w:pStyle w:val="paragraph"/>
      </w:pPr>
      <w:r w:rsidRPr="006E709F">
        <w:tab/>
        <w:t>(b)</w:t>
      </w:r>
      <w:r w:rsidRPr="006E709F">
        <w:tab/>
        <w:t>to include a matter in the Statement;</w:t>
      </w:r>
    </w:p>
    <w:p w:rsidR="00A37D65" w:rsidRPr="006E709F" w:rsidRDefault="00A37D65" w:rsidP="00A801D0">
      <w:pPr>
        <w:pStyle w:val="subsection2"/>
      </w:pPr>
      <w:r w:rsidRPr="006E709F">
        <w:t>the Statement may make provision for the matter by applying, adopting or incorporating the matter as in force at a particular time or as in force from time to time.</w:t>
      </w:r>
    </w:p>
    <w:p w:rsidR="00A37D65" w:rsidRPr="006E709F" w:rsidRDefault="00A37D65" w:rsidP="00A801D0">
      <w:pPr>
        <w:pStyle w:val="subsection"/>
      </w:pPr>
      <w:r w:rsidRPr="006E709F">
        <w:tab/>
        <w:t>(1B)</w:t>
      </w:r>
      <w:r w:rsidRPr="006E709F">
        <w:tab/>
        <w:t xml:space="preserve">In addition to </w:t>
      </w:r>
      <w:r w:rsidR="00DA13DE" w:rsidRPr="006E709F">
        <w:t>subsection (</w:t>
      </w:r>
      <w:r w:rsidRPr="006E709F">
        <w:t>1A), a Product Disclosure Statement may make provision for a matter contained in writing by applying, adopting or incorporating the matter as in force at a particular time or as in force from time to time.</w:t>
      </w:r>
    </w:p>
    <w:p w:rsidR="00A37D65" w:rsidRPr="006E709F" w:rsidRDefault="00A37D65" w:rsidP="00A801D0">
      <w:pPr>
        <w:pStyle w:val="subsection"/>
      </w:pPr>
      <w:r w:rsidRPr="006E709F">
        <w:tab/>
        <w:t>(1C)</w:t>
      </w:r>
      <w:r w:rsidRPr="006E709F">
        <w:tab/>
        <w:t>If a Product Disclosure Statement applies, adopts or incorporates a matter contained in writing:</w:t>
      </w:r>
    </w:p>
    <w:p w:rsidR="00A37D65" w:rsidRPr="006E709F" w:rsidRDefault="00A37D65" w:rsidP="00A801D0">
      <w:pPr>
        <w:pStyle w:val="paragraph"/>
      </w:pPr>
      <w:r w:rsidRPr="006E709F">
        <w:tab/>
        <w:t>(a)</w:t>
      </w:r>
      <w:r w:rsidRPr="006E709F">
        <w:tab/>
        <w:t>the applied, adopted or incorporated matter forms part of the Statement; and</w:t>
      </w:r>
    </w:p>
    <w:p w:rsidR="00A37D65" w:rsidRPr="006E709F" w:rsidRDefault="00A37D65" w:rsidP="00A801D0">
      <w:pPr>
        <w:pStyle w:val="paragraph"/>
      </w:pPr>
      <w:r w:rsidRPr="006E709F">
        <w:tab/>
        <w:t>(b)</w:t>
      </w:r>
      <w:r w:rsidRPr="006E709F">
        <w:tab/>
        <w:t>the responsible person for the Statement is not required to give the document which provides for the matter to a person (as part of giving the Statement or later) if that person has not asked for the document; and</w:t>
      </w:r>
    </w:p>
    <w:p w:rsidR="00A37D65" w:rsidRPr="006E709F" w:rsidRDefault="00A37D65" w:rsidP="00A801D0">
      <w:pPr>
        <w:pStyle w:val="paragraph"/>
      </w:pPr>
      <w:r w:rsidRPr="006E709F">
        <w:tab/>
        <w:t>(c)</w:t>
      </w:r>
      <w:r w:rsidRPr="006E709F">
        <w:tab/>
        <w:t>the responsible person for the Statement must give the document which provides for the matter to a person if that person asks for the document.</w:t>
      </w:r>
    </w:p>
    <w:p w:rsidR="00A37D65" w:rsidRPr="006E709F" w:rsidRDefault="00A37D65" w:rsidP="00A801D0">
      <w:pPr>
        <w:pStyle w:val="subsection"/>
      </w:pPr>
      <w:r w:rsidRPr="006E709F">
        <w:tab/>
        <w:t>(1D)</w:t>
      </w:r>
      <w:r w:rsidRPr="006E709F">
        <w:tab/>
        <w:t>The regulations may prescribe requirements for applying, adopting, or incorporating a matter contained in writing in a Product Disclosure Statement.</w:t>
      </w:r>
    </w:p>
    <w:p w:rsidR="00A37D65" w:rsidRPr="006E709F" w:rsidRDefault="00A37D65" w:rsidP="00A801D0">
      <w:pPr>
        <w:pStyle w:val="subsection"/>
      </w:pPr>
      <w:r w:rsidRPr="006E709F">
        <w:tab/>
        <w:t>(1E)</w:t>
      </w:r>
      <w:r w:rsidRPr="006E709F">
        <w:tab/>
        <w:t xml:space="preserve">A Product Disclosure Statement may refer to information, other than information to which </w:t>
      </w:r>
      <w:r w:rsidR="00DA13DE" w:rsidRPr="006E709F">
        <w:t>subsection (</w:t>
      </w:r>
      <w:r w:rsidRPr="006E709F">
        <w:t>1A) or (1B) applies, that is set out in another document; and</w:t>
      </w:r>
    </w:p>
    <w:p w:rsidR="00A37D65" w:rsidRPr="006E709F" w:rsidRDefault="00A37D65" w:rsidP="00A801D0">
      <w:pPr>
        <w:pStyle w:val="subsection"/>
      </w:pPr>
      <w:r w:rsidRPr="006E709F">
        <w:tab/>
        <w:t>(1F)</w:t>
      </w:r>
      <w:r w:rsidRPr="006E709F">
        <w:tab/>
        <w:t xml:space="preserve">If the Product Disclosure Statement refers to other information as permitted by </w:t>
      </w:r>
      <w:r w:rsidR="00DA13DE" w:rsidRPr="006E709F">
        <w:t>subsection (</w:t>
      </w:r>
      <w:r w:rsidRPr="006E709F">
        <w:t>1E), that information does not form part of the Statement.</w:t>
      </w:r>
    </w:p>
    <w:p w:rsidR="00A37D65" w:rsidRPr="006E709F" w:rsidRDefault="00A801D0" w:rsidP="00A801D0">
      <w:pPr>
        <w:pStyle w:val="notetext"/>
      </w:pPr>
      <w:r w:rsidRPr="006E709F">
        <w:t>Note:</w:t>
      </w:r>
      <w:r w:rsidRPr="006E709F">
        <w:tab/>
      </w:r>
      <w:r w:rsidR="00A37D65" w:rsidRPr="006E709F">
        <w:t xml:space="preserve">Although the information mentioned in </w:t>
      </w:r>
      <w:r w:rsidR="00DA13DE" w:rsidRPr="006E709F">
        <w:t>subsection (</w:t>
      </w:r>
      <w:r w:rsidR="00A37D65" w:rsidRPr="006E709F">
        <w:t>1F) would not form part of the Product Disclosure Statement, it would be subject to requirements imposed by the Act or these Regulations such as the prohibition on making misleading or deceptive statements.</w:t>
      </w:r>
    </w:p>
    <w:p w:rsidR="00A37D65" w:rsidRPr="006E709F" w:rsidRDefault="000577C6" w:rsidP="00C66015">
      <w:pPr>
        <w:pStyle w:val="ItemHead"/>
      </w:pPr>
      <w:r w:rsidRPr="006E709F">
        <w:t xml:space="preserve">5C.2  </w:t>
      </w:r>
      <w:r w:rsidR="00A37D65" w:rsidRPr="006E709F">
        <w:t>Section</w:t>
      </w:r>
      <w:r w:rsidR="00DA13DE" w:rsidRPr="006E709F">
        <w:t> </w:t>
      </w:r>
      <w:r w:rsidR="00A37D65" w:rsidRPr="006E709F">
        <w:t>1013D</w:t>
      </w:r>
    </w:p>
    <w:p w:rsidR="00A801D0" w:rsidRPr="006E709F" w:rsidRDefault="00A801D0" w:rsidP="007B59B9">
      <w:pPr>
        <w:pStyle w:val="Item"/>
        <w:keepLines w:val="0"/>
        <w:rPr>
          <w:i/>
        </w:rPr>
      </w:pPr>
      <w:r w:rsidRPr="006E709F">
        <w:rPr>
          <w:i/>
        </w:rPr>
        <w:t>omit</w:t>
      </w:r>
    </w:p>
    <w:p w:rsidR="00A37D65" w:rsidRPr="006E709F" w:rsidRDefault="000577C6" w:rsidP="00C66015">
      <w:pPr>
        <w:pStyle w:val="ItemHead"/>
      </w:pPr>
      <w:r w:rsidRPr="006E709F">
        <w:t xml:space="preserve">5C.3  </w:t>
      </w:r>
      <w:r w:rsidR="00A37D65" w:rsidRPr="006E709F">
        <w:t>Section</w:t>
      </w:r>
      <w:r w:rsidR="00DA13DE" w:rsidRPr="006E709F">
        <w:t> </w:t>
      </w:r>
      <w:r w:rsidR="00A37D65" w:rsidRPr="006E709F">
        <w:t>1013E</w:t>
      </w:r>
    </w:p>
    <w:p w:rsidR="00A801D0" w:rsidRPr="006E709F" w:rsidRDefault="00A801D0" w:rsidP="007B59B9">
      <w:pPr>
        <w:pStyle w:val="Item"/>
        <w:keepLines w:val="0"/>
        <w:rPr>
          <w:i/>
        </w:rPr>
      </w:pPr>
      <w:r w:rsidRPr="006E709F">
        <w:rPr>
          <w:i/>
        </w:rPr>
        <w:t>omit</w:t>
      </w:r>
    </w:p>
    <w:p w:rsidR="00A37D65" w:rsidRPr="006E709F" w:rsidRDefault="000577C6" w:rsidP="00C66015">
      <w:pPr>
        <w:pStyle w:val="ItemHead"/>
      </w:pPr>
      <w:r w:rsidRPr="006E709F">
        <w:t xml:space="preserve">5C.4  </w:t>
      </w:r>
      <w:r w:rsidR="00A37D65" w:rsidRPr="006E709F">
        <w:t>Section</w:t>
      </w:r>
      <w:r w:rsidR="00DA13DE" w:rsidRPr="006E709F">
        <w:t> </w:t>
      </w:r>
      <w:r w:rsidR="00A37D65" w:rsidRPr="006E709F">
        <w:t>1013L</w:t>
      </w:r>
    </w:p>
    <w:p w:rsidR="00A801D0" w:rsidRPr="006E709F" w:rsidRDefault="00A801D0" w:rsidP="00C66015">
      <w:pPr>
        <w:pStyle w:val="Item"/>
        <w:keepLines w:val="0"/>
        <w:rPr>
          <w:i/>
        </w:rPr>
      </w:pPr>
      <w:r w:rsidRPr="006E709F">
        <w:rPr>
          <w:i/>
        </w:rPr>
        <w:t>substitute</w:t>
      </w:r>
    </w:p>
    <w:p w:rsidR="00A37D65" w:rsidRPr="006E709F" w:rsidRDefault="000577C6" w:rsidP="005A44F5">
      <w:pPr>
        <w:pStyle w:val="Specials"/>
      </w:pPr>
      <w:r w:rsidRPr="006E709F">
        <w:t xml:space="preserve">1013L  </w:t>
      </w:r>
      <w:r w:rsidR="00A37D65" w:rsidRPr="006E709F">
        <w:t>When Product Disclosure Statement may consist of 2 or more documents</w:t>
      </w:r>
    </w:p>
    <w:p w:rsidR="00A37D65" w:rsidRPr="006E709F" w:rsidRDefault="00A37D65" w:rsidP="007B59B9">
      <w:pPr>
        <w:pStyle w:val="subsection"/>
      </w:pPr>
      <w:r w:rsidRPr="006E709F">
        <w:tab/>
      </w:r>
      <w:r w:rsidRPr="006E709F">
        <w:tab/>
        <w:t>A Product Disclosure Statement may consist of 2 or more documents only if:</w:t>
      </w:r>
    </w:p>
    <w:p w:rsidR="00A37D65" w:rsidRPr="006E709F" w:rsidRDefault="00A37D65" w:rsidP="007B59B9">
      <w:pPr>
        <w:pStyle w:val="paragraph"/>
      </w:pPr>
      <w:r w:rsidRPr="006E709F">
        <w:tab/>
        <w:t>(a)</w:t>
      </w:r>
      <w:r w:rsidRPr="006E709F">
        <w:tab/>
        <w:t>one of the documents is a document that complies with the requirements for a Product Disclosure Statement under this Act and the Regulations; and</w:t>
      </w:r>
    </w:p>
    <w:p w:rsidR="00A37D65" w:rsidRPr="006E709F" w:rsidRDefault="00A37D65" w:rsidP="007B59B9">
      <w:pPr>
        <w:pStyle w:val="paragraph"/>
      </w:pPr>
      <w:r w:rsidRPr="006E709F">
        <w:tab/>
        <w:t>(b)</w:t>
      </w:r>
      <w:r w:rsidRPr="006E709F">
        <w:tab/>
        <w:t xml:space="preserve">the other document or documents contain a matter in writing that is applied, adopted or incorporated by the document mentioned in </w:t>
      </w:r>
      <w:r w:rsidR="00DA13DE" w:rsidRPr="006E709F">
        <w:t>subparagraph (</w:t>
      </w:r>
      <w:r w:rsidRPr="006E709F">
        <w:t>a).</w:t>
      </w:r>
    </w:p>
    <w:p w:rsidR="00A37D65" w:rsidRPr="006E709F" w:rsidRDefault="000577C6" w:rsidP="00C66015">
      <w:pPr>
        <w:pStyle w:val="ItemHead"/>
      </w:pPr>
      <w:r w:rsidRPr="006E709F">
        <w:t xml:space="preserve">5C.5  </w:t>
      </w:r>
      <w:r w:rsidR="00A37D65" w:rsidRPr="006E709F">
        <w:t>Subsection</w:t>
      </w:r>
      <w:r w:rsidR="00DA13DE" w:rsidRPr="006E709F">
        <w:t> </w:t>
      </w:r>
      <w:r w:rsidR="00A37D65" w:rsidRPr="006E709F">
        <w:t>1015D(3)</w:t>
      </w:r>
    </w:p>
    <w:p w:rsidR="00A801D0" w:rsidRPr="006E709F" w:rsidRDefault="00A801D0" w:rsidP="00C66015">
      <w:pPr>
        <w:pStyle w:val="Item"/>
        <w:keepLines w:val="0"/>
        <w:rPr>
          <w:i/>
        </w:rPr>
      </w:pPr>
      <w:r w:rsidRPr="006E709F">
        <w:rPr>
          <w:i/>
        </w:rPr>
        <w:t>omit</w:t>
      </w:r>
    </w:p>
    <w:p w:rsidR="007D5872" w:rsidRPr="006E709F" w:rsidRDefault="007D5872" w:rsidP="007D5872">
      <w:pPr>
        <w:pStyle w:val="ActHead2"/>
        <w:pageBreakBefore/>
      </w:pPr>
      <w:bookmarkStart w:id="114" w:name="_Toc160609801"/>
      <w:r w:rsidRPr="000C4237">
        <w:rPr>
          <w:rStyle w:val="CharPartNo"/>
        </w:rPr>
        <w:t>Part 5D</w:t>
      </w:r>
      <w:r w:rsidRPr="006E709F">
        <w:t>—</w:t>
      </w:r>
      <w:r w:rsidRPr="000C4237">
        <w:rPr>
          <w:rStyle w:val="CharPartText"/>
        </w:rPr>
        <w:t>Modifications for simple sub</w:t>
      </w:r>
      <w:r w:rsidR="000C4237" w:rsidRPr="000C4237">
        <w:rPr>
          <w:rStyle w:val="CharPartText"/>
        </w:rPr>
        <w:noBreakHyphen/>
      </w:r>
      <w:r w:rsidRPr="000C4237">
        <w:rPr>
          <w:rStyle w:val="CharPartText"/>
        </w:rPr>
        <w:t>fund product</w:t>
      </w:r>
      <w:bookmarkEnd w:id="114"/>
    </w:p>
    <w:p w:rsidR="007D5872" w:rsidRPr="006E709F" w:rsidRDefault="007D5872" w:rsidP="007D5872">
      <w:pPr>
        <w:pStyle w:val="Header"/>
      </w:pPr>
      <w:r w:rsidRPr="000C4237">
        <w:rPr>
          <w:rStyle w:val="CharDivNo"/>
        </w:rPr>
        <w:t xml:space="preserve"> </w:t>
      </w:r>
      <w:r w:rsidRPr="000C4237">
        <w:rPr>
          <w:rStyle w:val="CharDivText"/>
        </w:rPr>
        <w:t xml:space="preserve"> </w:t>
      </w:r>
    </w:p>
    <w:p w:rsidR="007D5872" w:rsidRPr="006E709F" w:rsidRDefault="007D5872" w:rsidP="007D5872">
      <w:pPr>
        <w:pStyle w:val="Specialih"/>
      </w:pPr>
      <w:r w:rsidRPr="006E709F">
        <w:t>5D.2  Subsection 1013C(1)</w:t>
      </w:r>
    </w:p>
    <w:p w:rsidR="007D5872" w:rsidRPr="006E709F" w:rsidRDefault="007D5872" w:rsidP="007D5872">
      <w:pPr>
        <w:pStyle w:val="Item"/>
        <w:rPr>
          <w:i/>
        </w:rPr>
      </w:pPr>
      <w:r w:rsidRPr="006E709F">
        <w:rPr>
          <w:i/>
        </w:rPr>
        <w:t>substitute</w:t>
      </w:r>
    </w:p>
    <w:p w:rsidR="007D5872" w:rsidRPr="006E709F" w:rsidRDefault="007D5872" w:rsidP="007D5872">
      <w:pPr>
        <w:pStyle w:val="subsection"/>
      </w:pPr>
      <w:r w:rsidRPr="006E709F">
        <w:tab/>
        <w:t>(1)</w:t>
      </w:r>
      <w:r w:rsidRPr="006E709F">
        <w:tab/>
        <w:t>A Product Disclosure Statement for a simple sub</w:t>
      </w:r>
      <w:r w:rsidR="000C4237">
        <w:noBreakHyphen/>
      </w:r>
      <w:r w:rsidRPr="006E709F">
        <w:t>fund product, to which Subdivision 4.2D of Division 4 of Part 7.9 of the Regulations applies, for a retail CCIV must:</w:t>
      </w:r>
    </w:p>
    <w:p w:rsidR="007D5872" w:rsidRPr="006E709F" w:rsidRDefault="007D5872" w:rsidP="007D5872">
      <w:pPr>
        <w:pStyle w:val="paragraph"/>
      </w:pPr>
      <w:r w:rsidRPr="006E709F">
        <w:tab/>
        <w:t>(a)</w:t>
      </w:r>
      <w:r w:rsidRPr="006E709F">
        <w:tab/>
        <w:t>include the statements and information required by regulations made for the purposes of this paragraph; and</w:t>
      </w:r>
    </w:p>
    <w:p w:rsidR="007D5872" w:rsidRPr="006E709F" w:rsidRDefault="007D5872" w:rsidP="007D5872">
      <w:pPr>
        <w:pStyle w:val="paragraph"/>
      </w:pPr>
      <w:r w:rsidRPr="006E709F">
        <w:tab/>
        <w:t>(b)</w:t>
      </w:r>
      <w:r w:rsidRPr="006E709F">
        <w:tab/>
        <w:t>be in the form required by regulations made for the purposes of this paragraph; and</w:t>
      </w:r>
    </w:p>
    <w:p w:rsidR="007D5872" w:rsidRPr="006E709F" w:rsidRDefault="007D5872" w:rsidP="007D5872">
      <w:pPr>
        <w:pStyle w:val="paragraph"/>
      </w:pPr>
      <w:r w:rsidRPr="006E709F">
        <w:tab/>
        <w:t>(c)</w:t>
      </w:r>
      <w:r w:rsidRPr="006E709F">
        <w:tab/>
        <w:t>relate only to one sub</w:t>
      </w:r>
      <w:r w:rsidR="000C4237">
        <w:noBreakHyphen/>
      </w:r>
      <w:r w:rsidRPr="006E709F">
        <w:t>fund of the CCIV.</w:t>
      </w:r>
    </w:p>
    <w:p w:rsidR="007D5872" w:rsidRPr="006E709F" w:rsidRDefault="007D5872" w:rsidP="007D5872">
      <w:pPr>
        <w:pStyle w:val="subsection"/>
      </w:pPr>
      <w:r w:rsidRPr="006E709F">
        <w:tab/>
        <w:t>(1A)</w:t>
      </w:r>
      <w:r w:rsidRPr="006E709F">
        <w:tab/>
        <w:t>If a law other than this Act or regulations under this Act requires the responsible person for the Product Disclosure Statement:</w:t>
      </w:r>
    </w:p>
    <w:p w:rsidR="007D5872" w:rsidRPr="006E709F" w:rsidRDefault="007D5872" w:rsidP="007D5872">
      <w:pPr>
        <w:pStyle w:val="paragraph"/>
      </w:pPr>
      <w:r w:rsidRPr="006E709F">
        <w:tab/>
        <w:t>(a)</w:t>
      </w:r>
      <w:r w:rsidRPr="006E709F">
        <w:tab/>
        <w:t>to give, disclose or provide a matter; or</w:t>
      </w:r>
    </w:p>
    <w:p w:rsidR="007D5872" w:rsidRPr="006E709F" w:rsidRDefault="007D5872" w:rsidP="007D5872">
      <w:pPr>
        <w:pStyle w:val="paragraph"/>
      </w:pPr>
      <w:r w:rsidRPr="006E709F">
        <w:tab/>
        <w:t>(b)</w:t>
      </w:r>
      <w:r w:rsidRPr="006E709F">
        <w:tab/>
        <w:t>to include a matter in the Statement;</w:t>
      </w:r>
    </w:p>
    <w:p w:rsidR="007D5872" w:rsidRPr="006E709F" w:rsidRDefault="007D5872" w:rsidP="007D5872">
      <w:pPr>
        <w:pStyle w:val="subsection2"/>
      </w:pPr>
      <w:r w:rsidRPr="006E709F">
        <w:t>the Statement may make provision for the matter by applying, adopting or incorporating the matter as in force at a particular time or as in force from time to time.</w:t>
      </w:r>
    </w:p>
    <w:p w:rsidR="007D5872" w:rsidRPr="006E709F" w:rsidRDefault="007D5872" w:rsidP="007D5872">
      <w:pPr>
        <w:pStyle w:val="subsection"/>
      </w:pPr>
      <w:r w:rsidRPr="006E709F">
        <w:tab/>
        <w:t>(1B)</w:t>
      </w:r>
      <w:r w:rsidRPr="006E709F">
        <w:tab/>
        <w:t>In addition to subsection (1A), a Product Disclosure Statement may make provision for a matter contained in writing by applying, adopting or incorporating the matter as in force at a particular time or as in force from time to time.</w:t>
      </w:r>
    </w:p>
    <w:p w:rsidR="007D5872" w:rsidRPr="006E709F" w:rsidRDefault="007D5872" w:rsidP="007D5872">
      <w:pPr>
        <w:pStyle w:val="subsection"/>
      </w:pPr>
      <w:r w:rsidRPr="006E709F">
        <w:tab/>
        <w:t>(1C)</w:t>
      </w:r>
      <w:r w:rsidRPr="006E709F">
        <w:tab/>
        <w:t>If a Product Disclosure Statement applies, adopts or incorporates a matter contained in writing:</w:t>
      </w:r>
    </w:p>
    <w:p w:rsidR="007D5872" w:rsidRPr="006E709F" w:rsidRDefault="007D5872" w:rsidP="007D5872">
      <w:pPr>
        <w:pStyle w:val="paragraph"/>
      </w:pPr>
      <w:r w:rsidRPr="006E709F">
        <w:tab/>
        <w:t>(a)</w:t>
      </w:r>
      <w:r w:rsidRPr="006E709F">
        <w:tab/>
        <w:t>the applied, adopted or incorporated matter forms part of the Statement; and</w:t>
      </w:r>
    </w:p>
    <w:p w:rsidR="007D5872" w:rsidRPr="006E709F" w:rsidRDefault="007D5872" w:rsidP="007D5872">
      <w:pPr>
        <w:pStyle w:val="paragraph"/>
      </w:pPr>
      <w:r w:rsidRPr="006E709F">
        <w:tab/>
        <w:t>(b)</w:t>
      </w:r>
      <w:r w:rsidRPr="006E709F">
        <w:tab/>
        <w:t>the responsible person for the Statement is not required to give the document that provides for the matter to a person (as part of giving the Statement or later) if that person has not asked for the document; and</w:t>
      </w:r>
    </w:p>
    <w:p w:rsidR="007D5872" w:rsidRPr="006E709F" w:rsidRDefault="007D5872" w:rsidP="007D5872">
      <w:pPr>
        <w:pStyle w:val="paragraph"/>
      </w:pPr>
      <w:r w:rsidRPr="006E709F">
        <w:tab/>
        <w:t>(c)</w:t>
      </w:r>
      <w:r w:rsidRPr="006E709F">
        <w:tab/>
        <w:t>the responsible person for the Statement must give the document that provides for the matter to a person if that person asks for the document.</w:t>
      </w:r>
    </w:p>
    <w:p w:rsidR="007D5872" w:rsidRPr="006E709F" w:rsidRDefault="007D5872" w:rsidP="007D5872">
      <w:pPr>
        <w:pStyle w:val="subsection"/>
      </w:pPr>
      <w:r w:rsidRPr="006E709F">
        <w:tab/>
        <w:t>(1D)</w:t>
      </w:r>
      <w:r w:rsidRPr="006E709F">
        <w:tab/>
        <w:t>The regulations may prescribe requirements for applying, adopting or incorporating a matter contained in writing in a Product Disclosure Statement.</w:t>
      </w:r>
    </w:p>
    <w:p w:rsidR="007D5872" w:rsidRPr="006E709F" w:rsidRDefault="007D5872" w:rsidP="007D5872">
      <w:pPr>
        <w:pStyle w:val="subsection"/>
      </w:pPr>
      <w:r w:rsidRPr="006E709F">
        <w:tab/>
        <w:t>(1E)</w:t>
      </w:r>
      <w:r w:rsidRPr="006E709F">
        <w:tab/>
        <w:t>A Product Disclosure Statement may refer to information, other than information to which subsection (1A) or (1B) applies, that is set out in another document.</w:t>
      </w:r>
    </w:p>
    <w:p w:rsidR="007D5872" w:rsidRPr="006E709F" w:rsidRDefault="007D5872" w:rsidP="007D5872">
      <w:pPr>
        <w:pStyle w:val="subsection"/>
      </w:pPr>
      <w:r w:rsidRPr="006E709F">
        <w:tab/>
        <w:t>(1F)</w:t>
      </w:r>
      <w:r w:rsidRPr="006E709F">
        <w:tab/>
        <w:t>If the Product Disclosure Statement refers to other information as permitted by subsection (1E), that information does not form part of the Statement.</w:t>
      </w:r>
    </w:p>
    <w:p w:rsidR="007D5872" w:rsidRPr="006E709F" w:rsidRDefault="007D5872" w:rsidP="007D5872">
      <w:pPr>
        <w:pStyle w:val="notetext"/>
      </w:pPr>
      <w:r w:rsidRPr="006E709F">
        <w:t>Note:</w:t>
      </w:r>
      <w:r w:rsidRPr="006E709F">
        <w:tab/>
        <w:t>Although the information mentioned in subsection (1F) would not form part of the Product Disclosure Statement, it would be subject to requirements imposed by the Act or the Regulations such as the prohibition on making misleading or deceptive statements.</w:t>
      </w:r>
    </w:p>
    <w:p w:rsidR="007D5872" w:rsidRPr="006E709F" w:rsidRDefault="007D5872" w:rsidP="007D5872">
      <w:pPr>
        <w:pStyle w:val="Specialih"/>
      </w:pPr>
      <w:r w:rsidRPr="006E709F">
        <w:t>5D.3  Section 1013D</w:t>
      </w:r>
    </w:p>
    <w:p w:rsidR="007D5872" w:rsidRPr="006E709F" w:rsidRDefault="007D5872" w:rsidP="007D5872">
      <w:pPr>
        <w:pStyle w:val="Item"/>
        <w:rPr>
          <w:i/>
        </w:rPr>
      </w:pPr>
      <w:r w:rsidRPr="006E709F">
        <w:rPr>
          <w:i/>
        </w:rPr>
        <w:t>omit</w:t>
      </w:r>
    </w:p>
    <w:p w:rsidR="007D5872" w:rsidRPr="006E709F" w:rsidRDefault="007D5872" w:rsidP="007D5872">
      <w:pPr>
        <w:pStyle w:val="Specialih"/>
      </w:pPr>
      <w:r w:rsidRPr="006E709F">
        <w:t>5D.4  Section 1013E</w:t>
      </w:r>
    </w:p>
    <w:p w:rsidR="007D5872" w:rsidRPr="006E709F" w:rsidRDefault="007D5872" w:rsidP="007D5872">
      <w:pPr>
        <w:pStyle w:val="Item"/>
        <w:rPr>
          <w:i/>
        </w:rPr>
      </w:pPr>
      <w:r w:rsidRPr="006E709F">
        <w:rPr>
          <w:i/>
        </w:rPr>
        <w:t>omit</w:t>
      </w:r>
    </w:p>
    <w:p w:rsidR="007D5872" w:rsidRPr="006E709F" w:rsidRDefault="007D5872" w:rsidP="007D5872">
      <w:pPr>
        <w:pStyle w:val="Specialih"/>
      </w:pPr>
      <w:r w:rsidRPr="006E709F">
        <w:t>5D.5  Section 1013L</w:t>
      </w:r>
    </w:p>
    <w:p w:rsidR="007D5872" w:rsidRPr="006E709F" w:rsidRDefault="007D5872" w:rsidP="007D5872">
      <w:pPr>
        <w:pStyle w:val="Item"/>
        <w:rPr>
          <w:i/>
        </w:rPr>
      </w:pPr>
      <w:r w:rsidRPr="006E709F">
        <w:rPr>
          <w:i/>
        </w:rPr>
        <w:t>substitute</w:t>
      </w:r>
    </w:p>
    <w:p w:rsidR="007D5872" w:rsidRPr="006E709F" w:rsidRDefault="007D5872" w:rsidP="007D5872">
      <w:pPr>
        <w:pStyle w:val="Specials"/>
      </w:pPr>
      <w:r w:rsidRPr="006E709F">
        <w:t>1013L  When Product Disclosure Statement may consist of 2 or more documents</w:t>
      </w:r>
    </w:p>
    <w:p w:rsidR="007D5872" w:rsidRPr="006E709F" w:rsidRDefault="007D5872" w:rsidP="007D5872">
      <w:pPr>
        <w:pStyle w:val="subsection"/>
      </w:pPr>
      <w:r w:rsidRPr="006E709F">
        <w:tab/>
      </w:r>
      <w:r w:rsidRPr="006E709F">
        <w:tab/>
        <w:t>A Product Disclosure Statement may consist of 2 or more documents only if:</w:t>
      </w:r>
    </w:p>
    <w:p w:rsidR="007D5872" w:rsidRPr="006E709F" w:rsidRDefault="007D5872" w:rsidP="007D5872">
      <w:pPr>
        <w:pStyle w:val="paragraph"/>
      </w:pPr>
      <w:r w:rsidRPr="006E709F">
        <w:tab/>
        <w:t>(a)</w:t>
      </w:r>
      <w:r w:rsidRPr="006E709F">
        <w:tab/>
        <w:t>one of the documents is a document that complies with the requirements for a Product Disclosure Statement under this Act and the Regulations; and</w:t>
      </w:r>
    </w:p>
    <w:p w:rsidR="007D5872" w:rsidRPr="006E709F" w:rsidRDefault="007D5872" w:rsidP="007D5872">
      <w:pPr>
        <w:pStyle w:val="paragraph"/>
      </w:pPr>
      <w:r w:rsidRPr="006E709F">
        <w:tab/>
        <w:t>(b)</w:t>
      </w:r>
      <w:r w:rsidRPr="006E709F">
        <w:tab/>
        <w:t>the other document or documents contain a matter in writing that is applied, adopted or incorporated by the document mentioned in subparagraph (a).</w:t>
      </w:r>
    </w:p>
    <w:p w:rsidR="007D5872" w:rsidRPr="006E709F" w:rsidRDefault="007D5872" w:rsidP="007D5872">
      <w:pPr>
        <w:pStyle w:val="Specialih"/>
      </w:pPr>
      <w:r w:rsidRPr="006E709F">
        <w:t>5D.6  Subsection 1015D(3)</w:t>
      </w:r>
    </w:p>
    <w:p w:rsidR="007D5872" w:rsidRPr="006E709F" w:rsidRDefault="007D5872" w:rsidP="007D5872">
      <w:pPr>
        <w:pStyle w:val="Item"/>
        <w:rPr>
          <w:i/>
        </w:rPr>
      </w:pPr>
      <w:r w:rsidRPr="006E709F">
        <w:rPr>
          <w:i/>
        </w:rPr>
        <w:t>omit</w:t>
      </w:r>
    </w:p>
    <w:p w:rsidR="002A22A4" w:rsidRPr="006E709F" w:rsidRDefault="00A801D0" w:rsidP="00AE08F9">
      <w:pPr>
        <w:pStyle w:val="ActHead2"/>
        <w:pageBreakBefore/>
      </w:pPr>
      <w:bookmarkStart w:id="115" w:name="_Toc160609802"/>
      <w:r w:rsidRPr="000C4237">
        <w:rPr>
          <w:rStyle w:val="CharPartNo"/>
        </w:rPr>
        <w:t>Part</w:t>
      </w:r>
      <w:r w:rsidR="00DA13DE" w:rsidRPr="000C4237">
        <w:rPr>
          <w:rStyle w:val="CharPartNo"/>
        </w:rPr>
        <w:t> </w:t>
      </w:r>
      <w:r w:rsidR="002A22A4" w:rsidRPr="000C4237">
        <w:rPr>
          <w:rStyle w:val="CharPartNo"/>
        </w:rPr>
        <w:t>6</w:t>
      </w:r>
      <w:r w:rsidRPr="006E709F">
        <w:t>—</w:t>
      </w:r>
      <w:r w:rsidR="002A22A4" w:rsidRPr="000C4237">
        <w:rPr>
          <w:rStyle w:val="CharPartText"/>
        </w:rPr>
        <w:t>Modifications relating to application forms and Product Disclosure Statements for standard employer</w:t>
      </w:r>
      <w:r w:rsidR="000C4237" w:rsidRPr="000C4237">
        <w:rPr>
          <w:rStyle w:val="CharPartText"/>
        </w:rPr>
        <w:noBreakHyphen/>
      </w:r>
      <w:r w:rsidR="002A22A4" w:rsidRPr="000C4237">
        <w:rPr>
          <w:rStyle w:val="CharPartText"/>
        </w:rPr>
        <w:t>sponsor arrangements and successor funds</w:t>
      </w:r>
      <w:bookmarkEnd w:id="115"/>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C66015">
      <w:pPr>
        <w:pStyle w:val="ItemHead"/>
      </w:pPr>
      <w:r w:rsidRPr="006E709F">
        <w:t xml:space="preserve">6.1  </w:t>
      </w:r>
      <w:r w:rsidR="002A22A4" w:rsidRPr="006E709F">
        <w:t>After subsection</w:t>
      </w:r>
      <w:r w:rsidR="00DA13DE" w:rsidRPr="006E709F">
        <w:t> </w:t>
      </w:r>
      <w:r w:rsidR="002A22A4" w:rsidRPr="006E709F">
        <w:t>1016A(2)</w:t>
      </w:r>
    </w:p>
    <w:p w:rsidR="00A801D0" w:rsidRPr="006E709F" w:rsidRDefault="00A801D0" w:rsidP="00C66015">
      <w:pPr>
        <w:pStyle w:val="Item"/>
        <w:keepLines w:val="0"/>
        <w:rPr>
          <w:i/>
        </w:rPr>
      </w:pPr>
      <w:r w:rsidRPr="006E709F">
        <w:rPr>
          <w:i/>
        </w:rPr>
        <w:t>insert</w:t>
      </w:r>
    </w:p>
    <w:p w:rsidR="002A22A4" w:rsidRPr="006E709F" w:rsidRDefault="002A22A4" w:rsidP="00A801D0">
      <w:pPr>
        <w:pStyle w:val="subsection"/>
      </w:pPr>
      <w:r w:rsidRPr="006E709F">
        <w:tab/>
        <w:t>(2A)</w:t>
      </w:r>
      <w:r w:rsidRPr="006E709F">
        <w:tab/>
      </w:r>
      <w:r w:rsidR="00DA13DE" w:rsidRPr="006E709F">
        <w:t>Subsection (</w:t>
      </w:r>
      <w:r w:rsidRPr="006E709F">
        <w:t>2) does not apply in relation to a member who:</w:t>
      </w:r>
    </w:p>
    <w:p w:rsidR="002A22A4" w:rsidRPr="006E709F" w:rsidRDefault="002A22A4" w:rsidP="00A801D0">
      <w:pPr>
        <w:pStyle w:val="paragraph"/>
      </w:pPr>
      <w:r w:rsidRPr="006E709F">
        <w:rPr>
          <w:color w:val="000000"/>
        </w:rPr>
        <w:tab/>
        <w:t>(a)</w:t>
      </w:r>
      <w:r w:rsidRPr="006E709F">
        <w:rPr>
          <w:color w:val="000000"/>
        </w:rPr>
        <w:tab/>
        <w:t>held an interest in a superannuation fund as a standard employer</w:t>
      </w:r>
      <w:r w:rsidR="000C4237">
        <w:rPr>
          <w:color w:val="000000"/>
        </w:rPr>
        <w:noBreakHyphen/>
      </w:r>
      <w:r w:rsidRPr="006E709F">
        <w:rPr>
          <w:color w:val="000000"/>
        </w:rPr>
        <w:t>sponsored member; and</w:t>
      </w:r>
    </w:p>
    <w:p w:rsidR="002A22A4" w:rsidRPr="006E709F" w:rsidRDefault="002A22A4" w:rsidP="00A801D0">
      <w:pPr>
        <w:pStyle w:val="paragraph"/>
      </w:pPr>
      <w:r w:rsidRPr="006E709F">
        <w:tab/>
        <w:t>(b)</w:t>
      </w:r>
      <w:r w:rsidRPr="006E709F">
        <w:tab/>
        <w:t>is issued with an interest in relation to another sub</w:t>
      </w:r>
      <w:r w:rsidR="000C4237">
        <w:noBreakHyphen/>
      </w:r>
      <w:r w:rsidRPr="006E709F">
        <w:t>plan of the superannuation fund as a result of a transfer related to the cessation of the member’s employment with the employer</w:t>
      </w:r>
      <w:r w:rsidR="000C4237">
        <w:noBreakHyphen/>
      </w:r>
      <w:r w:rsidRPr="006E709F">
        <w:t>sponsor.</w:t>
      </w:r>
    </w:p>
    <w:p w:rsidR="002A22A4" w:rsidRPr="006E709F" w:rsidRDefault="000577C6" w:rsidP="00C66015">
      <w:pPr>
        <w:pStyle w:val="ItemHead"/>
      </w:pPr>
      <w:r w:rsidRPr="006E709F">
        <w:t xml:space="preserve">6.2  </w:t>
      </w:r>
      <w:r w:rsidR="002A22A4" w:rsidRPr="006E709F">
        <w:t>After subsection</w:t>
      </w:r>
      <w:r w:rsidR="00DA13DE" w:rsidRPr="006E709F">
        <w:t> </w:t>
      </w:r>
      <w:r w:rsidR="002A22A4" w:rsidRPr="006E709F">
        <w:t>1016A(3)</w:t>
      </w:r>
    </w:p>
    <w:p w:rsidR="00A801D0" w:rsidRPr="006E709F" w:rsidRDefault="00A801D0" w:rsidP="00C66015">
      <w:pPr>
        <w:pStyle w:val="Item"/>
        <w:keepLines w:val="0"/>
        <w:rPr>
          <w:i/>
        </w:rPr>
      </w:pPr>
      <w:r w:rsidRPr="006E709F">
        <w:rPr>
          <w:i/>
        </w:rPr>
        <w:t>insert</w:t>
      </w:r>
    </w:p>
    <w:p w:rsidR="002A22A4" w:rsidRPr="006E709F" w:rsidRDefault="002A22A4" w:rsidP="00A801D0">
      <w:pPr>
        <w:pStyle w:val="subsection"/>
      </w:pPr>
      <w:r w:rsidRPr="006E709F">
        <w:tab/>
        <w:t>(3A)</w:t>
      </w:r>
      <w:r w:rsidRPr="006E709F">
        <w:tab/>
      </w:r>
      <w:r w:rsidR="00DA13DE" w:rsidRPr="006E709F">
        <w:t>Subsection (</w:t>
      </w:r>
      <w:r w:rsidRPr="006E709F">
        <w:t>3) does not apply in relation to a superannuation product if:</w:t>
      </w:r>
    </w:p>
    <w:p w:rsidR="002A22A4" w:rsidRPr="006E709F" w:rsidRDefault="002A22A4" w:rsidP="00A801D0">
      <w:pPr>
        <w:pStyle w:val="paragraph"/>
      </w:pPr>
      <w:r w:rsidRPr="006E709F">
        <w:rPr>
          <w:color w:val="000000"/>
        </w:rPr>
        <w:tab/>
        <w:t>(a)</w:t>
      </w:r>
      <w:r w:rsidRPr="006E709F">
        <w:rPr>
          <w:color w:val="000000"/>
        </w:rPr>
        <w:tab/>
        <w:t>the issuer is a public offer entity that is a successor fund; and</w:t>
      </w:r>
    </w:p>
    <w:p w:rsidR="002A22A4" w:rsidRPr="006E709F" w:rsidRDefault="002A22A4" w:rsidP="00A801D0">
      <w:pPr>
        <w:pStyle w:val="paragraph"/>
      </w:pPr>
      <w:r w:rsidRPr="006E709F">
        <w:tab/>
        <w:t>(b)</w:t>
      </w:r>
      <w:r w:rsidRPr="006E709F">
        <w:tab/>
        <w:t>an employer became a standard employer</w:t>
      </w:r>
      <w:r w:rsidR="000C4237">
        <w:noBreakHyphen/>
      </w:r>
      <w:r w:rsidRPr="006E709F">
        <w:t>sponsor of a fund in the following way:</w:t>
      </w:r>
    </w:p>
    <w:p w:rsidR="0048795D" w:rsidRPr="006E709F" w:rsidRDefault="002A22A4" w:rsidP="00A801D0">
      <w:pPr>
        <w:pStyle w:val="paragraphsub"/>
        <w:rPr>
          <w:color w:val="000000"/>
        </w:rPr>
      </w:pPr>
      <w:r w:rsidRPr="006E709F">
        <w:rPr>
          <w:color w:val="000000"/>
        </w:rPr>
        <w:tab/>
        <w:t>(i)</w:t>
      </w:r>
      <w:r w:rsidRPr="006E709F">
        <w:rPr>
          <w:color w:val="000000"/>
        </w:rPr>
        <w:tab/>
        <w:t>the employer was a standard employer</w:t>
      </w:r>
      <w:r w:rsidR="000C4237">
        <w:rPr>
          <w:color w:val="000000"/>
        </w:rPr>
        <w:noBreakHyphen/>
      </w:r>
      <w:r w:rsidRPr="006E709F">
        <w:rPr>
          <w:color w:val="000000"/>
        </w:rPr>
        <w:t>sponsor of a fund (</w:t>
      </w:r>
      <w:r w:rsidRPr="006E709F">
        <w:rPr>
          <w:b/>
          <w:i/>
          <w:color w:val="000000"/>
        </w:rPr>
        <w:t>fund</w:t>
      </w:r>
      <w:r w:rsidR="00E376FA" w:rsidRPr="006E709F">
        <w:rPr>
          <w:b/>
          <w:i/>
          <w:color w:val="000000"/>
        </w:rPr>
        <w:t xml:space="preserve"> </w:t>
      </w:r>
      <w:r w:rsidRPr="006E709F">
        <w:rPr>
          <w:b/>
          <w:i/>
          <w:color w:val="000000"/>
        </w:rPr>
        <w:t>1</w:t>
      </w:r>
      <w:r w:rsidRPr="006E709F">
        <w:rPr>
          <w:color w:val="000000"/>
        </w:rPr>
        <w:t>);</w:t>
      </w:r>
    </w:p>
    <w:p w:rsidR="0048795D" w:rsidRPr="006E709F" w:rsidRDefault="002A22A4" w:rsidP="00A801D0">
      <w:pPr>
        <w:pStyle w:val="paragraphsub"/>
      </w:pPr>
      <w:r w:rsidRPr="006E709F">
        <w:tab/>
        <w:t>(ii)</w:t>
      </w:r>
      <w:r w:rsidRPr="006E709F">
        <w:tab/>
        <w:t>the benefits of members in fund</w:t>
      </w:r>
      <w:r w:rsidR="00E376FA" w:rsidRPr="006E709F">
        <w:t xml:space="preserve"> </w:t>
      </w:r>
      <w:r w:rsidRPr="006E709F">
        <w:t>1 were transferred to a successor fund;</w:t>
      </w:r>
    </w:p>
    <w:p w:rsidR="0048795D" w:rsidRPr="006E709F" w:rsidRDefault="002A22A4" w:rsidP="00A801D0">
      <w:pPr>
        <w:pStyle w:val="paragraphsub"/>
      </w:pPr>
      <w:r w:rsidRPr="006E709F">
        <w:tab/>
        <w:t>(iii)</w:t>
      </w:r>
      <w:r w:rsidRPr="006E709F">
        <w:tab/>
        <w:t>the employer was a standard employer</w:t>
      </w:r>
      <w:r w:rsidR="000C4237">
        <w:noBreakHyphen/>
      </w:r>
      <w:r w:rsidRPr="006E709F">
        <w:t>sponsor of fund</w:t>
      </w:r>
      <w:r w:rsidR="00E376FA" w:rsidRPr="006E709F">
        <w:t xml:space="preserve"> </w:t>
      </w:r>
      <w:r w:rsidRPr="006E709F">
        <w:t>1 immediately before those benefits were so transferred;</w:t>
      </w:r>
    </w:p>
    <w:p w:rsidR="0048795D" w:rsidRPr="006E709F" w:rsidRDefault="002A22A4" w:rsidP="00A801D0">
      <w:pPr>
        <w:pStyle w:val="paragraphsub"/>
      </w:pPr>
      <w:r w:rsidRPr="006E709F">
        <w:tab/>
        <w:t>(iv)</w:t>
      </w:r>
      <w:r w:rsidRPr="006E709F">
        <w:tab/>
        <w:t>the employer was a standard employer</w:t>
      </w:r>
      <w:r w:rsidR="000C4237">
        <w:noBreakHyphen/>
      </w:r>
      <w:r w:rsidRPr="006E709F">
        <w:t>sponsor of the successor fund immediately after those benefits were so transferred.</w:t>
      </w:r>
    </w:p>
    <w:p w:rsidR="002A22A4" w:rsidRPr="006E709F" w:rsidRDefault="000577C6" w:rsidP="00C66015">
      <w:pPr>
        <w:pStyle w:val="ItemHead"/>
      </w:pPr>
      <w:r w:rsidRPr="006E709F">
        <w:t xml:space="preserve">6.3  </w:t>
      </w:r>
      <w:r w:rsidR="002A22A4" w:rsidRPr="006E709F">
        <w:t>After subsection</w:t>
      </w:r>
      <w:r w:rsidR="00DA13DE" w:rsidRPr="006E709F">
        <w:t> </w:t>
      </w:r>
      <w:r w:rsidR="002A22A4" w:rsidRPr="006E709F">
        <w:t>1012D(9)</w:t>
      </w:r>
    </w:p>
    <w:p w:rsidR="00A801D0" w:rsidRPr="006E709F" w:rsidRDefault="00A801D0" w:rsidP="00C66015">
      <w:pPr>
        <w:pStyle w:val="Item"/>
        <w:keepLines w:val="0"/>
        <w:rPr>
          <w:i/>
        </w:rPr>
      </w:pPr>
      <w:r w:rsidRPr="006E709F">
        <w:rPr>
          <w:i/>
        </w:rPr>
        <w:t>insert</w:t>
      </w:r>
    </w:p>
    <w:p w:rsidR="002A22A4" w:rsidRPr="006E709F" w:rsidRDefault="002A22A4" w:rsidP="00A801D0">
      <w:pPr>
        <w:pStyle w:val="SubsectionHead"/>
      </w:pPr>
      <w:r w:rsidRPr="006E709F">
        <w:t>Recommendation, issue or sale situation</w:t>
      </w:r>
      <w:r w:rsidR="00A801D0" w:rsidRPr="006E709F">
        <w:t>—</w:t>
      </w:r>
      <w:r w:rsidRPr="006E709F">
        <w:t>successor fund</w:t>
      </w:r>
    </w:p>
    <w:p w:rsidR="002A22A4" w:rsidRPr="006E709F" w:rsidRDefault="002A22A4" w:rsidP="00A801D0">
      <w:pPr>
        <w:pStyle w:val="subsection"/>
      </w:pPr>
      <w:r w:rsidRPr="006E709F">
        <w:tab/>
        <w:t>(9A)</w:t>
      </w:r>
      <w:r w:rsidRPr="006E709F">
        <w:tab/>
        <w:t>In a recommendation situation, issue situation or sale situation, a regulated person does not have to give the client a Product Disclosure Statement if:</w:t>
      </w:r>
    </w:p>
    <w:p w:rsidR="0048795D" w:rsidRPr="006E709F" w:rsidRDefault="002A22A4" w:rsidP="00A801D0">
      <w:pPr>
        <w:pStyle w:val="paragraph"/>
      </w:pPr>
      <w:r w:rsidRPr="006E709F">
        <w:tab/>
        <w:t>(a)</w:t>
      </w:r>
      <w:r w:rsidRPr="006E709F">
        <w:tab/>
        <w:t xml:space="preserve">the financial product is an </w:t>
      </w:r>
      <w:r w:rsidR="00DC2EB7" w:rsidRPr="00BE1284">
        <w:t>RSA</w:t>
      </w:r>
      <w:r w:rsidRPr="006E709F">
        <w:t>; and</w:t>
      </w:r>
    </w:p>
    <w:p w:rsidR="002A22A4" w:rsidRPr="006E709F" w:rsidRDefault="002A22A4" w:rsidP="00A801D0">
      <w:pPr>
        <w:pStyle w:val="paragraph"/>
      </w:pPr>
      <w:r w:rsidRPr="006E709F">
        <w:tab/>
        <w:t>(b)</w:t>
      </w:r>
      <w:r w:rsidRPr="006E709F">
        <w:tab/>
        <w:t>subsection</w:t>
      </w:r>
      <w:r w:rsidR="00DA13DE" w:rsidRPr="006E709F">
        <w:t> </w:t>
      </w:r>
      <w:r w:rsidRPr="006E709F">
        <w:t>1012I(2) applies.</w:t>
      </w:r>
    </w:p>
    <w:p w:rsidR="00C01C82" w:rsidRPr="006E709F" w:rsidRDefault="00C01C82" w:rsidP="00896D83">
      <w:pPr>
        <w:pStyle w:val="ActHead2"/>
        <w:pageBreakBefore/>
      </w:pPr>
      <w:bookmarkStart w:id="116" w:name="_Toc160609803"/>
      <w:r w:rsidRPr="000C4237">
        <w:rPr>
          <w:rStyle w:val="CharPartNo"/>
        </w:rPr>
        <w:t>Part</w:t>
      </w:r>
      <w:r w:rsidR="00DA13DE" w:rsidRPr="000C4237">
        <w:rPr>
          <w:rStyle w:val="CharPartNo"/>
        </w:rPr>
        <w:t> </w:t>
      </w:r>
      <w:r w:rsidRPr="000C4237">
        <w:rPr>
          <w:rStyle w:val="CharPartNo"/>
        </w:rPr>
        <w:t>6A</w:t>
      </w:r>
      <w:r w:rsidRPr="006E709F">
        <w:t>—</w:t>
      </w:r>
      <w:r w:rsidRPr="000C4237">
        <w:rPr>
          <w:rStyle w:val="CharPartText"/>
        </w:rPr>
        <w:t>Modifications relating to MySuper measures</w:t>
      </w:r>
      <w:bookmarkEnd w:id="116"/>
    </w:p>
    <w:p w:rsidR="00C01C82" w:rsidRPr="006E709F" w:rsidRDefault="00C01C82" w:rsidP="00C01C82">
      <w:pPr>
        <w:pStyle w:val="Header"/>
      </w:pPr>
      <w:r w:rsidRPr="000C4237">
        <w:rPr>
          <w:rStyle w:val="CharDivNo"/>
        </w:rPr>
        <w:t xml:space="preserve"> </w:t>
      </w:r>
      <w:r w:rsidRPr="000C4237">
        <w:rPr>
          <w:rStyle w:val="CharDivText"/>
        </w:rPr>
        <w:t xml:space="preserve"> </w:t>
      </w:r>
    </w:p>
    <w:p w:rsidR="00C01C82" w:rsidRPr="006E709F" w:rsidRDefault="00C01C82" w:rsidP="00C01C82">
      <w:pPr>
        <w:pStyle w:val="ItemHead"/>
      </w:pPr>
      <w:r w:rsidRPr="006E709F">
        <w:t>6A.1  After subsection</w:t>
      </w:r>
      <w:r w:rsidR="00DA13DE" w:rsidRPr="006E709F">
        <w:t> </w:t>
      </w:r>
      <w:r w:rsidRPr="006E709F">
        <w:t>1017BA(4)</w:t>
      </w:r>
    </w:p>
    <w:p w:rsidR="00C01C82" w:rsidRPr="006E709F" w:rsidRDefault="00C01C82" w:rsidP="00C01C82">
      <w:pPr>
        <w:pStyle w:val="Item"/>
      </w:pPr>
      <w:r w:rsidRPr="006E709F">
        <w:t>Insert:</w:t>
      </w:r>
    </w:p>
    <w:p w:rsidR="00C01C82" w:rsidRPr="006E709F" w:rsidRDefault="00C01C82" w:rsidP="00C01C82">
      <w:pPr>
        <w:pStyle w:val="subsection"/>
      </w:pPr>
      <w:r w:rsidRPr="006E709F">
        <w:tab/>
        <w:t>(4AA)</w:t>
      </w:r>
      <w:r w:rsidRPr="006E709F">
        <w:tab/>
        <w:t>Despite paragraph</w:t>
      </w:r>
      <w:r w:rsidR="00DA13DE" w:rsidRPr="006E709F">
        <w:t> </w:t>
      </w:r>
      <w:r w:rsidRPr="006E709F">
        <w:t>1539(a) of the Act, this section applies, to the extent that it relates to MySuper products, on and after 31</w:t>
      </w:r>
      <w:r w:rsidR="00DA13DE" w:rsidRPr="006E709F">
        <w:t> </w:t>
      </w:r>
      <w:r w:rsidRPr="006E709F">
        <w:t>December 2013.</w:t>
      </w:r>
    </w:p>
    <w:p w:rsidR="002A22A4" w:rsidRPr="006E709F" w:rsidRDefault="00A801D0" w:rsidP="00A801D0">
      <w:pPr>
        <w:pStyle w:val="ActHead2"/>
        <w:pageBreakBefore/>
      </w:pPr>
      <w:bookmarkStart w:id="117" w:name="_Toc160609804"/>
      <w:r w:rsidRPr="000C4237">
        <w:rPr>
          <w:rStyle w:val="CharPartNo"/>
        </w:rPr>
        <w:t>Part</w:t>
      </w:r>
      <w:r w:rsidR="00DA13DE" w:rsidRPr="000C4237">
        <w:rPr>
          <w:rStyle w:val="CharPartNo"/>
        </w:rPr>
        <w:t> </w:t>
      </w:r>
      <w:r w:rsidR="002A22A4" w:rsidRPr="000C4237">
        <w:rPr>
          <w:rStyle w:val="CharPartNo"/>
        </w:rPr>
        <w:t>7</w:t>
      </w:r>
      <w:r w:rsidRPr="006E709F">
        <w:t>—</w:t>
      </w:r>
      <w:r w:rsidR="002A22A4" w:rsidRPr="000C4237">
        <w:rPr>
          <w:rStyle w:val="CharPartText"/>
        </w:rPr>
        <w:t>Modifications relating to life pensioners, members subject to compulsory protection of small amounts and members with small amounts that are expected to grow quickly</w:t>
      </w:r>
      <w:bookmarkEnd w:id="117"/>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DD3819">
      <w:pPr>
        <w:pStyle w:val="ItemHead"/>
      </w:pPr>
      <w:r w:rsidRPr="006E709F">
        <w:t xml:space="preserve">7.1  </w:t>
      </w:r>
      <w:r w:rsidR="002A22A4" w:rsidRPr="006E709F">
        <w:t>After subsection</w:t>
      </w:r>
      <w:r w:rsidR="00DA13DE" w:rsidRPr="006E709F">
        <w:t> </w:t>
      </w:r>
      <w:r w:rsidR="002A22A4" w:rsidRPr="006E709F">
        <w:t>1017D(7)</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(8)</w:t>
      </w:r>
      <w:r w:rsidRPr="006E709F">
        <w:tab/>
        <w:t>The trustee of a fund need not give a periodic statement or other information to a member:</w:t>
      </w:r>
    </w:p>
    <w:p w:rsidR="002A22A4" w:rsidRPr="006E709F" w:rsidRDefault="002A22A4" w:rsidP="00A801D0">
      <w:pPr>
        <w:pStyle w:val="paragraph"/>
      </w:pPr>
      <w:r w:rsidRPr="006E709F">
        <w:tab/>
        <w:t>(a)</w:t>
      </w:r>
      <w:r w:rsidRPr="006E709F">
        <w:tab/>
        <w:t>in relation to any period during which the member is a life pensioner of the fund; or</w:t>
      </w:r>
    </w:p>
    <w:p w:rsidR="002A22A4" w:rsidRPr="006E709F" w:rsidRDefault="002A22A4" w:rsidP="00A801D0">
      <w:pPr>
        <w:pStyle w:val="paragraph"/>
      </w:pPr>
      <w:r w:rsidRPr="006E709F">
        <w:tab/>
        <w:t>(b)</w:t>
      </w:r>
      <w:r w:rsidRPr="006E709F">
        <w:tab/>
        <w:t>if the member is a pensioner of the fund, and has requested that that information not be provided.</w:t>
      </w:r>
    </w:p>
    <w:p w:rsidR="002A22A4" w:rsidRPr="006E709F" w:rsidRDefault="002A22A4" w:rsidP="00A801D0">
      <w:pPr>
        <w:pStyle w:val="subsection"/>
      </w:pPr>
      <w:r w:rsidRPr="006E709F">
        <w:tab/>
        <w:t>(9)</w:t>
      </w:r>
      <w:r w:rsidRPr="006E709F">
        <w:tab/>
      </w:r>
      <w:r w:rsidR="00DA13DE" w:rsidRPr="006E709F">
        <w:t>Subsection (</w:t>
      </w:r>
      <w:r w:rsidRPr="006E709F">
        <w:t>8) does not apply to information mentioned in sub</w:t>
      </w:r>
      <w:r w:rsidR="005378CE" w:rsidRPr="006E709F">
        <w:t>regulation 7</w:t>
      </w:r>
      <w:r w:rsidRPr="006E709F">
        <w:t xml:space="preserve">.9.21A(1) of the </w:t>
      </w:r>
      <w:r w:rsidRPr="006E709F">
        <w:rPr>
          <w:i/>
        </w:rPr>
        <w:t xml:space="preserve">Corporations </w:t>
      </w:r>
      <w:r w:rsidR="000C4237">
        <w:rPr>
          <w:i/>
        </w:rPr>
        <w:t>Regulations 2</w:t>
      </w:r>
      <w:r w:rsidRPr="006E709F">
        <w:rPr>
          <w:i/>
        </w:rPr>
        <w:t>001</w:t>
      </w:r>
      <w:r w:rsidRPr="006E709F">
        <w:t>.</w:t>
      </w:r>
    </w:p>
    <w:p w:rsidR="002A22A4" w:rsidRPr="006E709F" w:rsidRDefault="002A22A4" w:rsidP="00A801D0">
      <w:pPr>
        <w:pStyle w:val="subsection"/>
      </w:pPr>
      <w:r w:rsidRPr="006E709F">
        <w:tab/>
        <w:t>(10)</w:t>
      </w:r>
      <w:r w:rsidRPr="006E709F">
        <w:tab/>
        <w:t>If, at the end of a reporting period, a member of a regulated superannuation fund is a protected member, the trustee need give the member only the following information in the periodic statement for that reporting period:</w:t>
      </w:r>
    </w:p>
    <w:p w:rsidR="0048795D" w:rsidRPr="006E709F" w:rsidRDefault="002A22A4" w:rsidP="00A801D0">
      <w:pPr>
        <w:pStyle w:val="paragraph"/>
      </w:pPr>
      <w:r w:rsidRPr="006E709F">
        <w:tab/>
        <w:t>(a)</w:t>
      </w:r>
      <w:r w:rsidRPr="006E709F">
        <w:tab/>
        <w:t>the contact details of the fund;</w:t>
      </w:r>
    </w:p>
    <w:p w:rsidR="002A22A4" w:rsidRPr="006E709F" w:rsidRDefault="002A22A4" w:rsidP="00A801D0">
      <w:pPr>
        <w:pStyle w:val="paragraph"/>
      </w:pPr>
      <w:r w:rsidRPr="006E709F">
        <w:tab/>
        <w:t>(b)</w:t>
      </w:r>
      <w:r w:rsidRPr="006E709F">
        <w:tab/>
        <w:t>either:</w:t>
      </w:r>
    </w:p>
    <w:p w:rsidR="002A22A4" w:rsidRPr="006E709F" w:rsidRDefault="002A22A4" w:rsidP="00A801D0">
      <w:pPr>
        <w:pStyle w:val="paragraphsub"/>
      </w:pPr>
      <w:r w:rsidRPr="006E709F">
        <w:tab/>
        <w:t>(i)</w:t>
      </w:r>
      <w:r w:rsidRPr="006E709F">
        <w:tab/>
        <w:t>the amount of the member’s withdrawal benefit at the end of the reporting period; or</w:t>
      </w:r>
    </w:p>
    <w:p w:rsidR="0048795D" w:rsidRPr="006E709F" w:rsidRDefault="002A22A4" w:rsidP="00A801D0">
      <w:pPr>
        <w:pStyle w:val="paragraphsub"/>
      </w:pPr>
      <w:r w:rsidRPr="006E709F">
        <w:tab/>
        <w:t>(ii)</w:t>
      </w:r>
      <w:r w:rsidRPr="006E709F">
        <w:tab/>
        <w:t>the total of the amounts that have been received by the fund in respect of the member;</w:t>
      </w:r>
    </w:p>
    <w:p w:rsidR="002A22A4" w:rsidRPr="006E709F" w:rsidRDefault="002A22A4" w:rsidP="00A801D0">
      <w:pPr>
        <w:pStyle w:val="paragraph"/>
      </w:pPr>
      <w:r w:rsidRPr="006E709F">
        <w:tab/>
        <w:t>(c)</w:t>
      </w:r>
      <w:r w:rsidRPr="006E709F">
        <w:tab/>
        <w:t>in so far as applicable, the information mentioned in sub</w:t>
      </w:r>
      <w:r w:rsidR="005378CE" w:rsidRPr="006E709F">
        <w:t>regulation 7</w:t>
      </w:r>
      <w:r w:rsidRPr="006E709F">
        <w:t xml:space="preserve">.9.21(1) of the </w:t>
      </w:r>
      <w:r w:rsidRPr="006E709F">
        <w:rPr>
          <w:i/>
        </w:rPr>
        <w:t xml:space="preserve">Corporations </w:t>
      </w:r>
      <w:r w:rsidR="000C4237">
        <w:rPr>
          <w:i/>
        </w:rPr>
        <w:t>Regulations 2</w:t>
      </w:r>
      <w:r w:rsidRPr="006E709F">
        <w:rPr>
          <w:i/>
        </w:rPr>
        <w:t>001</w:t>
      </w:r>
      <w:r w:rsidRPr="006E709F">
        <w:t>.</w:t>
      </w:r>
    </w:p>
    <w:p w:rsidR="002A22A4" w:rsidRPr="006E709F" w:rsidRDefault="002A22A4" w:rsidP="00A801D0">
      <w:pPr>
        <w:pStyle w:val="subsection"/>
      </w:pPr>
      <w:r w:rsidRPr="006E709F">
        <w:tab/>
        <w:t>(11)</w:t>
      </w:r>
      <w:r w:rsidRPr="006E709F">
        <w:tab/>
        <w:t xml:space="preserve">If, in relation to a member of a fund, the trustee of the fund takes advantage of </w:t>
      </w:r>
      <w:r w:rsidR="00DA13DE" w:rsidRPr="006E709F">
        <w:t>subsections (</w:t>
      </w:r>
      <w:r w:rsidRPr="006E709F">
        <w:t xml:space="preserve">12) to (15), the trustee must not, in relation to that member, take advantage of </w:t>
      </w:r>
      <w:r w:rsidR="00DA13DE" w:rsidRPr="006E709F">
        <w:t>subsection (</w:t>
      </w:r>
      <w:r w:rsidRPr="006E709F">
        <w:t>10).</w:t>
      </w:r>
    </w:p>
    <w:p w:rsidR="002A22A4" w:rsidRPr="006E709F" w:rsidRDefault="002A22A4" w:rsidP="00A801D0">
      <w:pPr>
        <w:pStyle w:val="subsection"/>
      </w:pPr>
      <w:r w:rsidRPr="006E709F">
        <w:tab/>
        <w:t>(12)</w:t>
      </w:r>
      <w:r w:rsidRPr="006E709F">
        <w:tab/>
        <w:t>If, at the end of a reporting period, the trustee of a fund has a reasonable expectation that a particular protected member will have a withdrawal benefit of at least $1</w:t>
      </w:r>
      <w:r w:rsidR="00DA13DE" w:rsidRPr="006E709F">
        <w:t> </w:t>
      </w:r>
      <w:r w:rsidRPr="006E709F">
        <w:t>500 within 12 months after the end of that reporting period, the trustee need not show, in the periodic statement, the effect of the member</w:t>
      </w:r>
      <w:r w:rsidR="000C4237">
        <w:noBreakHyphen/>
      </w:r>
      <w:r w:rsidRPr="006E709F">
        <w:t>protection standards.</w:t>
      </w:r>
    </w:p>
    <w:p w:rsidR="002A22A4" w:rsidRPr="006E709F" w:rsidRDefault="002A22A4" w:rsidP="00A801D0">
      <w:pPr>
        <w:pStyle w:val="subsection"/>
      </w:pPr>
      <w:r w:rsidRPr="006E709F">
        <w:tab/>
        <w:t>(13)</w:t>
      </w:r>
      <w:r w:rsidRPr="006E709F">
        <w:tab/>
        <w:t xml:space="preserve">For </w:t>
      </w:r>
      <w:r w:rsidR="00DA13DE" w:rsidRPr="006E709F">
        <w:t>subsection (</w:t>
      </w:r>
      <w:r w:rsidRPr="006E709F">
        <w:t>12), a trustee is not taken to have a reasonable expectation that a member will have a withdrawal benefit of at least $1</w:t>
      </w:r>
      <w:r w:rsidR="00DA13DE" w:rsidRPr="006E709F">
        <w:t> </w:t>
      </w:r>
      <w:r w:rsidRPr="006E709F">
        <w:t>500 within the period of 12 months referred to in that subsection if termination of the member’s employment with a current employer (not being an employer who or that is an associate, within the meaning of paragraph</w:t>
      </w:r>
      <w:r w:rsidR="00DA13DE" w:rsidRPr="006E709F">
        <w:t> </w:t>
      </w:r>
      <w:r w:rsidRPr="006E709F">
        <w:t>70(a) of the SIS Act, of the member) would be likely to result in the member’s withdrawal benefit being below $1</w:t>
      </w:r>
      <w:r w:rsidR="00DA13DE" w:rsidRPr="006E709F">
        <w:t> </w:t>
      </w:r>
      <w:r w:rsidRPr="006E709F">
        <w:t>500 at the end of that period.</w:t>
      </w:r>
    </w:p>
    <w:p w:rsidR="002A22A4" w:rsidRPr="006E709F" w:rsidRDefault="002A22A4" w:rsidP="00A801D0">
      <w:pPr>
        <w:pStyle w:val="subsection"/>
      </w:pPr>
      <w:r w:rsidRPr="006E709F">
        <w:tab/>
        <w:t>(14)</w:t>
      </w:r>
      <w:r w:rsidRPr="006E709F">
        <w:tab/>
        <w:t>If, at the end of the 12</w:t>
      </w:r>
      <w:r w:rsidR="000C4237">
        <w:noBreakHyphen/>
      </w:r>
      <w:r w:rsidRPr="006E709F">
        <w:t>month period, the member’s withdrawal benefit has not reached $1</w:t>
      </w:r>
      <w:r w:rsidR="00DA13DE" w:rsidRPr="006E709F">
        <w:t> </w:t>
      </w:r>
      <w:r w:rsidRPr="006E709F">
        <w:t>500, the trustee must show, in the periodic statement provided to the member for each reporting period ending on or after the end of the 12</w:t>
      </w:r>
      <w:r w:rsidR="000C4237">
        <w:noBreakHyphen/>
      </w:r>
      <w:r w:rsidRPr="006E709F">
        <w:t>month period, the effect of the member</w:t>
      </w:r>
      <w:r w:rsidR="000C4237">
        <w:noBreakHyphen/>
      </w:r>
      <w:r w:rsidRPr="006E709F">
        <w:t>protection standards.</w:t>
      </w:r>
    </w:p>
    <w:p w:rsidR="002A22A4" w:rsidRPr="006E709F" w:rsidRDefault="002A22A4" w:rsidP="00A801D0">
      <w:pPr>
        <w:pStyle w:val="subsection"/>
      </w:pPr>
      <w:r w:rsidRPr="006E709F">
        <w:tab/>
        <w:t>(15)</w:t>
      </w:r>
      <w:r w:rsidRPr="006E709F">
        <w:tab/>
        <w:t xml:space="preserve">The trustee of a fund must not take advantage of </w:t>
      </w:r>
      <w:r w:rsidR="00DA13DE" w:rsidRPr="006E709F">
        <w:t>subsection (</w:t>
      </w:r>
      <w:r w:rsidRPr="006E709F">
        <w:t>12) in respect of a person more than once unless, after an occasion on which the trustee does so but before the next occasion, the member leaves and rejoins the fund.</w:t>
      </w:r>
    </w:p>
    <w:p w:rsidR="002A22A4" w:rsidRPr="006E709F" w:rsidRDefault="002A22A4" w:rsidP="00A801D0">
      <w:pPr>
        <w:pStyle w:val="subsection"/>
      </w:pPr>
      <w:r w:rsidRPr="006E709F">
        <w:tab/>
        <w:t>(16)</w:t>
      </w:r>
      <w:r w:rsidRPr="006E709F">
        <w:tab/>
        <w:t>In this section:</w:t>
      </w:r>
    </w:p>
    <w:p w:rsidR="002A22A4" w:rsidRPr="006E709F" w:rsidRDefault="002A22A4" w:rsidP="00A801D0">
      <w:pPr>
        <w:pStyle w:val="Definition"/>
      </w:pPr>
      <w:r w:rsidRPr="006E709F">
        <w:rPr>
          <w:b/>
          <w:i/>
        </w:rPr>
        <w:t>mandated employer</w:t>
      </w:r>
      <w:r w:rsidR="000C4237">
        <w:rPr>
          <w:b/>
          <w:i/>
        </w:rPr>
        <w:noBreakHyphen/>
      </w:r>
      <w:r w:rsidRPr="006E709F">
        <w:rPr>
          <w:b/>
          <w:i/>
        </w:rPr>
        <w:t>financed benefits</w:t>
      </w:r>
      <w:r w:rsidRPr="006E709F">
        <w:t xml:space="preserve"> has the same meaning as in subregulation</w:t>
      </w:r>
      <w:r w:rsidR="00DA13DE" w:rsidRPr="006E709F">
        <w:t> </w:t>
      </w:r>
      <w:r w:rsidRPr="006E709F">
        <w:t xml:space="preserve">5.01(1) of the </w:t>
      </w:r>
      <w:r w:rsidRPr="006E709F">
        <w:rPr>
          <w:i/>
        </w:rPr>
        <w:t>Superannuation Industry (Supervision) Regulations</w:t>
      </w:r>
      <w:r w:rsidR="00DA13DE" w:rsidRPr="006E709F">
        <w:rPr>
          <w:i/>
        </w:rPr>
        <w:t> </w:t>
      </w:r>
      <w:r w:rsidRPr="006E709F">
        <w:rPr>
          <w:i/>
        </w:rPr>
        <w:t>1994</w:t>
      </w:r>
      <w:r w:rsidRPr="006E709F">
        <w:t>.</w:t>
      </w:r>
    </w:p>
    <w:p w:rsidR="002A22A4" w:rsidRPr="006E709F" w:rsidRDefault="002A22A4" w:rsidP="00A801D0">
      <w:pPr>
        <w:pStyle w:val="Definition"/>
      </w:pPr>
      <w:r w:rsidRPr="006E709F">
        <w:rPr>
          <w:b/>
          <w:i/>
        </w:rPr>
        <w:t>member protection standards</w:t>
      </w:r>
      <w:r w:rsidRPr="006E709F">
        <w:t xml:space="preserve"> has the same meaning as in the </w:t>
      </w:r>
      <w:r w:rsidRPr="006E709F">
        <w:rPr>
          <w:i/>
        </w:rPr>
        <w:t>Superannuation Industry (Supervision) Regulations</w:t>
      </w:r>
      <w:r w:rsidR="00DA13DE" w:rsidRPr="006E709F">
        <w:rPr>
          <w:i/>
        </w:rPr>
        <w:t> </w:t>
      </w:r>
      <w:r w:rsidRPr="006E709F">
        <w:rPr>
          <w:i/>
        </w:rPr>
        <w:t>1994</w:t>
      </w:r>
      <w:r w:rsidRPr="006E709F">
        <w:t>.</w:t>
      </w:r>
    </w:p>
    <w:p w:rsidR="002A22A4" w:rsidRPr="006E709F" w:rsidRDefault="002A22A4" w:rsidP="00A801D0">
      <w:pPr>
        <w:pStyle w:val="Definition"/>
      </w:pPr>
      <w:r w:rsidRPr="006E709F">
        <w:rPr>
          <w:b/>
          <w:i/>
        </w:rPr>
        <w:t>protected member</w:t>
      </w:r>
      <w:r w:rsidRPr="006E709F">
        <w:t xml:space="preserve"> has the same meaning as in the </w:t>
      </w:r>
      <w:r w:rsidRPr="006E709F">
        <w:rPr>
          <w:i/>
        </w:rPr>
        <w:t>Superannuation Industry (Supervision) Regulations</w:t>
      </w:r>
      <w:r w:rsidR="00DA13DE" w:rsidRPr="006E709F">
        <w:rPr>
          <w:i/>
        </w:rPr>
        <w:t> </w:t>
      </w:r>
      <w:r w:rsidRPr="006E709F">
        <w:rPr>
          <w:i/>
        </w:rPr>
        <w:t>1994</w:t>
      </w:r>
      <w:r w:rsidRPr="006E709F">
        <w:t>.</w:t>
      </w:r>
    </w:p>
    <w:p w:rsidR="002A22A4" w:rsidRPr="006E709F" w:rsidRDefault="002A22A4" w:rsidP="00A801D0">
      <w:pPr>
        <w:pStyle w:val="subsection"/>
      </w:pPr>
      <w:r w:rsidRPr="006E709F">
        <w:tab/>
        <w:t>(17)</w:t>
      </w:r>
      <w:r w:rsidRPr="006E709F">
        <w:tab/>
        <w:t xml:space="preserve">For the definition of </w:t>
      </w:r>
      <w:r w:rsidRPr="006E709F">
        <w:rPr>
          <w:b/>
          <w:i/>
        </w:rPr>
        <w:t>protected member</w:t>
      </w:r>
      <w:r w:rsidRPr="006E709F">
        <w:t xml:space="preserve"> in </w:t>
      </w:r>
      <w:r w:rsidR="00DA13DE" w:rsidRPr="006E709F">
        <w:t>subsection (</w:t>
      </w:r>
      <w:r w:rsidRPr="006E709F">
        <w:t>16), a benefit in a fund is taken to contain or to have contained mandated employer</w:t>
      </w:r>
      <w:r w:rsidR="000C4237">
        <w:noBreakHyphen/>
      </w:r>
      <w:r w:rsidRPr="006E709F">
        <w:t>financed benefits unless:</w:t>
      </w:r>
    </w:p>
    <w:p w:rsidR="002A22A4" w:rsidRPr="006E709F" w:rsidRDefault="002A22A4" w:rsidP="00A801D0">
      <w:pPr>
        <w:pStyle w:val="paragraph"/>
      </w:pPr>
      <w:r w:rsidRPr="006E709F">
        <w:tab/>
        <w:t>(a)</w:t>
      </w:r>
      <w:r w:rsidRPr="006E709F">
        <w:tab/>
        <w:t xml:space="preserve">if the benefits arose in relation to contributions made before </w:t>
      </w:r>
      <w:r w:rsidR="005378CE" w:rsidRPr="006E709F">
        <w:t>1 July</w:t>
      </w:r>
      <w:r w:rsidRPr="006E709F">
        <w:t xml:space="preserve"> 1995</w:t>
      </w:r>
      <w:r w:rsidR="00A801D0" w:rsidRPr="006E709F">
        <w:t>—</w:t>
      </w:r>
      <w:r w:rsidRPr="006E709F">
        <w:t>the trustee of the fund reasonably believes otherwise; or</w:t>
      </w:r>
    </w:p>
    <w:p w:rsidR="002A22A4" w:rsidRPr="006E709F" w:rsidRDefault="002A22A4" w:rsidP="00A801D0">
      <w:pPr>
        <w:pStyle w:val="paragraph"/>
      </w:pPr>
      <w:r w:rsidRPr="006E709F">
        <w:tab/>
        <w:t>(b)</w:t>
      </w:r>
      <w:r w:rsidRPr="006E709F">
        <w:tab/>
        <w:t xml:space="preserve">if the benefits arose in relation to contributions made on or after </w:t>
      </w:r>
      <w:r w:rsidR="005378CE" w:rsidRPr="006E709F">
        <w:t>1 July</w:t>
      </w:r>
      <w:r w:rsidRPr="006E709F">
        <w:t xml:space="preserve"> 1995</w:t>
      </w:r>
      <w:r w:rsidR="00A801D0" w:rsidRPr="006E709F">
        <w:t>—</w:t>
      </w:r>
      <w:r w:rsidRPr="006E709F">
        <w:t>the trustee of the fund knows otherwise.</w:t>
      </w:r>
    </w:p>
    <w:p w:rsidR="002A22A4" w:rsidRPr="006E709F" w:rsidRDefault="00A801D0" w:rsidP="00E216E5">
      <w:pPr>
        <w:pStyle w:val="ActHead2"/>
        <w:pageBreakBefore/>
      </w:pPr>
      <w:bookmarkStart w:id="118" w:name="_Toc160609805"/>
      <w:r w:rsidRPr="000C4237">
        <w:rPr>
          <w:rStyle w:val="CharPartNo"/>
        </w:rPr>
        <w:t>Part</w:t>
      </w:r>
      <w:r w:rsidR="00DA13DE" w:rsidRPr="000C4237">
        <w:rPr>
          <w:rStyle w:val="CharPartNo"/>
        </w:rPr>
        <w:t> </w:t>
      </w:r>
      <w:r w:rsidR="002A22A4" w:rsidRPr="000C4237">
        <w:rPr>
          <w:rStyle w:val="CharPartNo"/>
        </w:rPr>
        <w:t>8</w:t>
      </w:r>
      <w:r w:rsidRPr="006E709F">
        <w:t>—</w:t>
      </w:r>
      <w:r w:rsidR="002A22A4" w:rsidRPr="000C4237">
        <w:rPr>
          <w:rStyle w:val="CharPartText"/>
        </w:rPr>
        <w:t>Modifications relating to periodic statements for RSA providers</w:t>
      </w:r>
      <w:bookmarkEnd w:id="118"/>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DD3819">
      <w:pPr>
        <w:pStyle w:val="ItemHead"/>
      </w:pPr>
      <w:r w:rsidRPr="006E709F">
        <w:t xml:space="preserve">8.1  </w:t>
      </w:r>
      <w:r w:rsidR="002A22A4" w:rsidRPr="006E709F">
        <w:t>After subsection</w:t>
      </w:r>
      <w:r w:rsidR="00DA13DE" w:rsidRPr="006E709F">
        <w:t> </w:t>
      </w:r>
      <w:r w:rsidR="002A22A4" w:rsidRPr="006E709F">
        <w:t>1017D(7)</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(8)</w:t>
      </w:r>
      <w:r w:rsidRPr="006E709F">
        <w:tab/>
        <w:t>If:</w:t>
      </w:r>
    </w:p>
    <w:p w:rsidR="002A22A4" w:rsidRPr="006E709F" w:rsidRDefault="002A22A4" w:rsidP="00A801D0">
      <w:pPr>
        <w:pStyle w:val="paragraph"/>
      </w:pPr>
      <w:r w:rsidRPr="006E709F">
        <w:tab/>
        <w:t>(a)</w:t>
      </w:r>
      <w:r w:rsidRPr="006E709F">
        <w:tab/>
        <w:t xml:space="preserve">a person ceases to be an RSA holder before RSA information in respect of a particular reporting period (the </w:t>
      </w:r>
      <w:r w:rsidRPr="006E709F">
        <w:rPr>
          <w:b/>
          <w:i/>
        </w:rPr>
        <w:t>relevant period</w:t>
      </w:r>
      <w:r w:rsidRPr="006E709F">
        <w:t>) is given; and</w:t>
      </w:r>
    </w:p>
    <w:p w:rsidR="002A22A4" w:rsidRPr="006E709F" w:rsidRDefault="002A22A4" w:rsidP="00A801D0">
      <w:pPr>
        <w:pStyle w:val="paragraph"/>
      </w:pPr>
      <w:r w:rsidRPr="006E709F">
        <w:tab/>
        <w:t>(b)</w:t>
      </w:r>
      <w:r w:rsidRPr="006E709F">
        <w:tab/>
        <w:t>either:</w:t>
      </w:r>
    </w:p>
    <w:p w:rsidR="002A22A4" w:rsidRPr="006E709F" w:rsidRDefault="002A22A4" w:rsidP="00A801D0">
      <w:pPr>
        <w:pStyle w:val="paragraphsub"/>
      </w:pPr>
      <w:r w:rsidRPr="006E709F">
        <w:tab/>
        <w:t>(i)</w:t>
      </w:r>
      <w:r w:rsidRPr="006E709F">
        <w:tab/>
        <w:t>the RSA provider gives, or intends to give, information to the person in respect of a reporting period that is the same as, or includes the whole of, the relevant period; or</w:t>
      </w:r>
    </w:p>
    <w:p w:rsidR="002A22A4" w:rsidRPr="006E709F" w:rsidRDefault="002A22A4" w:rsidP="00A801D0">
      <w:pPr>
        <w:pStyle w:val="paragraphsub"/>
      </w:pPr>
      <w:r w:rsidRPr="006E709F">
        <w:tab/>
        <w:t>(ii)</w:t>
      </w:r>
      <w:r w:rsidRPr="006E709F">
        <w:tab/>
        <w:t>if the person ceases to be an RSA holder by reason of death</w:t>
      </w:r>
      <w:r w:rsidR="00A801D0" w:rsidRPr="006E709F">
        <w:t>—</w:t>
      </w:r>
      <w:r w:rsidRPr="006E709F">
        <w:t>the RSA provider complies in relation to the person with the relevant requirements of this Act and the regulations;</w:t>
      </w:r>
    </w:p>
    <w:p w:rsidR="002A22A4" w:rsidRPr="006E709F" w:rsidRDefault="002A22A4" w:rsidP="00A801D0">
      <w:pPr>
        <w:pStyle w:val="subsection2"/>
      </w:pPr>
      <w:r w:rsidRPr="006E709F">
        <w:t>the RSA provider need not give RSA information, in respect of the relevant period, to or in relation to the person.</w:t>
      </w:r>
    </w:p>
    <w:p w:rsidR="002A22A4" w:rsidRPr="006E709F" w:rsidRDefault="002A22A4" w:rsidP="00A801D0">
      <w:pPr>
        <w:pStyle w:val="subsection"/>
      </w:pPr>
      <w:r w:rsidRPr="006E709F">
        <w:tab/>
        <w:t>(9)</w:t>
      </w:r>
      <w:r w:rsidRPr="006E709F">
        <w:tab/>
        <w:t>If, at the end of a reporting period, an RSA holder is a protected RSA holder, the RSA provider need give the RSA holder only the following information for the reporting period:</w:t>
      </w:r>
    </w:p>
    <w:p w:rsidR="002A22A4" w:rsidRPr="006E709F" w:rsidRDefault="002A22A4" w:rsidP="00A801D0">
      <w:pPr>
        <w:pStyle w:val="paragraph"/>
      </w:pPr>
      <w:r w:rsidRPr="006E709F">
        <w:tab/>
        <w:t>(a)</w:t>
      </w:r>
      <w:r w:rsidRPr="006E709F">
        <w:tab/>
        <w:t>the contact details of the RSA provider;</w:t>
      </w:r>
    </w:p>
    <w:p w:rsidR="002A22A4" w:rsidRPr="006E709F" w:rsidRDefault="002A22A4" w:rsidP="00A801D0">
      <w:pPr>
        <w:pStyle w:val="paragraph"/>
      </w:pPr>
      <w:r w:rsidRPr="006E709F">
        <w:tab/>
        <w:t>(b)</w:t>
      </w:r>
      <w:r w:rsidRPr="006E709F">
        <w:tab/>
        <w:t>either:</w:t>
      </w:r>
    </w:p>
    <w:p w:rsidR="002A22A4" w:rsidRPr="006E709F" w:rsidRDefault="002A22A4" w:rsidP="00A801D0">
      <w:pPr>
        <w:pStyle w:val="paragraphsub"/>
      </w:pPr>
      <w:r w:rsidRPr="006E709F">
        <w:tab/>
        <w:t>(i)</w:t>
      </w:r>
      <w:r w:rsidRPr="006E709F">
        <w:tab/>
        <w:t>the amount of the RSA holder’s withdrawal benefit at the end of the reporting period; or</w:t>
      </w:r>
    </w:p>
    <w:p w:rsidR="002A22A4" w:rsidRPr="006E709F" w:rsidRDefault="002A22A4" w:rsidP="00A801D0">
      <w:pPr>
        <w:pStyle w:val="paragraphsub"/>
      </w:pPr>
      <w:r w:rsidRPr="006E709F">
        <w:tab/>
        <w:t>(ii)</w:t>
      </w:r>
      <w:r w:rsidRPr="006E709F">
        <w:tab/>
        <w:t>the total of the amounts that have been received by the RSA provider in respect of the RSA holder;</w:t>
      </w:r>
    </w:p>
    <w:p w:rsidR="002A22A4" w:rsidRPr="006E709F" w:rsidRDefault="002A22A4" w:rsidP="00A801D0">
      <w:pPr>
        <w:pStyle w:val="paragraph"/>
      </w:pPr>
      <w:r w:rsidRPr="006E709F">
        <w:tab/>
        <w:t>(c)</w:t>
      </w:r>
      <w:r w:rsidRPr="006E709F">
        <w:tab/>
        <w:t>the effective rate of net interest applied to the RSA for each year of the previous 5</w:t>
      </w:r>
      <w:r w:rsidR="00E376FA" w:rsidRPr="006E709F">
        <w:t xml:space="preserve"> </w:t>
      </w:r>
      <w:r w:rsidRPr="006E709F">
        <w:t>years ending at the end of the reporting period;</w:t>
      </w:r>
    </w:p>
    <w:p w:rsidR="002A22A4" w:rsidRPr="006E709F" w:rsidRDefault="002A22A4" w:rsidP="00A801D0">
      <w:pPr>
        <w:pStyle w:val="paragraph"/>
      </w:pPr>
      <w:r w:rsidRPr="006E709F">
        <w:tab/>
        <w:t>(d)</w:t>
      </w:r>
      <w:r w:rsidRPr="006E709F">
        <w:tab/>
        <w:t>the compound average of the annual effective rate of net interest applied to the RSA for each year of the previous 5 years ending at the end of the reporting period;</w:t>
      </w:r>
    </w:p>
    <w:p w:rsidR="002A22A4" w:rsidRPr="006E709F" w:rsidRDefault="002A22A4" w:rsidP="00A801D0">
      <w:pPr>
        <w:pStyle w:val="paragraph"/>
      </w:pPr>
      <w:r w:rsidRPr="006E709F">
        <w:tab/>
        <w:t>(e)</w:t>
      </w:r>
      <w:r w:rsidRPr="006E709F">
        <w:tab/>
        <w:t>details (in summary form) of arrangements that the RSA provider has to deal with inquiries or complaints;</w:t>
      </w:r>
    </w:p>
    <w:p w:rsidR="002A22A4" w:rsidRPr="006E709F" w:rsidRDefault="002A22A4" w:rsidP="00A801D0">
      <w:pPr>
        <w:pStyle w:val="paragraph"/>
      </w:pPr>
      <w:r w:rsidRPr="006E709F">
        <w:tab/>
        <w:t>(f)</w:t>
      </w:r>
      <w:r w:rsidRPr="006E709F">
        <w:tab/>
        <w:t>a statement that other information is available on request;</w:t>
      </w:r>
    </w:p>
    <w:p w:rsidR="002A22A4" w:rsidRPr="006E709F" w:rsidRDefault="002A22A4" w:rsidP="00A801D0">
      <w:pPr>
        <w:pStyle w:val="paragraph"/>
      </w:pPr>
      <w:r w:rsidRPr="006E709F">
        <w:tab/>
        <w:t>(g)</w:t>
      </w:r>
      <w:r w:rsidRPr="006E709F">
        <w:tab/>
        <w:t>a suggestion that the RSA holder may wish to consider:</w:t>
      </w:r>
    </w:p>
    <w:p w:rsidR="002A22A4" w:rsidRPr="006E709F" w:rsidRDefault="002A22A4" w:rsidP="00A801D0">
      <w:pPr>
        <w:pStyle w:val="paragraphsub"/>
      </w:pPr>
      <w:r w:rsidRPr="006E709F">
        <w:tab/>
        <w:t>(i)</w:t>
      </w:r>
      <w:r w:rsidRPr="006E709F">
        <w:tab/>
        <w:t>other superannuation arrangements that may provide a greater return over the long term; and</w:t>
      </w:r>
    </w:p>
    <w:p w:rsidR="002A22A4" w:rsidRPr="006E709F" w:rsidRDefault="002A22A4" w:rsidP="00A801D0">
      <w:pPr>
        <w:pStyle w:val="paragraphsub"/>
      </w:pPr>
      <w:r w:rsidRPr="006E709F">
        <w:tab/>
        <w:t>(ii)</w:t>
      </w:r>
      <w:r w:rsidRPr="006E709F">
        <w:tab/>
        <w:t>seeking advice on alternative investment strategies that may be more suitable;</w:t>
      </w:r>
    </w:p>
    <w:p w:rsidR="002A22A4" w:rsidRPr="006E709F" w:rsidRDefault="002A22A4" w:rsidP="00A801D0">
      <w:pPr>
        <w:pStyle w:val="paragraph"/>
      </w:pPr>
      <w:r w:rsidRPr="006E709F">
        <w:tab/>
        <w:t>(h)</w:t>
      </w:r>
      <w:r w:rsidRPr="006E709F">
        <w:tab/>
        <w:t>if the RSA provider reduced the RSA holder’s benefits in connection with payment of a superannuation contributions surcharge or an advance instalment of surcharge:</w:t>
      </w:r>
    </w:p>
    <w:p w:rsidR="002A22A4" w:rsidRPr="006E709F" w:rsidRDefault="002A22A4" w:rsidP="00A801D0">
      <w:pPr>
        <w:pStyle w:val="paragraphsub"/>
      </w:pPr>
      <w:r w:rsidRPr="006E709F">
        <w:tab/>
        <w:t>(i)</w:t>
      </w:r>
      <w:r w:rsidRPr="006E709F">
        <w:tab/>
        <w:t>the amount deducted; and</w:t>
      </w:r>
    </w:p>
    <w:p w:rsidR="002A22A4" w:rsidRPr="006E709F" w:rsidRDefault="002A22A4" w:rsidP="00A801D0">
      <w:pPr>
        <w:pStyle w:val="paragraphsub"/>
      </w:pPr>
      <w:r w:rsidRPr="006E709F">
        <w:tab/>
        <w:t>(ii)</w:t>
      </w:r>
      <w:r w:rsidRPr="006E709F">
        <w:tab/>
        <w:t>if there is a difference between the amount deducted and the amount assessed under subsection</w:t>
      </w:r>
      <w:r w:rsidR="00DA13DE" w:rsidRPr="006E709F">
        <w:t> </w:t>
      </w:r>
      <w:r w:rsidRPr="006E709F">
        <w:t xml:space="preserve">15(1) of the </w:t>
      </w:r>
      <w:r w:rsidRPr="006E709F">
        <w:rPr>
          <w:i/>
        </w:rPr>
        <w:t>Superannuation Contributions Tax (Assessment and Collection) Act</w:t>
      </w:r>
      <w:r w:rsidR="00673B23" w:rsidRPr="006E709F">
        <w:rPr>
          <w:i/>
        </w:rPr>
        <w:t xml:space="preserve"> </w:t>
      </w:r>
      <w:r w:rsidRPr="006E709F">
        <w:rPr>
          <w:i/>
        </w:rPr>
        <w:t>1997</w:t>
      </w:r>
      <w:r w:rsidRPr="006E709F">
        <w:t xml:space="preserve"> or between the amount deducted and the amount determined under subsection</w:t>
      </w:r>
      <w:r w:rsidR="00DA13DE" w:rsidRPr="006E709F">
        <w:t> </w:t>
      </w:r>
      <w:r w:rsidRPr="006E709F">
        <w:t>15(2) of that Act</w:t>
      </w:r>
      <w:r w:rsidR="00A801D0" w:rsidRPr="006E709F">
        <w:t>—</w:t>
      </w:r>
      <w:r w:rsidRPr="006E709F">
        <w:t>a statement explaining the difference.</w:t>
      </w:r>
    </w:p>
    <w:p w:rsidR="002A22A4" w:rsidRPr="006E709F" w:rsidRDefault="002A22A4" w:rsidP="00A801D0">
      <w:pPr>
        <w:pStyle w:val="subsection"/>
      </w:pPr>
      <w:r w:rsidRPr="006E709F">
        <w:tab/>
        <w:t>(10)</w:t>
      </w:r>
      <w:r w:rsidRPr="006E709F">
        <w:tab/>
        <w:t>A nil amount need not be disclosed.</w:t>
      </w:r>
    </w:p>
    <w:p w:rsidR="002A22A4" w:rsidRPr="006E709F" w:rsidRDefault="002A22A4" w:rsidP="00A801D0">
      <w:pPr>
        <w:pStyle w:val="subsection"/>
      </w:pPr>
      <w:r w:rsidRPr="006E709F">
        <w:tab/>
        <w:t>(11)</w:t>
      </w:r>
      <w:r w:rsidRPr="006E709F">
        <w:tab/>
        <w:t xml:space="preserve">If, in relation to an RSA holder, the RSA provider takes advantage of </w:t>
      </w:r>
      <w:r w:rsidR="00DA13DE" w:rsidRPr="006E709F">
        <w:t>subsections (</w:t>
      </w:r>
      <w:r w:rsidRPr="006E709F">
        <w:t xml:space="preserve">13) to (16), the RSA provider must not, in relation to the RSA holder, take advantage of </w:t>
      </w:r>
      <w:r w:rsidR="00DA13DE" w:rsidRPr="006E709F">
        <w:t>subsection (</w:t>
      </w:r>
      <w:r w:rsidRPr="006E709F">
        <w:t>9).</w:t>
      </w:r>
    </w:p>
    <w:p w:rsidR="002A22A4" w:rsidRPr="006E709F" w:rsidRDefault="002A22A4" w:rsidP="00A801D0">
      <w:pPr>
        <w:pStyle w:val="subsection"/>
      </w:pPr>
      <w:r w:rsidRPr="006E709F">
        <w:tab/>
        <w:t>(12)</w:t>
      </w:r>
      <w:r w:rsidRPr="006E709F">
        <w:tab/>
        <w:t xml:space="preserve">If, at the end of a reporting period, an RSA has not been in existence for 5 years, the references in </w:t>
      </w:r>
      <w:r w:rsidR="00DA13DE" w:rsidRPr="006E709F">
        <w:t>paragraphs (</w:t>
      </w:r>
      <w:r w:rsidRPr="006E709F">
        <w:t>9</w:t>
      </w:r>
      <w:r w:rsidR="00A801D0" w:rsidRPr="006E709F">
        <w:t>)(</w:t>
      </w:r>
      <w:r w:rsidRPr="006E709F">
        <w:t>c) and (d) to 5 years are taken to be references to the whole period of existence of the RSA.</w:t>
      </w:r>
    </w:p>
    <w:p w:rsidR="002A22A4" w:rsidRPr="006E709F" w:rsidRDefault="002A22A4" w:rsidP="00A801D0">
      <w:pPr>
        <w:pStyle w:val="subsection"/>
      </w:pPr>
      <w:r w:rsidRPr="006E709F">
        <w:tab/>
        <w:t>(13)</w:t>
      </w:r>
      <w:r w:rsidRPr="006E709F">
        <w:tab/>
        <w:t>If, at the end of a reporting period, an RSA provider has a reasonable expectation that an RSA holder will have a withdrawal benefit of at least $1</w:t>
      </w:r>
      <w:r w:rsidR="00DA13DE" w:rsidRPr="006E709F">
        <w:t> </w:t>
      </w:r>
      <w:r w:rsidRPr="006E709F">
        <w:t>500 within 12</w:t>
      </w:r>
      <w:r w:rsidR="00E376FA" w:rsidRPr="006E709F">
        <w:t xml:space="preserve"> </w:t>
      </w:r>
      <w:r w:rsidRPr="006E709F">
        <w:t>months after the end of the reporting period, the RSA provider need not show, in RSA information provided to the RSA holder, the effect of the RSA holder</w:t>
      </w:r>
      <w:r w:rsidR="000C4237">
        <w:noBreakHyphen/>
      </w:r>
      <w:r w:rsidRPr="006E709F">
        <w:t>protection standards.</w:t>
      </w:r>
    </w:p>
    <w:p w:rsidR="002A22A4" w:rsidRPr="006E709F" w:rsidRDefault="002A22A4" w:rsidP="00A801D0">
      <w:pPr>
        <w:pStyle w:val="subsection"/>
      </w:pPr>
      <w:r w:rsidRPr="006E709F">
        <w:tab/>
        <w:t>(14)</w:t>
      </w:r>
      <w:r w:rsidRPr="006E709F">
        <w:tab/>
        <w:t xml:space="preserve">For </w:t>
      </w:r>
      <w:r w:rsidR="00DA13DE" w:rsidRPr="006E709F">
        <w:t>subsection (</w:t>
      </w:r>
      <w:r w:rsidRPr="006E709F">
        <w:t>12), an RSA provider is not taken to have a reasonable expectation that the RSA holder will have a withdrawal benefit of $1</w:t>
      </w:r>
      <w:r w:rsidR="00DA13DE" w:rsidRPr="006E709F">
        <w:t> </w:t>
      </w:r>
      <w:r w:rsidRPr="006E709F">
        <w:t>500 within the period of 12</w:t>
      </w:r>
      <w:r w:rsidR="00E376FA" w:rsidRPr="006E709F">
        <w:t xml:space="preserve"> </w:t>
      </w:r>
      <w:r w:rsidRPr="006E709F">
        <w:t>months mentioned in that subsection if termination of the RSA holder’s employment with a current employer would be likely to result in the RSA holder’s withdrawal benefit being below $1</w:t>
      </w:r>
      <w:r w:rsidR="00DA13DE" w:rsidRPr="006E709F">
        <w:t> </w:t>
      </w:r>
      <w:r w:rsidRPr="006E709F">
        <w:t>500 at the end of that period.</w:t>
      </w:r>
    </w:p>
    <w:p w:rsidR="002A22A4" w:rsidRPr="006E709F" w:rsidRDefault="002A22A4" w:rsidP="00A801D0">
      <w:pPr>
        <w:pStyle w:val="subsection"/>
      </w:pPr>
      <w:r w:rsidRPr="006E709F">
        <w:tab/>
        <w:t>(15)</w:t>
      </w:r>
      <w:r w:rsidRPr="006E709F">
        <w:tab/>
        <w:t>If, at the end of the 12</w:t>
      </w:r>
      <w:r w:rsidR="000C4237">
        <w:noBreakHyphen/>
      </w:r>
      <w:r w:rsidRPr="006E709F">
        <w:t>month period, the RSA holder’s withdrawal benefit has not reached $1</w:t>
      </w:r>
      <w:r w:rsidR="00DA13DE" w:rsidRPr="006E709F">
        <w:t> </w:t>
      </w:r>
      <w:r w:rsidRPr="006E709F">
        <w:t>500, the RSA provider must show, in RSA information provided to the RSA holder for each reporting period ending on or after the end of the 12</w:t>
      </w:r>
      <w:r w:rsidR="000C4237">
        <w:noBreakHyphen/>
      </w:r>
      <w:r w:rsidRPr="006E709F">
        <w:t>month period, the effect of the RSA holder</w:t>
      </w:r>
      <w:r w:rsidR="000C4237">
        <w:noBreakHyphen/>
      </w:r>
      <w:r w:rsidRPr="006E709F">
        <w:t>protection standards.</w:t>
      </w:r>
    </w:p>
    <w:p w:rsidR="002A22A4" w:rsidRPr="006E709F" w:rsidRDefault="002A22A4" w:rsidP="00A801D0">
      <w:pPr>
        <w:pStyle w:val="subsection"/>
      </w:pPr>
      <w:r w:rsidRPr="006E709F">
        <w:tab/>
        <w:t>(16)</w:t>
      </w:r>
      <w:r w:rsidRPr="006E709F">
        <w:tab/>
        <w:t xml:space="preserve">An RSA provider must not take advantage of </w:t>
      </w:r>
      <w:r w:rsidR="00DA13DE" w:rsidRPr="006E709F">
        <w:t>subsection (</w:t>
      </w:r>
      <w:r w:rsidRPr="006E709F">
        <w:t>13) in respect of a person more than once unless, after an occasion on which the RSA provider does so but before the next occasion, the person ceases to be the holder of the RSA and subsequently becomes the holder of an RSA provided by the same RSA provider.</w:t>
      </w:r>
    </w:p>
    <w:p w:rsidR="002A22A4" w:rsidRPr="006E709F" w:rsidRDefault="002A22A4" w:rsidP="00A801D0">
      <w:pPr>
        <w:pStyle w:val="subsection"/>
      </w:pPr>
      <w:r w:rsidRPr="006E709F">
        <w:tab/>
        <w:t>(17)</w:t>
      </w:r>
      <w:r w:rsidRPr="006E709F">
        <w:tab/>
        <w:t>In this section:</w:t>
      </w:r>
    </w:p>
    <w:p w:rsidR="002A22A4" w:rsidRPr="006E709F" w:rsidRDefault="002A22A4" w:rsidP="00A801D0">
      <w:pPr>
        <w:pStyle w:val="Definition"/>
      </w:pPr>
      <w:r w:rsidRPr="006E709F">
        <w:rPr>
          <w:b/>
          <w:i/>
        </w:rPr>
        <w:t>mandated employer</w:t>
      </w:r>
      <w:r w:rsidR="000C4237">
        <w:rPr>
          <w:b/>
          <w:i/>
        </w:rPr>
        <w:noBreakHyphen/>
      </w:r>
      <w:r w:rsidRPr="006E709F">
        <w:rPr>
          <w:b/>
          <w:i/>
        </w:rPr>
        <w:t>financed benefits</w:t>
      </w:r>
      <w:r w:rsidRPr="006E709F">
        <w:t xml:space="preserve"> has the same meaning as in the </w:t>
      </w:r>
      <w:r w:rsidRPr="006E709F">
        <w:rPr>
          <w:i/>
        </w:rPr>
        <w:t>Retirement Savings Accounts Regulations</w:t>
      </w:r>
      <w:r w:rsidR="00DA13DE" w:rsidRPr="006E709F">
        <w:rPr>
          <w:i/>
        </w:rPr>
        <w:t> </w:t>
      </w:r>
      <w:r w:rsidRPr="006E709F">
        <w:rPr>
          <w:i/>
        </w:rPr>
        <w:t>1997</w:t>
      </w:r>
      <w:r w:rsidRPr="006E709F">
        <w:t>.</w:t>
      </w:r>
    </w:p>
    <w:p w:rsidR="002A22A4" w:rsidRPr="006E709F" w:rsidRDefault="002A22A4" w:rsidP="00A801D0">
      <w:pPr>
        <w:pStyle w:val="Definition"/>
      </w:pPr>
      <w:r w:rsidRPr="006E709F">
        <w:rPr>
          <w:b/>
          <w:i/>
        </w:rPr>
        <w:t>protected member</w:t>
      </w:r>
      <w:r w:rsidRPr="006E709F">
        <w:t xml:space="preserve"> has the same meaning as in the </w:t>
      </w:r>
      <w:r w:rsidRPr="006E709F">
        <w:rPr>
          <w:i/>
        </w:rPr>
        <w:t>Retirement Savings Accounts Regulations</w:t>
      </w:r>
      <w:r w:rsidR="00DA13DE" w:rsidRPr="006E709F">
        <w:rPr>
          <w:i/>
        </w:rPr>
        <w:t> </w:t>
      </w:r>
      <w:r w:rsidRPr="006E709F">
        <w:rPr>
          <w:i/>
        </w:rPr>
        <w:t>1997</w:t>
      </w:r>
      <w:r w:rsidRPr="006E709F">
        <w:t>.</w:t>
      </w:r>
    </w:p>
    <w:p w:rsidR="002A22A4" w:rsidRPr="006E709F" w:rsidRDefault="002A22A4" w:rsidP="00A801D0">
      <w:pPr>
        <w:pStyle w:val="Definition"/>
      </w:pPr>
      <w:r w:rsidRPr="006E709F">
        <w:rPr>
          <w:b/>
          <w:i/>
        </w:rPr>
        <w:t>RSA holder</w:t>
      </w:r>
      <w:r w:rsidR="000C4237">
        <w:rPr>
          <w:b/>
          <w:i/>
        </w:rPr>
        <w:noBreakHyphen/>
      </w:r>
      <w:r w:rsidRPr="006E709F">
        <w:rPr>
          <w:b/>
          <w:i/>
        </w:rPr>
        <w:t>protection standards</w:t>
      </w:r>
      <w:r w:rsidRPr="006E709F">
        <w:t xml:space="preserve"> has the same meaning as in the </w:t>
      </w:r>
      <w:r w:rsidRPr="006E709F">
        <w:rPr>
          <w:i/>
        </w:rPr>
        <w:t>Retirement Savings Accounts Regulations</w:t>
      </w:r>
      <w:r w:rsidR="00DA13DE" w:rsidRPr="006E709F">
        <w:rPr>
          <w:i/>
        </w:rPr>
        <w:t> </w:t>
      </w:r>
      <w:r w:rsidRPr="006E709F">
        <w:rPr>
          <w:i/>
        </w:rPr>
        <w:t>1997</w:t>
      </w:r>
      <w:r w:rsidRPr="006E709F">
        <w:t>.</w:t>
      </w:r>
    </w:p>
    <w:p w:rsidR="002A22A4" w:rsidRPr="006E709F" w:rsidRDefault="00A801D0" w:rsidP="00A801D0">
      <w:pPr>
        <w:pStyle w:val="ActHead2"/>
        <w:pageBreakBefore/>
      </w:pPr>
      <w:bookmarkStart w:id="119" w:name="_Toc160609806"/>
      <w:r w:rsidRPr="000C4237">
        <w:rPr>
          <w:rStyle w:val="CharPartNo"/>
        </w:rPr>
        <w:t>Part</w:t>
      </w:r>
      <w:r w:rsidR="00DA13DE" w:rsidRPr="000C4237">
        <w:rPr>
          <w:rStyle w:val="CharPartNo"/>
        </w:rPr>
        <w:t> </w:t>
      </w:r>
      <w:r w:rsidR="002A22A4" w:rsidRPr="000C4237">
        <w:rPr>
          <w:rStyle w:val="CharPartNo"/>
        </w:rPr>
        <w:t>9</w:t>
      </w:r>
      <w:r w:rsidRPr="006E709F">
        <w:t>—</w:t>
      </w:r>
      <w:r w:rsidR="002A22A4" w:rsidRPr="000C4237">
        <w:rPr>
          <w:rStyle w:val="CharPartText"/>
        </w:rPr>
        <w:t>Modifications relating to periodic statements for superannuation entities and RSA providers</w:t>
      </w:r>
      <w:bookmarkEnd w:id="119"/>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DD3819">
      <w:pPr>
        <w:pStyle w:val="ItemHead"/>
      </w:pPr>
      <w:r w:rsidRPr="006E709F">
        <w:t xml:space="preserve">9.1  </w:t>
      </w:r>
      <w:r w:rsidR="002A22A4" w:rsidRPr="006E709F">
        <w:t>After subsection</w:t>
      </w:r>
      <w:r w:rsidR="00DA13DE" w:rsidRPr="006E709F">
        <w:t> </w:t>
      </w:r>
      <w:r w:rsidR="002A22A4" w:rsidRPr="006E709F">
        <w:t>1017C(7)</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(7A)</w:t>
      </w:r>
      <w:r w:rsidRPr="006E709F">
        <w:tab/>
        <w:t>If:</w:t>
      </w:r>
    </w:p>
    <w:p w:rsidR="002A22A4" w:rsidRPr="006E709F" w:rsidRDefault="002A22A4" w:rsidP="00A801D0">
      <w:pPr>
        <w:pStyle w:val="paragraph"/>
      </w:pPr>
      <w:r w:rsidRPr="006E709F">
        <w:tab/>
        <w:t>(a)</w:t>
      </w:r>
      <w:r w:rsidRPr="006E709F">
        <w:tab/>
        <w:t xml:space="preserve">a concerned person requests information under </w:t>
      </w:r>
      <w:r w:rsidR="00DA13DE" w:rsidRPr="006E709F">
        <w:t>subsection (</w:t>
      </w:r>
      <w:r w:rsidRPr="006E709F">
        <w:t>2) or (3) in relation to a facility, under the concerned person’s existing holding of a superannuation product, to modify:</w:t>
      </w:r>
    </w:p>
    <w:p w:rsidR="002A22A4" w:rsidRPr="006E709F" w:rsidRDefault="002A22A4" w:rsidP="00A801D0">
      <w:pPr>
        <w:pStyle w:val="paragraphsub"/>
      </w:pPr>
      <w:r w:rsidRPr="006E709F">
        <w:tab/>
        <w:t>(i)</w:t>
      </w:r>
      <w:r w:rsidRPr="006E709F">
        <w:tab/>
        <w:t>an investment strategy; or</w:t>
      </w:r>
    </w:p>
    <w:p w:rsidR="0048795D" w:rsidRPr="006E709F" w:rsidRDefault="002A22A4" w:rsidP="00A801D0">
      <w:pPr>
        <w:pStyle w:val="paragraphsub"/>
      </w:pPr>
      <w:r w:rsidRPr="006E709F">
        <w:tab/>
        <w:t>(ii)</w:t>
      </w:r>
      <w:r w:rsidRPr="006E709F">
        <w:tab/>
        <w:t>a contribution level; or</w:t>
      </w:r>
    </w:p>
    <w:p w:rsidR="002A22A4" w:rsidRPr="006E709F" w:rsidRDefault="002A22A4" w:rsidP="00A801D0">
      <w:pPr>
        <w:pStyle w:val="paragraphsub"/>
      </w:pPr>
      <w:r w:rsidRPr="006E709F">
        <w:tab/>
        <w:t>(iii)</w:t>
      </w:r>
      <w:r w:rsidRPr="006E709F">
        <w:tab/>
        <w:t>insurance coverage; and</w:t>
      </w:r>
    </w:p>
    <w:p w:rsidR="002A22A4" w:rsidRPr="006E709F" w:rsidRDefault="002A22A4" w:rsidP="00A801D0">
      <w:pPr>
        <w:pStyle w:val="paragraph"/>
      </w:pPr>
      <w:r w:rsidRPr="006E709F">
        <w:tab/>
        <w:t>(b)</w:t>
      </w:r>
      <w:r w:rsidRPr="006E709F">
        <w:tab/>
        <w:t xml:space="preserve">the information has not already been given in a periodic statement or in accordance with other periodic reporting requirements under </w:t>
      </w:r>
      <w:r w:rsidR="00A801D0" w:rsidRPr="006E709F">
        <w:t>Division</w:t>
      </w:r>
      <w:r w:rsidR="00DA13DE" w:rsidRPr="006E709F">
        <w:t> </w:t>
      </w:r>
      <w:r w:rsidRPr="006E709F">
        <w:t>3;</w:t>
      </w:r>
    </w:p>
    <w:p w:rsidR="002A22A4" w:rsidRPr="006E709F" w:rsidRDefault="002A22A4" w:rsidP="00A801D0">
      <w:pPr>
        <w:pStyle w:val="subsection2"/>
      </w:pPr>
      <w:r w:rsidRPr="006E709F">
        <w:t>it is sufficient compliance with a requirement imposed by this section if the responsible person provides an up to date Product Disclosure Statement that includes information on the ability and effect of making the modification.</w:t>
      </w:r>
    </w:p>
    <w:p w:rsidR="002A22A4" w:rsidRPr="006E709F" w:rsidRDefault="00A801D0" w:rsidP="00A801D0">
      <w:pPr>
        <w:pStyle w:val="ActHead2"/>
        <w:pageBreakBefore/>
      </w:pPr>
      <w:bookmarkStart w:id="120" w:name="_Toc160609807"/>
      <w:r w:rsidRPr="000C4237">
        <w:rPr>
          <w:rStyle w:val="CharPartNo"/>
        </w:rPr>
        <w:t>Part</w:t>
      </w:r>
      <w:r w:rsidR="00DA13DE" w:rsidRPr="000C4237">
        <w:rPr>
          <w:rStyle w:val="CharPartNo"/>
        </w:rPr>
        <w:t> </w:t>
      </w:r>
      <w:r w:rsidR="002A22A4" w:rsidRPr="000C4237">
        <w:rPr>
          <w:rStyle w:val="CharPartNo"/>
        </w:rPr>
        <w:t>10</w:t>
      </w:r>
      <w:r w:rsidRPr="006E709F">
        <w:t>—</w:t>
      </w:r>
      <w:r w:rsidR="002A22A4" w:rsidRPr="000C4237">
        <w:rPr>
          <w:rStyle w:val="CharPartText"/>
        </w:rPr>
        <w:t>Modifications relating to ongoing disclosure of material changes and significant events in relation to superannuation products and RSAs</w:t>
      </w:r>
      <w:bookmarkEnd w:id="120"/>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DD3819">
      <w:pPr>
        <w:pStyle w:val="ItemHead"/>
      </w:pPr>
      <w:r w:rsidRPr="006E709F">
        <w:t xml:space="preserve">10.1  </w:t>
      </w:r>
      <w:r w:rsidR="002A22A4" w:rsidRPr="006E709F">
        <w:t>After subsection</w:t>
      </w:r>
      <w:r w:rsidR="00DA13DE" w:rsidRPr="006E709F">
        <w:t> </w:t>
      </w:r>
      <w:r w:rsidR="002A22A4" w:rsidRPr="006E709F">
        <w:t>1017B(5)</w:t>
      </w:r>
    </w:p>
    <w:p w:rsidR="00A801D0" w:rsidRPr="006E709F" w:rsidRDefault="00A801D0" w:rsidP="00DD3819">
      <w:pPr>
        <w:pStyle w:val="Item"/>
        <w:rPr>
          <w:i/>
        </w:rPr>
      </w:pPr>
      <w:r w:rsidRPr="006E709F">
        <w:rPr>
          <w:i/>
        </w:rPr>
        <w:t>insert</w:t>
      </w:r>
    </w:p>
    <w:p w:rsidR="002A22A4" w:rsidRPr="006E709F" w:rsidRDefault="002A22A4" w:rsidP="00A801D0">
      <w:pPr>
        <w:pStyle w:val="SubsectionHead"/>
      </w:pPr>
      <w:r w:rsidRPr="006E709F">
        <w:t>Provision of advice before event</w:t>
      </w:r>
    </w:p>
    <w:p w:rsidR="002A22A4" w:rsidRPr="006E709F" w:rsidRDefault="002A22A4" w:rsidP="00A801D0">
      <w:pPr>
        <w:pStyle w:val="subsection"/>
      </w:pPr>
      <w:r w:rsidRPr="006E709F">
        <w:tab/>
        <w:t>(5A)</w:t>
      </w:r>
      <w:r w:rsidRPr="006E709F">
        <w:tab/>
        <w:t xml:space="preserve">For a superannuation product or an </w:t>
      </w:r>
      <w:r w:rsidR="00077176" w:rsidRPr="00BE1284">
        <w:t>RSA</w:t>
      </w:r>
      <w:r w:rsidRPr="006E709F">
        <w:t>, if a product holder would reasonably be expected to be informed of:</w:t>
      </w:r>
    </w:p>
    <w:p w:rsidR="002A22A4" w:rsidRPr="006E709F" w:rsidRDefault="002A22A4" w:rsidP="00A801D0">
      <w:pPr>
        <w:pStyle w:val="paragraph"/>
      </w:pPr>
      <w:r w:rsidRPr="006E709F">
        <w:tab/>
        <w:t>(a)</w:t>
      </w:r>
      <w:r w:rsidRPr="006E709F">
        <w:tab/>
        <w:t>a decision of the issuer; or</w:t>
      </w:r>
    </w:p>
    <w:p w:rsidR="0048795D" w:rsidRPr="006E709F" w:rsidRDefault="002A22A4" w:rsidP="00A801D0">
      <w:pPr>
        <w:pStyle w:val="paragraph"/>
      </w:pPr>
      <w:r w:rsidRPr="006E709F">
        <w:tab/>
        <w:t>(b)</w:t>
      </w:r>
      <w:r w:rsidRPr="006E709F">
        <w:tab/>
        <w:t>the winding</w:t>
      </w:r>
      <w:r w:rsidR="000C4237">
        <w:noBreakHyphen/>
      </w:r>
      <w:r w:rsidRPr="006E709F">
        <w:t>up or termination of the superannuation entity;</w:t>
      </w:r>
    </w:p>
    <w:p w:rsidR="002A22A4" w:rsidRPr="006E709F" w:rsidRDefault="002A22A4" w:rsidP="00A801D0">
      <w:pPr>
        <w:pStyle w:val="subsection2"/>
      </w:pPr>
      <w:r w:rsidRPr="006E709F">
        <w:t>before it occurs, the issuer must give the product holder information about the event as soon as practicable after it becomes reasonable for the issuer to expect that the event will happen (except that the information does not need to be given more than 3 months before the expected date of the event).</w:t>
      </w:r>
    </w:p>
    <w:p w:rsidR="002A22A4" w:rsidRPr="006E709F" w:rsidRDefault="002A22A4" w:rsidP="00A801D0">
      <w:pPr>
        <w:pStyle w:val="SubsectionHead"/>
      </w:pPr>
      <w:r w:rsidRPr="006E709F">
        <w:t>Changes to governing rules or terms and conditions</w:t>
      </w:r>
    </w:p>
    <w:p w:rsidR="002A22A4" w:rsidRPr="006E709F" w:rsidRDefault="002A22A4" w:rsidP="00A801D0">
      <w:pPr>
        <w:pStyle w:val="subsection"/>
      </w:pPr>
      <w:r w:rsidRPr="006E709F">
        <w:tab/>
        <w:t>(5B)</w:t>
      </w:r>
      <w:r w:rsidRPr="006E709F">
        <w:tab/>
        <w:t>For subsections</w:t>
      </w:r>
      <w:r w:rsidR="00DA13DE" w:rsidRPr="006E709F">
        <w:t> </w:t>
      </w:r>
      <w:r w:rsidRPr="006E709F">
        <w:t>1017B(5), (6) and (7) a reference to an event includes the following:</w:t>
      </w:r>
    </w:p>
    <w:p w:rsidR="002A22A4" w:rsidRPr="006E709F" w:rsidRDefault="002A22A4" w:rsidP="00A801D0">
      <w:pPr>
        <w:pStyle w:val="paragraph"/>
      </w:pPr>
      <w:r w:rsidRPr="006E709F">
        <w:tab/>
        <w:t>(a)</w:t>
      </w:r>
      <w:r w:rsidRPr="006E709F">
        <w:tab/>
        <w:t>a change to the governing rules of a superannuation entity (other than a change that gives effect to a payment split) of a kind that has an adverse effect on:</w:t>
      </w:r>
    </w:p>
    <w:p w:rsidR="002A22A4" w:rsidRPr="006E709F" w:rsidRDefault="002A22A4" w:rsidP="00A801D0">
      <w:pPr>
        <w:pStyle w:val="paragraphsub"/>
      </w:pPr>
      <w:r w:rsidRPr="006E709F">
        <w:rPr>
          <w:color w:val="000000"/>
        </w:rPr>
        <w:tab/>
        <w:t>(i)</w:t>
      </w:r>
      <w:r w:rsidRPr="006E709F">
        <w:rPr>
          <w:color w:val="000000"/>
        </w:rPr>
        <w:tab/>
        <w:t>the amount of the relevant financial product; or</w:t>
      </w:r>
    </w:p>
    <w:p w:rsidR="002A22A4" w:rsidRPr="006E709F" w:rsidRDefault="002A22A4" w:rsidP="00A801D0">
      <w:pPr>
        <w:pStyle w:val="paragraphsub"/>
      </w:pPr>
      <w:r w:rsidRPr="006E709F">
        <w:tab/>
        <w:t>(ii)</w:t>
      </w:r>
      <w:r w:rsidRPr="006E709F">
        <w:tab/>
        <w:t>the benefits to which the holder of the relevant financial product may become entitled; or</w:t>
      </w:r>
    </w:p>
    <w:p w:rsidR="002A22A4" w:rsidRPr="006E709F" w:rsidRDefault="002A22A4" w:rsidP="00A801D0">
      <w:pPr>
        <w:pStyle w:val="paragraphsub"/>
      </w:pPr>
      <w:r w:rsidRPr="006E709F">
        <w:tab/>
        <w:t>(iii)</w:t>
      </w:r>
      <w:r w:rsidRPr="006E709F">
        <w:tab/>
        <w:t>the circumstances in which the benefits to which the holder of the relevant financial product may become entitled would become payable;</w:t>
      </w:r>
    </w:p>
    <w:p w:rsidR="002A22A4" w:rsidRPr="006E709F" w:rsidRDefault="002A22A4" w:rsidP="00A801D0">
      <w:pPr>
        <w:pStyle w:val="paragraph"/>
      </w:pPr>
      <w:r w:rsidRPr="006E709F">
        <w:tab/>
        <w:t>(b)</w:t>
      </w:r>
      <w:r w:rsidRPr="006E709F">
        <w:tab/>
        <w:t>a change to the terms and conditions of an RSA (other than a change that gives effect to a payment split) of a kind that has an adverse effect on:</w:t>
      </w:r>
    </w:p>
    <w:p w:rsidR="002A22A4" w:rsidRPr="006E709F" w:rsidRDefault="002A22A4" w:rsidP="00A801D0">
      <w:pPr>
        <w:pStyle w:val="paragraphsub"/>
      </w:pPr>
      <w:r w:rsidRPr="006E709F">
        <w:rPr>
          <w:color w:val="000000"/>
        </w:rPr>
        <w:tab/>
        <w:t>(i)</w:t>
      </w:r>
      <w:r w:rsidRPr="006E709F">
        <w:rPr>
          <w:color w:val="000000"/>
        </w:rPr>
        <w:tab/>
        <w:t>the amount of the RSA; or</w:t>
      </w:r>
    </w:p>
    <w:p w:rsidR="002A22A4" w:rsidRPr="006E709F" w:rsidRDefault="002A22A4" w:rsidP="00A801D0">
      <w:pPr>
        <w:pStyle w:val="paragraphsub"/>
      </w:pPr>
      <w:r w:rsidRPr="006E709F">
        <w:tab/>
        <w:t>(ii)</w:t>
      </w:r>
      <w:r w:rsidRPr="006E709F">
        <w:tab/>
        <w:t>the benefits to which the RSA holder may become entitled; or</w:t>
      </w:r>
    </w:p>
    <w:p w:rsidR="002A22A4" w:rsidRPr="006E709F" w:rsidRDefault="002A22A4" w:rsidP="00A801D0">
      <w:pPr>
        <w:pStyle w:val="paragraphsub"/>
      </w:pPr>
      <w:r w:rsidRPr="006E709F">
        <w:tab/>
        <w:t>(iii)</w:t>
      </w:r>
      <w:r w:rsidRPr="006E709F">
        <w:tab/>
        <w:t>the circumstances in which the benefits to which the RSA holder may become entitled would become payable;</w:t>
      </w:r>
    </w:p>
    <w:p w:rsidR="002A22A4" w:rsidRPr="006E709F" w:rsidRDefault="002A22A4" w:rsidP="00A801D0">
      <w:pPr>
        <w:pStyle w:val="paragraph"/>
      </w:pPr>
      <w:r w:rsidRPr="006E709F">
        <w:tab/>
        <w:t>(c)</w:t>
      </w:r>
      <w:r w:rsidRPr="006E709F">
        <w:tab/>
        <w:t>any other change in relation to an RSA, caused by any other act carried out or consented to by the issuer, of a kind that has an adverse effect on:</w:t>
      </w:r>
    </w:p>
    <w:p w:rsidR="002A22A4" w:rsidRPr="006E709F" w:rsidRDefault="002A22A4" w:rsidP="00A801D0">
      <w:pPr>
        <w:pStyle w:val="paragraphsub"/>
      </w:pPr>
      <w:r w:rsidRPr="006E709F">
        <w:tab/>
        <w:t>(i)</w:t>
      </w:r>
      <w:r w:rsidRPr="006E709F">
        <w:tab/>
        <w:t>the amount of the RSA; or</w:t>
      </w:r>
    </w:p>
    <w:p w:rsidR="002A22A4" w:rsidRPr="006E709F" w:rsidRDefault="002A22A4" w:rsidP="00A801D0">
      <w:pPr>
        <w:pStyle w:val="paragraphsub"/>
      </w:pPr>
      <w:r w:rsidRPr="006E709F">
        <w:tab/>
        <w:t>(ii)</w:t>
      </w:r>
      <w:r w:rsidRPr="006E709F">
        <w:tab/>
        <w:t>the benefits to which the RSA holder may become entitled; or</w:t>
      </w:r>
    </w:p>
    <w:p w:rsidR="002A22A4" w:rsidRPr="006E709F" w:rsidRDefault="002A22A4" w:rsidP="00A801D0">
      <w:pPr>
        <w:pStyle w:val="paragraphsub"/>
      </w:pPr>
      <w:r w:rsidRPr="006E709F">
        <w:tab/>
        <w:t>(iii)</w:t>
      </w:r>
      <w:r w:rsidRPr="006E709F">
        <w:tab/>
        <w:t>the circumstances in which the benefits to which the RSA holder may become entitled would become payable.</w:t>
      </w:r>
    </w:p>
    <w:p w:rsidR="002A22A4" w:rsidRPr="006E709F" w:rsidRDefault="002A22A4" w:rsidP="00A801D0">
      <w:pPr>
        <w:pStyle w:val="SubsectionHead"/>
      </w:pPr>
      <w:r w:rsidRPr="006E709F">
        <w:t>Notice of non</w:t>
      </w:r>
      <w:r w:rsidR="000C4237">
        <w:noBreakHyphen/>
      </w:r>
      <w:r w:rsidRPr="006E709F">
        <w:t>compliance</w:t>
      </w:r>
    </w:p>
    <w:p w:rsidR="002A22A4" w:rsidRPr="006E709F" w:rsidRDefault="002A22A4" w:rsidP="00A801D0">
      <w:pPr>
        <w:pStyle w:val="subsection"/>
      </w:pPr>
      <w:r w:rsidRPr="006E709F">
        <w:tab/>
        <w:t>(5C)</w:t>
      </w:r>
      <w:r w:rsidRPr="006E709F">
        <w:tab/>
        <w:t>If the issuer of a superannuation product receives a notice of non</w:t>
      </w:r>
      <w:r w:rsidR="000C4237">
        <w:noBreakHyphen/>
      </w:r>
      <w:r w:rsidRPr="006E709F">
        <w:t>compliance, the issuer must give to each product holder:</w:t>
      </w:r>
    </w:p>
    <w:p w:rsidR="002A22A4" w:rsidRPr="006E709F" w:rsidRDefault="002A22A4" w:rsidP="00A801D0">
      <w:pPr>
        <w:pStyle w:val="paragraph"/>
      </w:pPr>
      <w:r w:rsidRPr="006E709F">
        <w:tab/>
        <w:t>(a)</w:t>
      </w:r>
      <w:r w:rsidRPr="006E709F">
        <w:tab/>
        <w:t>a statement of the circumstances (including details of the non</w:t>
      </w:r>
      <w:r w:rsidR="000C4237">
        <w:noBreakHyphen/>
      </w:r>
      <w:r w:rsidRPr="006E709F">
        <w:t>compliance) that gave rise to the issue of the notice; and</w:t>
      </w:r>
    </w:p>
    <w:p w:rsidR="002A22A4" w:rsidRPr="006E709F" w:rsidRDefault="002A22A4" w:rsidP="00A801D0">
      <w:pPr>
        <w:pStyle w:val="paragraph"/>
      </w:pPr>
      <w:r w:rsidRPr="006E709F">
        <w:tab/>
        <w:t>(b)</w:t>
      </w:r>
      <w:r w:rsidRPr="006E709F">
        <w:tab/>
        <w:t>a statement of the effect on the fund of the issue of the notice (including details of the effect on the entity’s taxation position); and</w:t>
      </w:r>
    </w:p>
    <w:p w:rsidR="002A22A4" w:rsidRPr="006E709F" w:rsidRDefault="002A22A4" w:rsidP="00A801D0">
      <w:pPr>
        <w:pStyle w:val="paragraph"/>
      </w:pPr>
      <w:r w:rsidRPr="006E709F">
        <w:tab/>
        <w:t>(c)</w:t>
      </w:r>
      <w:r w:rsidRPr="006E709F">
        <w:tab/>
        <w:t>details of action that the issuer has taken, or proposes to take, to have the entity become a complying fund or a pooled superannuation trust for the purposes of Division</w:t>
      </w:r>
      <w:r w:rsidR="00DA13DE" w:rsidRPr="006E709F">
        <w:t> </w:t>
      </w:r>
      <w:r w:rsidRPr="006E709F">
        <w:t xml:space="preserve">2 of </w:t>
      </w:r>
      <w:r w:rsidR="00A801D0" w:rsidRPr="006E709F">
        <w:t>Part</w:t>
      </w:r>
      <w:r w:rsidR="00DA13DE" w:rsidRPr="006E709F">
        <w:t> </w:t>
      </w:r>
      <w:r w:rsidRPr="006E709F">
        <w:t>5 of the Act.</w:t>
      </w:r>
    </w:p>
    <w:p w:rsidR="002A22A4" w:rsidRPr="006E709F" w:rsidRDefault="002A22A4" w:rsidP="00A801D0">
      <w:pPr>
        <w:pStyle w:val="subsection"/>
      </w:pPr>
      <w:r w:rsidRPr="006E709F">
        <w:tab/>
        <w:t>(5D)</w:t>
      </w:r>
      <w:r w:rsidRPr="006E709F">
        <w:tab/>
        <w:t xml:space="preserve">For </w:t>
      </w:r>
      <w:r w:rsidR="00DA13DE" w:rsidRPr="006E709F">
        <w:t>subsection (</w:t>
      </w:r>
      <w:r w:rsidRPr="006E709F">
        <w:t xml:space="preserve">5C), a </w:t>
      </w:r>
      <w:r w:rsidRPr="006E709F">
        <w:rPr>
          <w:b/>
          <w:i/>
        </w:rPr>
        <w:t>notice of non</w:t>
      </w:r>
      <w:r w:rsidR="000C4237">
        <w:rPr>
          <w:b/>
          <w:i/>
        </w:rPr>
        <w:noBreakHyphen/>
      </w:r>
      <w:r w:rsidRPr="006E709F">
        <w:rPr>
          <w:b/>
          <w:i/>
        </w:rPr>
        <w:t>compliance</w:t>
      </w:r>
      <w:r w:rsidRPr="006E709F">
        <w:t xml:space="preserve"> means a notice issued under section</w:t>
      </w:r>
      <w:r w:rsidR="00DA13DE" w:rsidRPr="006E709F">
        <w:t> </w:t>
      </w:r>
      <w:r w:rsidRPr="006E709F">
        <w:t>40 of the SIS Act to the trustee of a fund stating that the fund is not a complying fund or a pooled superannuation trust.</w:t>
      </w:r>
    </w:p>
    <w:p w:rsidR="002A22A4" w:rsidRPr="006E709F" w:rsidRDefault="002A22A4" w:rsidP="00A801D0">
      <w:pPr>
        <w:pStyle w:val="SubsectionHead"/>
      </w:pPr>
      <w:r w:rsidRPr="006E709F">
        <w:t>Fund and RSA transfers</w:t>
      </w:r>
    </w:p>
    <w:p w:rsidR="002A22A4" w:rsidRPr="006E709F" w:rsidRDefault="002A22A4" w:rsidP="00A801D0">
      <w:pPr>
        <w:pStyle w:val="subsection"/>
      </w:pPr>
      <w:r w:rsidRPr="006E709F">
        <w:tab/>
        <w:t>(5E)</w:t>
      </w:r>
      <w:r w:rsidRPr="006E709F">
        <w:tab/>
        <w:t xml:space="preserve">For </w:t>
      </w:r>
      <w:r w:rsidR="00DA13DE" w:rsidRPr="006E709F">
        <w:t>subsections (</w:t>
      </w:r>
      <w:r w:rsidRPr="006E709F">
        <w:t>5), (6) and (7), a reference to an event includes:</w:t>
      </w:r>
    </w:p>
    <w:p w:rsidR="002A22A4" w:rsidRPr="006E709F" w:rsidRDefault="002A22A4" w:rsidP="00A801D0">
      <w:pPr>
        <w:pStyle w:val="paragraph"/>
      </w:pPr>
      <w:r w:rsidRPr="006E709F">
        <w:tab/>
        <w:t>(a)</w:t>
      </w:r>
      <w:r w:rsidRPr="006E709F">
        <w:tab/>
        <w:t>in relation to a superannuation product:</w:t>
      </w:r>
    </w:p>
    <w:p w:rsidR="002A22A4" w:rsidRPr="006E709F" w:rsidRDefault="002A22A4" w:rsidP="00A801D0">
      <w:pPr>
        <w:pStyle w:val="paragraphsub"/>
      </w:pPr>
      <w:r w:rsidRPr="006E709F">
        <w:tab/>
        <w:t>(i)</w:t>
      </w:r>
      <w:r w:rsidRPr="006E709F">
        <w:tab/>
        <w:t>the transfer of a member to a different category of membership or to a different fund; and</w:t>
      </w:r>
    </w:p>
    <w:p w:rsidR="002A22A4" w:rsidRPr="006E709F" w:rsidRDefault="002A22A4" w:rsidP="00A801D0">
      <w:pPr>
        <w:pStyle w:val="paragraphsub"/>
      </w:pPr>
      <w:r w:rsidRPr="006E709F">
        <w:tab/>
        <w:t>(ii)</w:t>
      </w:r>
      <w:r w:rsidRPr="006E709F">
        <w:tab/>
        <w:t xml:space="preserve">the transfer of the benefits of a member to an RSA or </w:t>
      </w:r>
      <w:r w:rsidR="00CF07FF" w:rsidRPr="00BE1284">
        <w:t>exempt public sector superannuation scheme</w:t>
      </w:r>
      <w:r w:rsidRPr="006E709F">
        <w:t xml:space="preserve"> (otherwise than under a payment split); and</w:t>
      </w:r>
    </w:p>
    <w:p w:rsidR="002A22A4" w:rsidRPr="006E709F" w:rsidRDefault="002A22A4" w:rsidP="00A801D0">
      <w:pPr>
        <w:pStyle w:val="paragraph"/>
      </w:pPr>
      <w:r w:rsidRPr="006E709F">
        <w:tab/>
        <w:t>(b)</w:t>
      </w:r>
      <w:r w:rsidRPr="006E709F">
        <w:tab/>
        <w:t xml:space="preserve">in relation to an </w:t>
      </w:r>
      <w:r w:rsidR="00077176" w:rsidRPr="00BE1284">
        <w:t>RSA</w:t>
      </w:r>
      <w:r w:rsidR="00A801D0" w:rsidRPr="006E709F">
        <w:t>—</w:t>
      </w:r>
      <w:r w:rsidRPr="006E709F">
        <w:t>the transfer of an amount of an RSA (otherwise than under a payment split) to:</w:t>
      </w:r>
    </w:p>
    <w:p w:rsidR="0048795D" w:rsidRPr="006E709F" w:rsidRDefault="002A22A4" w:rsidP="00A801D0">
      <w:pPr>
        <w:pStyle w:val="paragraphsub"/>
      </w:pPr>
      <w:r w:rsidRPr="006E709F">
        <w:tab/>
        <w:t>(i)</w:t>
      </w:r>
      <w:r w:rsidRPr="006E709F">
        <w:tab/>
        <w:t xml:space="preserve">another RSA offered by an </w:t>
      </w:r>
      <w:r w:rsidR="00077176" w:rsidRPr="00BE1284">
        <w:t>RSA</w:t>
      </w:r>
      <w:r w:rsidRPr="006E709F">
        <w:t xml:space="preserve"> issuer; or</w:t>
      </w:r>
    </w:p>
    <w:p w:rsidR="0048795D" w:rsidRPr="006E709F" w:rsidRDefault="002A22A4" w:rsidP="00A801D0">
      <w:pPr>
        <w:pStyle w:val="paragraphsub"/>
      </w:pPr>
      <w:r w:rsidRPr="006E709F">
        <w:tab/>
        <w:t>(ii)</w:t>
      </w:r>
      <w:r w:rsidRPr="006E709F">
        <w:tab/>
        <w:t>a superannuation entity; or</w:t>
      </w:r>
    </w:p>
    <w:p w:rsidR="002A22A4" w:rsidRPr="006E709F" w:rsidRDefault="002A22A4" w:rsidP="00A801D0">
      <w:pPr>
        <w:pStyle w:val="paragraphsub"/>
      </w:pPr>
      <w:r w:rsidRPr="006E709F">
        <w:tab/>
        <w:t>(iii)</w:t>
      </w:r>
      <w:r w:rsidRPr="006E709F">
        <w:tab/>
        <w:t xml:space="preserve">an </w:t>
      </w:r>
      <w:r w:rsidR="00CF07FF" w:rsidRPr="00BE1284">
        <w:t>exempt public sector superannuation scheme</w:t>
      </w:r>
      <w:r w:rsidRPr="006E709F">
        <w:t>.</w:t>
      </w:r>
    </w:p>
    <w:p w:rsidR="002A22A4" w:rsidRPr="006E709F" w:rsidRDefault="000577C6" w:rsidP="00DD3819">
      <w:pPr>
        <w:pStyle w:val="ItemHead"/>
      </w:pPr>
      <w:r w:rsidRPr="006E709F">
        <w:t xml:space="preserve">10.2  </w:t>
      </w:r>
      <w:r w:rsidR="002A22A4" w:rsidRPr="006E709F">
        <w:t>After subsection</w:t>
      </w:r>
      <w:r w:rsidR="00DA13DE" w:rsidRPr="006E709F">
        <w:t> </w:t>
      </w:r>
      <w:r w:rsidR="002A22A4" w:rsidRPr="006E709F">
        <w:t>1017B(9)</w:t>
      </w:r>
    </w:p>
    <w:p w:rsidR="00A801D0" w:rsidRPr="006E709F" w:rsidRDefault="00A801D0" w:rsidP="00A801D0">
      <w:pPr>
        <w:pStyle w:val="Item"/>
        <w:rPr>
          <w:i/>
        </w:rPr>
      </w:pPr>
      <w:r w:rsidRPr="006E709F">
        <w:rPr>
          <w:i/>
        </w:rPr>
        <w:t>insert</w:t>
      </w:r>
    </w:p>
    <w:p w:rsidR="002A22A4" w:rsidRPr="006E709F" w:rsidRDefault="002A22A4" w:rsidP="00A801D0">
      <w:pPr>
        <w:pStyle w:val="subsection"/>
      </w:pPr>
      <w:r w:rsidRPr="006E709F">
        <w:tab/>
        <w:t>(10)</w:t>
      </w:r>
      <w:r w:rsidRPr="006E709F">
        <w:tab/>
        <w:t xml:space="preserve">This section does not apply to a change or event in relation to a superannuation product or an </w:t>
      </w:r>
      <w:r w:rsidR="00821A93" w:rsidRPr="00BE1284">
        <w:t>RSA</w:t>
      </w:r>
      <w:r w:rsidRPr="006E709F">
        <w:t xml:space="preserve"> that relates to a payment split in respect of the product.</w:t>
      </w:r>
    </w:p>
    <w:p w:rsidR="005E53DB" w:rsidRPr="006E709F" w:rsidRDefault="005E53DB" w:rsidP="00A801D0">
      <w:pPr>
        <w:pStyle w:val="subsection"/>
      </w:pPr>
      <w:r w:rsidRPr="006E709F">
        <w:tab/>
        <w:t>(11)</w:t>
      </w:r>
      <w:r w:rsidRPr="006E709F">
        <w:tab/>
        <w:t xml:space="preserve">This section does not apply to a change or event in relation to a superannuation product or an </w:t>
      </w:r>
      <w:r w:rsidR="00821A93" w:rsidRPr="00BE1284">
        <w:t>RSA</w:t>
      </w:r>
      <w:r w:rsidRPr="006E709F">
        <w:t xml:space="preserve"> if the change or event happens because of a transfer in accordance with paragraph</w:t>
      </w:r>
      <w:r w:rsidR="00DA13DE" w:rsidRPr="006E709F">
        <w:t> </w:t>
      </w:r>
      <w:r w:rsidRPr="006E709F">
        <w:t xml:space="preserve">6.29(1)(ba) of the </w:t>
      </w:r>
      <w:r w:rsidRPr="006E709F">
        <w:rPr>
          <w:i/>
        </w:rPr>
        <w:t>Superannuation Industry (Supervision) Regulations</w:t>
      </w:r>
      <w:r w:rsidR="00DA13DE" w:rsidRPr="006E709F">
        <w:rPr>
          <w:i/>
        </w:rPr>
        <w:t> </w:t>
      </w:r>
      <w:r w:rsidRPr="006E709F">
        <w:rPr>
          <w:i/>
        </w:rPr>
        <w:t>1994</w:t>
      </w:r>
      <w:r w:rsidRPr="006E709F">
        <w:t xml:space="preserve"> in respect of the product.</w:t>
      </w:r>
    </w:p>
    <w:p w:rsidR="002A22A4" w:rsidRPr="006E709F" w:rsidRDefault="00A801D0" w:rsidP="00A801D0">
      <w:pPr>
        <w:pStyle w:val="ActHead2"/>
        <w:pageBreakBefore/>
      </w:pPr>
      <w:bookmarkStart w:id="121" w:name="_Toc160609808"/>
      <w:r w:rsidRPr="000C4237">
        <w:rPr>
          <w:rStyle w:val="CharPartNo"/>
        </w:rPr>
        <w:t>Part</w:t>
      </w:r>
      <w:r w:rsidR="00DA13DE" w:rsidRPr="000C4237">
        <w:rPr>
          <w:rStyle w:val="CharPartNo"/>
        </w:rPr>
        <w:t> </w:t>
      </w:r>
      <w:r w:rsidR="002A22A4" w:rsidRPr="000C4237">
        <w:rPr>
          <w:rStyle w:val="CharPartNo"/>
        </w:rPr>
        <w:t>11</w:t>
      </w:r>
      <w:r w:rsidRPr="006E709F">
        <w:t>—</w:t>
      </w:r>
      <w:r w:rsidR="002A22A4" w:rsidRPr="000C4237">
        <w:rPr>
          <w:rStyle w:val="CharPartText"/>
        </w:rPr>
        <w:t>Modifications relating to charges for information requested</w:t>
      </w:r>
      <w:bookmarkEnd w:id="121"/>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DD3819">
      <w:pPr>
        <w:pStyle w:val="ItemHead"/>
      </w:pPr>
      <w:r w:rsidRPr="006E709F">
        <w:t xml:space="preserve">11.1  </w:t>
      </w:r>
      <w:r w:rsidR="002A22A4" w:rsidRPr="006E709F">
        <w:t>After subsection</w:t>
      </w:r>
      <w:r w:rsidR="00DA13DE" w:rsidRPr="006E709F">
        <w:t> </w:t>
      </w:r>
      <w:r w:rsidR="002A22A4" w:rsidRPr="006E709F">
        <w:t>1017C(8)</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(8A)</w:t>
      </w:r>
      <w:r w:rsidRPr="006E709F">
        <w:tab/>
        <w:t>The obligation of a responsible person under this section to give information on request by a person arises only if the person pays the amount specified by the responsible person as the charge for giving the information.</w:t>
      </w:r>
    </w:p>
    <w:p w:rsidR="002A22A4" w:rsidRPr="006E709F" w:rsidRDefault="002A22A4" w:rsidP="00A801D0">
      <w:pPr>
        <w:pStyle w:val="subsection"/>
      </w:pPr>
      <w:r w:rsidRPr="006E709F">
        <w:tab/>
        <w:t>(8B)</w:t>
      </w:r>
      <w:r w:rsidRPr="006E709F">
        <w:tab/>
        <w:t>The amount of the charge must not exceed the reasonable cost to the responsible person of giving the information (including all reasonably related costs</w:t>
      </w:r>
      <w:r w:rsidR="00A801D0" w:rsidRPr="006E709F">
        <w:t>—</w:t>
      </w:r>
      <w:r w:rsidRPr="006E709F">
        <w:t>for example, costs of searching for, obtaining and collating the information).</w:t>
      </w:r>
    </w:p>
    <w:p w:rsidR="002A22A4" w:rsidRPr="006E709F" w:rsidRDefault="002A22A4" w:rsidP="00A801D0">
      <w:pPr>
        <w:pStyle w:val="subsection"/>
      </w:pPr>
      <w:r w:rsidRPr="006E709F">
        <w:tab/>
        <w:t>(8C)</w:t>
      </w:r>
      <w:r w:rsidRPr="006E709F">
        <w:tab/>
        <w:t>A member who acts as a representative for or on behalf of a policy committee is not liable to any charge for information given to the member in that capacity.</w:t>
      </w:r>
    </w:p>
    <w:p w:rsidR="002A22A4" w:rsidRPr="006E709F" w:rsidRDefault="002A22A4" w:rsidP="00A801D0">
      <w:pPr>
        <w:pStyle w:val="subsection"/>
      </w:pPr>
      <w:r w:rsidRPr="006E709F">
        <w:tab/>
        <w:t>(8D)</w:t>
      </w:r>
      <w:r w:rsidRPr="006E709F">
        <w:tab/>
        <w:t xml:space="preserve">In the case of information to be supplied to a concerned person under </w:t>
      </w:r>
      <w:r w:rsidR="00A801D0" w:rsidRPr="006E709F">
        <w:t>Subdivision</w:t>
      </w:r>
      <w:r w:rsidR="00DA13DE" w:rsidRPr="006E709F">
        <w:t> </w:t>
      </w:r>
      <w:r w:rsidRPr="006E709F">
        <w:t xml:space="preserve">5.9 of </w:t>
      </w:r>
      <w:r w:rsidR="00A801D0" w:rsidRPr="006E709F">
        <w:t>Part</w:t>
      </w:r>
      <w:r w:rsidR="00DA13DE" w:rsidRPr="006E709F">
        <w:t> </w:t>
      </w:r>
      <w:r w:rsidRPr="006E709F">
        <w:t xml:space="preserve">7.9 of the </w:t>
      </w:r>
      <w:r w:rsidRPr="006E709F">
        <w:rPr>
          <w:i/>
        </w:rPr>
        <w:t xml:space="preserve">Corporations </w:t>
      </w:r>
      <w:r w:rsidR="000C4237">
        <w:rPr>
          <w:i/>
        </w:rPr>
        <w:t>Regulations 2</w:t>
      </w:r>
      <w:r w:rsidRPr="006E709F">
        <w:rPr>
          <w:i/>
        </w:rPr>
        <w:t>001</w:t>
      </w:r>
      <w:r w:rsidRPr="006E709F">
        <w:t>, a charge may be made only if:</w:t>
      </w:r>
    </w:p>
    <w:p w:rsidR="002A22A4" w:rsidRPr="006E709F" w:rsidRDefault="002A22A4" w:rsidP="00A801D0">
      <w:pPr>
        <w:pStyle w:val="paragraph"/>
      </w:pPr>
      <w:r w:rsidRPr="006E709F">
        <w:tab/>
        <w:t>(a)</w:t>
      </w:r>
      <w:r w:rsidRPr="006E709F">
        <w:tab/>
        <w:t>the person to whom the information is to be given has requested the information; and</w:t>
      </w:r>
    </w:p>
    <w:p w:rsidR="002A22A4" w:rsidRPr="006E709F" w:rsidRDefault="002A22A4" w:rsidP="00A801D0">
      <w:pPr>
        <w:pStyle w:val="paragraph"/>
      </w:pPr>
      <w:r w:rsidRPr="006E709F">
        <w:tab/>
        <w:t>(b)</w:t>
      </w:r>
      <w:r w:rsidRPr="006E709F">
        <w:tab/>
        <w:t>the person had been given the same information during the period of 12 months immediately preceding the date on which the request is made.</w:t>
      </w:r>
    </w:p>
    <w:p w:rsidR="002A22A4" w:rsidRPr="006E709F" w:rsidRDefault="00A801D0" w:rsidP="00A801D0">
      <w:pPr>
        <w:pStyle w:val="ActHead2"/>
        <w:pageBreakBefore/>
      </w:pPr>
      <w:bookmarkStart w:id="122" w:name="_Toc160609809"/>
      <w:r w:rsidRPr="000C4237">
        <w:rPr>
          <w:rStyle w:val="CharPartNo"/>
        </w:rPr>
        <w:t>Part</w:t>
      </w:r>
      <w:r w:rsidR="00DA13DE" w:rsidRPr="000C4237">
        <w:rPr>
          <w:rStyle w:val="CharPartNo"/>
        </w:rPr>
        <w:t> </w:t>
      </w:r>
      <w:r w:rsidR="002A22A4" w:rsidRPr="000C4237">
        <w:rPr>
          <w:rStyle w:val="CharPartNo"/>
        </w:rPr>
        <w:t>12</w:t>
      </w:r>
      <w:r w:rsidRPr="006E709F">
        <w:t>—</w:t>
      </w:r>
      <w:r w:rsidR="002A22A4" w:rsidRPr="000C4237">
        <w:rPr>
          <w:rStyle w:val="CharPartText"/>
        </w:rPr>
        <w:t>Modifications relating to information when member leaves a fund</w:t>
      </w:r>
      <w:bookmarkEnd w:id="122"/>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DD3819">
      <w:pPr>
        <w:pStyle w:val="ItemHead"/>
      </w:pPr>
      <w:r w:rsidRPr="006E709F">
        <w:t xml:space="preserve">12.1  </w:t>
      </w:r>
      <w:r w:rsidR="002A22A4" w:rsidRPr="006E709F">
        <w:t>After subsection</w:t>
      </w:r>
      <w:r w:rsidR="00DA13DE" w:rsidRPr="006E709F">
        <w:t> </w:t>
      </w:r>
      <w:r w:rsidR="002A22A4" w:rsidRPr="006E709F">
        <w:t>1017D(3)</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(3A)</w:t>
      </w:r>
      <w:r w:rsidRPr="006E709F">
        <w:tab/>
        <w:t xml:space="preserve">For a superannuation product or an </w:t>
      </w:r>
      <w:r w:rsidR="00821A93" w:rsidRPr="00BE1284">
        <w:t>RSA</w:t>
      </w:r>
      <w:r w:rsidRPr="006E709F">
        <w:t>, the periodic statement in relation to the reporting period mentioned in paragraph</w:t>
      </w:r>
      <w:r w:rsidR="00DA13DE" w:rsidRPr="006E709F">
        <w:t> </w:t>
      </w:r>
      <w:r w:rsidRPr="006E709F">
        <w:t>1017D(2</w:t>
      </w:r>
      <w:r w:rsidR="00A801D0" w:rsidRPr="006E709F">
        <w:t>)(</w:t>
      </w:r>
      <w:r w:rsidRPr="006E709F">
        <w:t xml:space="preserve">d) must be given as soon as the issuer becomes aware that that person or another person (the </w:t>
      </w:r>
      <w:r w:rsidRPr="006E709F">
        <w:rPr>
          <w:b/>
          <w:i/>
        </w:rPr>
        <w:t>former product holder</w:t>
      </w:r>
      <w:r w:rsidRPr="006E709F">
        <w:t>) has ceased to hold the product, and, in particular, the issuer must make reasonable efforts to give the information within 1 month after becoming aware that the former product holder has ceased to hold the product.</w:t>
      </w:r>
    </w:p>
    <w:p w:rsidR="002A22A4" w:rsidRPr="006E709F" w:rsidRDefault="002A22A4" w:rsidP="00A801D0">
      <w:pPr>
        <w:pStyle w:val="subsection"/>
      </w:pPr>
      <w:r w:rsidRPr="006E709F">
        <w:tab/>
        <w:t>(3B)</w:t>
      </w:r>
      <w:r w:rsidRPr="006E709F">
        <w:tab/>
        <w:t xml:space="preserve">The issuer of a superannuation product or an </w:t>
      </w:r>
      <w:r w:rsidR="00821A93" w:rsidRPr="00BE1284">
        <w:t>RSA</w:t>
      </w:r>
      <w:r w:rsidRPr="006E709F">
        <w:t xml:space="preserve"> must make all reasonable efforts:</w:t>
      </w:r>
    </w:p>
    <w:p w:rsidR="0048795D" w:rsidRPr="006E709F" w:rsidRDefault="002A22A4" w:rsidP="00A801D0">
      <w:pPr>
        <w:pStyle w:val="paragraph"/>
      </w:pPr>
      <w:r w:rsidRPr="006E709F">
        <w:tab/>
        <w:t>(a)</w:t>
      </w:r>
      <w:r w:rsidRPr="006E709F">
        <w:tab/>
        <w:t>to give the information about the amount of insured death or disability benefits to which the former product holder may have been entitled; and</w:t>
      </w:r>
    </w:p>
    <w:p w:rsidR="002A22A4" w:rsidRPr="006E709F" w:rsidRDefault="002A22A4" w:rsidP="00A801D0">
      <w:pPr>
        <w:pStyle w:val="paragraph"/>
      </w:pPr>
      <w:r w:rsidRPr="006E709F">
        <w:tab/>
        <w:t>(b)</w:t>
      </w:r>
      <w:r w:rsidRPr="006E709F">
        <w:tab/>
        <w:t>to give the information about a continuation option (if any) applying to those benefits (as mentioned in either paragraph</w:t>
      </w:r>
      <w:r w:rsidR="00DA13DE" w:rsidRPr="006E709F">
        <w:t> </w:t>
      </w:r>
      <w:r w:rsidRPr="006E709F">
        <w:t xml:space="preserve">7.9.54(b) or 7.9.65(b) of the </w:t>
      </w:r>
      <w:r w:rsidRPr="006E709F">
        <w:rPr>
          <w:i/>
        </w:rPr>
        <w:t xml:space="preserve">Corporations </w:t>
      </w:r>
      <w:r w:rsidR="000C4237">
        <w:rPr>
          <w:i/>
        </w:rPr>
        <w:t>Regulations 2</w:t>
      </w:r>
      <w:r w:rsidRPr="006E709F">
        <w:rPr>
          <w:i/>
        </w:rPr>
        <w:t>001</w:t>
      </w:r>
      <w:r w:rsidRPr="006E709F">
        <w:t>) in a reasonable time before the option lapses.</w:t>
      </w:r>
    </w:p>
    <w:p w:rsidR="002A22A4" w:rsidRPr="006E709F" w:rsidRDefault="002A22A4" w:rsidP="00A801D0">
      <w:pPr>
        <w:pStyle w:val="subsection"/>
      </w:pPr>
      <w:r w:rsidRPr="006E709F">
        <w:tab/>
        <w:t>(3C)</w:t>
      </w:r>
      <w:r w:rsidRPr="006E709F">
        <w:tab/>
        <w:t xml:space="preserve">Subject to </w:t>
      </w:r>
      <w:r w:rsidR="00DA13DE" w:rsidRPr="006E709F">
        <w:t>subsection (</w:t>
      </w:r>
      <w:r w:rsidRPr="006E709F">
        <w:t xml:space="preserve">3D), if a person ceases to hold a superannuation product or </w:t>
      </w:r>
      <w:r w:rsidR="00565AC8">
        <w:t>an RSA</w:t>
      </w:r>
      <w:r w:rsidRPr="006E709F">
        <w:t>:</w:t>
      </w:r>
    </w:p>
    <w:p w:rsidR="002A22A4" w:rsidRPr="006E709F" w:rsidRDefault="002A22A4" w:rsidP="00A801D0">
      <w:pPr>
        <w:pStyle w:val="paragraph"/>
      </w:pPr>
      <w:r w:rsidRPr="006E709F">
        <w:tab/>
        <w:t>(a)</w:t>
      </w:r>
      <w:r w:rsidRPr="006E709F">
        <w:tab/>
        <w:t xml:space="preserve">after the end of the completed reporting period (the </w:t>
      </w:r>
      <w:r w:rsidRPr="006E709F">
        <w:rPr>
          <w:b/>
          <w:i/>
        </w:rPr>
        <w:t>completed period</w:t>
      </w:r>
      <w:r w:rsidRPr="006E709F">
        <w:t>); and</w:t>
      </w:r>
    </w:p>
    <w:p w:rsidR="002A22A4" w:rsidRPr="006E709F" w:rsidRDefault="002A22A4" w:rsidP="00A801D0">
      <w:pPr>
        <w:pStyle w:val="paragraph"/>
      </w:pPr>
      <w:r w:rsidRPr="006E709F">
        <w:tab/>
        <w:t>(b)</w:t>
      </w:r>
      <w:r w:rsidRPr="006E709F">
        <w:tab/>
        <w:t>before the periodic report is issued for that period;</w:t>
      </w:r>
    </w:p>
    <w:p w:rsidR="002A22A4" w:rsidRPr="006E709F" w:rsidRDefault="002A22A4" w:rsidP="00A801D0">
      <w:pPr>
        <w:pStyle w:val="subsection2"/>
      </w:pPr>
      <w:r w:rsidRPr="006E709F">
        <w:t>the information required by this section to be given to or in relation to the person may be given in respect of the period consisting of the completed period and the period mentioned in paragraph</w:t>
      </w:r>
      <w:r w:rsidR="00DA13DE" w:rsidRPr="006E709F">
        <w:t> </w:t>
      </w:r>
      <w:r w:rsidRPr="006E709F">
        <w:t>1017D(2</w:t>
      </w:r>
      <w:r w:rsidR="00A801D0" w:rsidRPr="006E709F">
        <w:t>)(</w:t>
      </w:r>
      <w:r w:rsidRPr="006E709F">
        <w:t>d) instead of the period in respect of the person’s periodic statement for the period mentioned in paragraph</w:t>
      </w:r>
      <w:r w:rsidR="00DA13DE" w:rsidRPr="006E709F">
        <w:t> </w:t>
      </w:r>
      <w:r w:rsidRPr="006E709F">
        <w:t>1017D(2</w:t>
      </w:r>
      <w:r w:rsidR="00A801D0" w:rsidRPr="006E709F">
        <w:t>)(</w:t>
      </w:r>
      <w:r w:rsidRPr="006E709F">
        <w:t>d).</w:t>
      </w:r>
    </w:p>
    <w:p w:rsidR="002A22A4" w:rsidRPr="006E709F" w:rsidRDefault="002A22A4" w:rsidP="00A801D0">
      <w:pPr>
        <w:pStyle w:val="subsection"/>
      </w:pPr>
      <w:r w:rsidRPr="006E709F">
        <w:tab/>
        <w:t>(3D)</w:t>
      </w:r>
      <w:r w:rsidRPr="006E709F">
        <w:tab/>
      </w:r>
      <w:r w:rsidR="00DA13DE" w:rsidRPr="006E709F">
        <w:t>Subsection (</w:t>
      </w:r>
      <w:r w:rsidRPr="006E709F">
        <w:t>3C) does not apply if the period mentioned in paragraph</w:t>
      </w:r>
      <w:r w:rsidR="00DA13DE" w:rsidRPr="006E709F">
        <w:t> </w:t>
      </w:r>
      <w:r w:rsidRPr="006E709F">
        <w:t>1017D(2</w:t>
      </w:r>
      <w:r w:rsidR="00A801D0" w:rsidRPr="006E709F">
        <w:t>)(</w:t>
      </w:r>
      <w:r w:rsidRPr="006E709F">
        <w:t>d) is greater than:</w:t>
      </w:r>
    </w:p>
    <w:p w:rsidR="002A22A4" w:rsidRPr="006E709F" w:rsidRDefault="002A22A4" w:rsidP="00A801D0">
      <w:pPr>
        <w:pStyle w:val="paragraph"/>
      </w:pPr>
      <w:r w:rsidRPr="006E709F">
        <w:tab/>
        <w:t>(a)</w:t>
      </w:r>
      <w:r w:rsidRPr="006E709F">
        <w:tab/>
        <w:t>for a particular superannuation product</w:t>
      </w:r>
      <w:r w:rsidR="00A801D0" w:rsidRPr="006E709F">
        <w:t>—</w:t>
      </w:r>
      <w:r w:rsidRPr="006E709F">
        <w:t>6</w:t>
      </w:r>
      <w:r w:rsidR="00E376FA" w:rsidRPr="006E709F">
        <w:t xml:space="preserve"> </w:t>
      </w:r>
      <w:r w:rsidRPr="006E709F">
        <w:t>months; or</w:t>
      </w:r>
    </w:p>
    <w:p w:rsidR="002A22A4" w:rsidRPr="006E709F" w:rsidRDefault="002A22A4" w:rsidP="00A801D0">
      <w:pPr>
        <w:pStyle w:val="paragraph"/>
      </w:pPr>
      <w:r w:rsidRPr="006E709F">
        <w:tab/>
        <w:t>(b)</w:t>
      </w:r>
      <w:r w:rsidRPr="006E709F">
        <w:tab/>
        <w:t xml:space="preserve">for a particular </w:t>
      </w:r>
      <w:r w:rsidR="00565AC8" w:rsidRPr="00BE1284">
        <w:t>RSA</w:t>
      </w:r>
      <w:r w:rsidR="00A801D0" w:rsidRPr="006E709F">
        <w:t>—</w:t>
      </w:r>
      <w:r w:rsidRPr="006E709F">
        <w:t>3 months.</w:t>
      </w:r>
    </w:p>
    <w:p w:rsidR="002A22A4" w:rsidRPr="006E709F" w:rsidRDefault="00A801D0" w:rsidP="00E216E5">
      <w:pPr>
        <w:pStyle w:val="ActHead2"/>
        <w:pageBreakBefore/>
      </w:pPr>
      <w:bookmarkStart w:id="123" w:name="_Toc160609810"/>
      <w:r w:rsidRPr="000C4237">
        <w:rPr>
          <w:rStyle w:val="CharPartNo"/>
        </w:rPr>
        <w:t>Part</w:t>
      </w:r>
      <w:r w:rsidR="00DA13DE" w:rsidRPr="000C4237">
        <w:rPr>
          <w:rStyle w:val="CharPartNo"/>
        </w:rPr>
        <w:t> </w:t>
      </w:r>
      <w:r w:rsidR="002A22A4" w:rsidRPr="000C4237">
        <w:rPr>
          <w:rStyle w:val="CharPartNo"/>
        </w:rPr>
        <w:t>13</w:t>
      </w:r>
      <w:r w:rsidRPr="006E709F">
        <w:t>—</w:t>
      </w:r>
      <w:r w:rsidR="002A22A4" w:rsidRPr="000C4237">
        <w:rPr>
          <w:rStyle w:val="CharPartText"/>
        </w:rPr>
        <w:t>Modifications relating to exceptions to exit reporting period provisions</w:t>
      </w:r>
      <w:bookmarkEnd w:id="123"/>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DD3819">
      <w:pPr>
        <w:pStyle w:val="ItemHead"/>
      </w:pPr>
      <w:r w:rsidRPr="006E709F">
        <w:t xml:space="preserve">13.1  </w:t>
      </w:r>
      <w:r w:rsidR="002A22A4" w:rsidRPr="006E709F">
        <w:t>After subsection</w:t>
      </w:r>
      <w:r w:rsidR="00DA13DE" w:rsidRPr="006E709F">
        <w:t> </w:t>
      </w:r>
      <w:r w:rsidR="002A22A4" w:rsidRPr="006E709F">
        <w:t>1017D(7)</w:t>
      </w:r>
    </w:p>
    <w:p w:rsidR="00A801D0" w:rsidRPr="006E709F" w:rsidRDefault="00A801D0" w:rsidP="00A801D0">
      <w:pPr>
        <w:pStyle w:val="Item"/>
        <w:rPr>
          <w:i/>
        </w:rPr>
      </w:pPr>
      <w:r w:rsidRPr="006E709F">
        <w:rPr>
          <w:i/>
        </w:rPr>
        <w:t>insert</w:t>
      </w:r>
    </w:p>
    <w:p w:rsidR="002A22A4" w:rsidRPr="006E709F" w:rsidRDefault="002A22A4" w:rsidP="00A801D0">
      <w:pPr>
        <w:pStyle w:val="subsection"/>
      </w:pPr>
      <w:r w:rsidRPr="006E709F">
        <w:tab/>
        <w:t>(8)</w:t>
      </w:r>
      <w:r w:rsidRPr="006E709F">
        <w:tab/>
        <w:t xml:space="preserve">An RSA provider need not give information under this section to the holder of an </w:t>
      </w:r>
      <w:r w:rsidR="00565AC8" w:rsidRPr="00BE1284">
        <w:t>RSA</w:t>
      </w:r>
      <w:r w:rsidRPr="006E709F">
        <w:t xml:space="preserve"> who is transferring the amount of the </w:t>
      </w:r>
      <w:r w:rsidR="00565AC8" w:rsidRPr="00BE1284">
        <w:t>RSA</w:t>
      </w:r>
      <w:r w:rsidRPr="006E709F">
        <w:t xml:space="preserve"> to another RSA, a superannuation entity or an </w:t>
      </w:r>
      <w:r w:rsidR="000F29FD" w:rsidRPr="00BE1284">
        <w:t>exempt public sector superannuation scheme</w:t>
      </w:r>
      <w:r w:rsidRPr="006E709F">
        <w:t xml:space="preserve"> if:</w:t>
      </w:r>
    </w:p>
    <w:p w:rsidR="002A22A4" w:rsidRPr="006E709F" w:rsidRDefault="002A22A4" w:rsidP="00A801D0">
      <w:pPr>
        <w:pStyle w:val="paragraph"/>
      </w:pPr>
      <w:r w:rsidRPr="006E709F">
        <w:tab/>
        <w:t>(a)</w:t>
      </w:r>
      <w:r w:rsidRPr="006E709F">
        <w:tab/>
        <w:t xml:space="preserve">the RSA holder has received sufficient information under </w:t>
      </w:r>
      <w:r w:rsidR="00A801D0" w:rsidRPr="006E709F">
        <w:t>Subdivision</w:t>
      </w:r>
      <w:r w:rsidR="00DA13DE" w:rsidRPr="006E709F">
        <w:t> </w:t>
      </w:r>
      <w:r w:rsidRPr="006E709F">
        <w:t xml:space="preserve">5.8 of </w:t>
      </w:r>
      <w:r w:rsidR="00A801D0" w:rsidRPr="006E709F">
        <w:t>Part</w:t>
      </w:r>
      <w:r w:rsidR="00DA13DE" w:rsidRPr="006E709F">
        <w:t> </w:t>
      </w:r>
      <w:r w:rsidRPr="006E709F">
        <w:t xml:space="preserve">7.9 of the </w:t>
      </w:r>
      <w:r w:rsidRPr="006E709F">
        <w:rPr>
          <w:i/>
        </w:rPr>
        <w:t xml:space="preserve">Corporations </w:t>
      </w:r>
      <w:r w:rsidR="000C4237">
        <w:rPr>
          <w:i/>
        </w:rPr>
        <w:t>Regulations 2</w:t>
      </w:r>
      <w:r w:rsidRPr="006E709F">
        <w:rPr>
          <w:i/>
        </w:rPr>
        <w:t xml:space="preserve">001 </w:t>
      </w:r>
      <w:r w:rsidRPr="006E709F">
        <w:t>to enable the RSA holder to understand the effect of the transfer; and</w:t>
      </w:r>
    </w:p>
    <w:p w:rsidR="002A22A4" w:rsidRPr="006E709F" w:rsidRDefault="002A22A4" w:rsidP="00A801D0">
      <w:pPr>
        <w:pStyle w:val="paragraph"/>
      </w:pPr>
      <w:r w:rsidRPr="006E709F">
        <w:tab/>
        <w:t>(b)</w:t>
      </w:r>
      <w:r w:rsidRPr="006E709F">
        <w:tab/>
        <w:t xml:space="preserve">the RSA provider reasonably believes that the RSA holder does not need the information because the RSA holder has received or will receive from the RSA institution, or the trustee of the superannuation entity or </w:t>
      </w:r>
      <w:r w:rsidR="000F29FD" w:rsidRPr="00BE1284">
        <w:t>exempt public sector superannuation scheme</w:t>
      </w:r>
      <w:r w:rsidRPr="006E709F">
        <w:t xml:space="preserve"> to which the amount is being transferred, information relevant to the RSA holder in respect of the exit reporting period, to the same general effect as that required under Subdivisions</w:t>
      </w:r>
      <w:r w:rsidR="00DA13DE" w:rsidRPr="006E709F">
        <w:t> </w:t>
      </w:r>
      <w:r w:rsidRPr="006E709F">
        <w:t xml:space="preserve">5.2 and 5.3 of </w:t>
      </w:r>
      <w:r w:rsidR="00A801D0" w:rsidRPr="006E709F">
        <w:t>Part</w:t>
      </w:r>
      <w:r w:rsidR="00DA13DE" w:rsidRPr="006E709F">
        <w:t> </w:t>
      </w:r>
      <w:r w:rsidRPr="006E709F">
        <w:t xml:space="preserve">7.9 of the </w:t>
      </w:r>
      <w:r w:rsidRPr="006E709F">
        <w:rPr>
          <w:i/>
        </w:rPr>
        <w:t xml:space="preserve">Corporations </w:t>
      </w:r>
      <w:r w:rsidR="000C4237">
        <w:rPr>
          <w:i/>
        </w:rPr>
        <w:t>Regulations 2</w:t>
      </w:r>
      <w:r w:rsidRPr="006E709F">
        <w:rPr>
          <w:i/>
        </w:rPr>
        <w:t>001</w:t>
      </w:r>
      <w:r w:rsidRPr="006E709F">
        <w:t>.</w:t>
      </w:r>
    </w:p>
    <w:p w:rsidR="002A22A4" w:rsidRPr="006E709F" w:rsidRDefault="002A22A4" w:rsidP="00A801D0">
      <w:pPr>
        <w:pStyle w:val="subsection"/>
      </w:pPr>
      <w:r w:rsidRPr="006E709F">
        <w:tab/>
        <w:t>(9)</w:t>
      </w:r>
      <w:r w:rsidRPr="006E709F">
        <w:tab/>
        <w:t xml:space="preserve">A superannuation product provider need not give information under this section to the holder of a superannuation product who is transferring to another superannuation entity or to an </w:t>
      </w:r>
      <w:r w:rsidR="000F29FD" w:rsidRPr="00BE1284">
        <w:t>exempt public sector superannuation scheme</w:t>
      </w:r>
      <w:r w:rsidRPr="006E709F">
        <w:t>, or whose benefits are being transferred into an RSA if:</w:t>
      </w:r>
    </w:p>
    <w:p w:rsidR="002A22A4" w:rsidRPr="006E709F" w:rsidRDefault="002A22A4" w:rsidP="00A801D0">
      <w:pPr>
        <w:pStyle w:val="paragraph"/>
      </w:pPr>
      <w:r w:rsidRPr="006E709F">
        <w:tab/>
        <w:t>(a)</w:t>
      </w:r>
      <w:r w:rsidRPr="006E709F">
        <w:tab/>
        <w:t xml:space="preserve">the product holder has received sufficient information under </w:t>
      </w:r>
      <w:r w:rsidR="00A801D0" w:rsidRPr="006E709F">
        <w:t>Subdivision</w:t>
      </w:r>
      <w:r w:rsidR="00DA13DE" w:rsidRPr="006E709F">
        <w:t> </w:t>
      </w:r>
      <w:r w:rsidRPr="006E709F">
        <w:t xml:space="preserve">5.8 of </w:t>
      </w:r>
      <w:r w:rsidR="00A801D0" w:rsidRPr="006E709F">
        <w:t>Part</w:t>
      </w:r>
      <w:r w:rsidR="00DA13DE" w:rsidRPr="006E709F">
        <w:t> </w:t>
      </w:r>
      <w:r w:rsidRPr="006E709F">
        <w:t xml:space="preserve">7.9 of the </w:t>
      </w:r>
      <w:r w:rsidRPr="006E709F">
        <w:rPr>
          <w:i/>
        </w:rPr>
        <w:t xml:space="preserve">Corporations </w:t>
      </w:r>
      <w:r w:rsidR="000C4237">
        <w:rPr>
          <w:i/>
        </w:rPr>
        <w:t>Regulations 2</w:t>
      </w:r>
      <w:r w:rsidRPr="006E709F">
        <w:rPr>
          <w:i/>
        </w:rPr>
        <w:t>001</w:t>
      </w:r>
      <w:r w:rsidRPr="006E709F">
        <w:t xml:space="preserve"> to enable the product holder to understand the effect of the transfer; and</w:t>
      </w:r>
    </w:p>
    <w:p w:rsidR="002A22A4" w:rsidRPr="006E709F" w:rsidRDefault="002A22A4" w:rsidP="00A801D0">
      <w:pPr>
        <w:pStyle w:val="paragraph"/>
      </w:pPr>
      <w:r w:rsidRPr="006E709F">
        <w:tab/>
        <w:t>(b)</w:t>
      </w:r>
      <w:r w:rsidRPr="006E709F">
        <w:tab/>
        <w:t xml:space="preserve">the superannuation product provider reasonably believes that the product holder does not need the information because the product holder has received or will receive, from the RSA institution, or from the trustee of the superannuation entity or </w:t>
      </w:r>
      <w:r w:rsidR="000F29FD" w:rsidRPr="00BE1284">
        <w:t>exempt public sector superannuation scheme</w:t>
      </w:r>
      <w:r w:rsidRPr="006E709F">
        <w:t xml:space="preserve"> to which the amount is being transferred, information relevant to the product holder in respect of the exit reporting period, to the same general effect as that required under </w:t>
      </w:r>
      <w:r w:rsidR="00A801D0" w:rsidRPr="006E709F">
        <w:t>Subdivision</w:t>
      </w:r>
      <w:r w:rsidR="00DA13DE" w:rsidRPr="006E709F">
        <w:t> </w:t>
      </w:r>
      <w:r w:rsidRPr="006E709F">
        <w:t xml:space="preserve">5.2 of </w:t>
      </w:r>
      <w:r w:rsidR="00A801D0" w:rsidRPr="006E709F">
        <w:t>Part</w:t>
      </w:r>
      <w:r w:rsidR="00DA13DE" w:rsidRPr="006E709F">
        <w:t> </w:t>
      </w:r>
      <w:r w:rsidRPr="006E709F">
        <w:t xml:space="preserve">7.9 of the </w:t>
      </w:r>
      <w:r w:rsidRPr="006E709F">
        <w:rPr>
          <w:i/>
        </w:rPr>
        <w:t xml:space="preserve">Corporations </w:t>
      </w:r>
      <w:r w:rsidR="000C4237">
        <w:rPr>
          <w:i/>
        </w:rPr>
        <w:t>Regulations 2</w:t>
      </w:r>
      <w:r w:rsidRPr="006E709F">
        <w:rPr>
          <w:i/>
        </w:rPr>
        <w:t>001</w:t>
      </w:r>
      <w:r w:rsidRPr="006E709F">
        <w:t>.</w:t>
      </w:r>
    </w:p>
    <w:p w:rsidR="002A22A4" w:rsidRPr="006E709F" w:rsidRDefault="00A801D0" w:rsidP="00E216E5">
      <w:pPr>
        <w:pStyle w:val="ActHead2"/>
        <w:pageBreakBefore/>
      </w:pPr>
      <w:bookmarkStart w:id="124" w:name="_Toc160609811"/>
      <w:r w:rsidRPr="000C4237">
        <w:rPr>
          <w:rStyle w:val="CharPartNo"/>
        </w:rPr>
        <w:t>Part</w:t>
      </w:r>
      <w:r w:rsidR="00DA13DE" w:rsidRPr="000C4237">
        <w:rPr>
          <w:rStyle w:val="CharPartNo"/>
        </w:rPr>
        <w:t> </w:t>
      </w:r>
      <w:r w:rsidR="002A22A4" w:rsidRPr="000C4237">
        <w:rPr>
          <w:rStyle w:val="CharPartNo"/>
        </w:rPr>
        <w:t>14</w:t>
      </w:r>
      <w:r w:rsidRPr="006E709F">
        <w:t>—</w:t>
      </w:r>
      <w:r w:rsidR="002A22A4" w:rsidRPr="000C4237">
        <w:rPr>
          <w:rStyle w:val="CharPartText"/>
        </w:rPr>
        <w:t>Modifications relating to obligation to give information about financial products</w:t>
      </w:r>
      <w:bookmarkEnd w:id="124"/>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DD3819">
      <w:pPr>
        <w:pStyle w:val="ItemHead"/>
      </w:pPr>
      <w:r w:rsidRPr="006E709F">
        <w:t xml:space="preserve">14.1  </w:t>
      </w:r>
      <w:r w:rsidR="002A22A4" w:rsidRPr="006E709F">
        <w:t>After subsection</w:t>
      </w:r>
      <w:r w:rsidR="00DA13DE" w:rsidRPr="006E709F">
        <w:t> </w:t>
      </w:r>
      <w:r w:rsidR="002A22A4" w:rsidRPr="006E709F">
        <w:t>1017B(7)</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(7A)</w:t>
      </w:r>
      <w:r w:rsidRPr="006E709F">
        <w:tab/>
        <w:t xml:space="preserve">Subject to </w:t>
      </w:r>
      <w:r w:rsidR="00DA13DE" w:rsidRPr="006E709F">
        <w:t>subsections (</w:t>
      </w:r>
      <w:r w:rsidRPr="006E709F">
        <w:t>7B) and (7C), this section does not apply if:</w:t>
      </w:r>
    </w:p>
    <w:p w:rsidR="002A22A4" w:rsidRPr="006E709F" w:rsidRDefault="002A22A4" w:rsidP="00A801D0">
      <w:pPr>
        <w:pStyle w:val="paragraph"/>
      </w:pPr>
      <w:r w:rsidRPr="006E709F">
        <w:tab/>
        <w:t>(a)</w:t>
      </w:r>
      <w:r w:rsidRPr="006E709F">
        <w:tab/>
        <w:t>the responsible person has an address for a concerned person, and:</w:t>
      </w:r>
    </w:p>
    <w:p w:rsidR="002A22A4" w:rsidRPr="006E709F" w:rsidRDefault="002A22A4" w:rsidP="00A801D0">
      <w:pPr>
        <w:pStyle w:val="paragraphsub"/>
      </w:pPr>
      <w:r w:rsidRPr="006E709F">
        <w:tab/>
        <w:t>(i)</w:t>
      </w:r>
      <w:r w:rsidRPr="006E709F">
        <w:tab/>
        <w:t>is satisfied on reasonable grounds that that address is incorrect; and</w:t>
      </w:r>
    </w:p>
    <w:p w:rsidR="002A22A4" w:rsidRPr="006E709F" w:rsidRDefault="002A22A4" w:rsidP="00A801D0">
      <w:pPr>
        <w:pStyle w:val="paragraphsub"/>
      </w:pPr>
      <w:r w:rsidRPr="006E709F">
        <w:tab/>
        <w:t>(ii)</w:t>
      </w:r>
      <w:r w:rsidRPr="006E709F">
        <w:tab/>
        <w:t>has taken reasonable steps to locate the concerned person but has been unable to do so; or</w:t>
      </w:r>
    </w:p>
    <w:p w:rsidR="002A22A4" w:rsidRPr="006E709F" w:rsidRDefault="002A22A4" w:rsidP="00A801D0">
      <w:pPr>
        <w:pStyle w:val="paragraph"/>
      </w:pPr>
      <w:r w:rsidRPr="006E709F">
        <w:tab/>
        <w:t>(b)</w:t>
      </w:r>
      <w:r w:rsidRPr="006E709F">
        <w:tab/>
        <w:t>the responsible person has no address for the concerned person, and:</w:t>
      </w:r>
    </w:p>
    <w:p w:rsidR="002A22A4" w:rsidRPr="006E709F" w:rsidRDefault="002A22A4" w:rsidP="00A801D0">
      <w:pPr>
        <w:pStyle w:val="paragraphsub"/>
      </w:pPr>
      <w:r w:rsidRPr="006E709F">
        <w:tab/>
        <w:t>(i)</w:t>
      </w:r>
      <w:r w:rsidRPr="006E709F">
        <w:tab/>
        <w:t>has been unable to obtain an address for the concerned person; and</w:t>
      </w:r>
    </w:p>
    <w:p w:rsidR="002A22A4" w:rsidRPr="006E709F" w:rsidRDefault="002A22A4" w:rsidP="00A801D0">
      <w:pPr>
        <w:pStyle w:val="paragraphsub"/>
      </w:pPr>
      <w:r w:rsidRPr="006E709F">
        <w:tab/>
        <w:t>(ii)</w:t>
      </w:r>
      <w:r w:rsidRPr="006E709F">
        <w:tab/>
        <w:t>has taken reasonable steps to locate the concerned person, but has been unable to do so.</w:t>
      </w:r>
    </w:p>
    <w:p w:rsidR="002A22A4" w:rsidRPr="006E709F" w:rsidRDefault="002A22A4" w:rsidP="00A801D0">
      <w:pPr>
        <w:pStyle w:val="subsection"/>
      </w:pPr>
      <w:r w:rsidRPr="006E709F">
        <w:tab/>
        <w:t>(7B)</w:t>
      </w:r>
      <w:r w:rsidRPr="006E709F">
        <w:tab/>
        <w:t xml:space="preserve">If the responsible person has refrained, in reliance on </w:t>
      </w:r>
      <w:r w:rsidR="00DA13DE" w:rsidRPr="006E709F">
        <w:t>subsection (</w:t>
      </w:r>
      <w:r w:rsidRPr="006E709F">
        <w:t>7A), from giving information to a concerned person, the responsible person must give information to the concerned person if the responsible person later becomes aware of the concerned person’s address or location.</w:t>
      </w:r>
    </w:p>
    <w:p w:rsidR="002A22A4" w:rsidRPr="006E709F" w:rsidRDefault="002A22A4" w:rsidP="00A801D0">
      <w:pPr>
        <w:pStyle w:val="subsection"/>
      </w:pPr>
      <w:r w:rsidRPr="006E709F">
        <w:tab/>
        <w:t>(7C)</w:t>
      </w:r>
      <w:r w:rsidRPr="006E709F">
        <w:tab/>
      </w:r>
      <w:r w:rsidR="00DA13DE" w:rsidRPr="006E709F">
        <w:t>Subsection (</w:t>
      </w:r>
      <w:r w:rsidRPr="006E709F">
        <w:t>7B) applies only in respect of information that the responsible person becomes liable to give to the concerned person after becoming aware of the concerned person’s address or location.</w:t>
      </w:r>
    </w:p>
    <w:p w:rsidR="002A22A4" w:rsidRPr="006E709F" w:rsidRDefault="000577C6" w:rsidP="00DD3819">
      <w:pPr>
        <w:pStyle w:val="ItemHead"/>
      </w:pPr>
      <w:r w:rsidRPr="006E709F">
        <w:t xml:space="preserve">14.2  </w:t>
      </w:r>
      <w:r w:rsidR="002A22A4" w:rsidRPr="006E709F">
        <w:t>After subsection</w:t>
      </w:r>
      <w:r w:rsidR="00DA13DE" w:rsidRPr="006E709F">
        <w:t> </w:t>
      </w:r>
      <w:r w:rsidR="002A22A4" w:rsidRPr="006E709F">
        <w:t>1017C(8)</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(8A)</w:t>
      </w:r>
      <w:r w:rsidRPr="006E709F">
        <w:tab/>
        <w:t xml:space="preserve">Subject to </w:t>
      </w:r>
      <w:r w:rsidR="00DA13DE" w:rsidRPr="006E709F">
        <w:t>subsections (</w:t>
      </w:r>
      <w:r w:rsidRPr="006E709F">
        <w:t>8B) and (8C), this section does not apply if:</w:t>
      </w:r>
    </w:p>
    <w:p w:rsidR="002A22A4" w:rsidRPr="006E709F" w:rsidRDefault="002A22A4" w:rsidP="00A801D0">
      <w:pPr>
        <w:pStyle w:val="paragraph"/>
      </w:pPr>
      <w:r w:rsidRPr="006E709F">
        <w:tab/>
        <w:t>(a)</w:t>
      </w:r>
      <w:r w:rsidRPr="006E709F">
        <w:tab/>
        <w:t>the responsible person has an address for a concerned person, and:</w:t>
      </w:r>
    </w:p>
    <w:p w:rsidR="002A22A4" w:rsidRPr="006E709F" w:rsidRDefault="002A22A4" w:rsidP="00A801D0">
      <w:pPr>
        <w:pStyle w:val="paragraphsub"/>
      </w:pPr>
      <w:r w:rsidRPr="006E709F">
        <w:tab/>
        <w:t>(i)</w:t>
      </w:r>
      <w:r w:rsidRPr="006E709F">
        <w:tab/>
        <w:t>is satisfied on reasonable grounds that that address is incorrect; and</w:t>
      </w:r>
    </w:p>
    <w:p w:rsidR="002A22A4" w:rsidRPr="006E709F" w:rsidRDefault="002A22A4" w:rsidP="00A801D0">
      <w:pPr>
        <w:pStyle w:val="paragraphsub"/>
      </w:pPr>
      <w:r w:rsidRPr="006E709F">
        <w:tab/>
        <w:t>(ii)</w:t>
      </w:r>
      <w:r w:rsidRPr="006E709F">
        <w:tab/>
        <w:t>has taken reasonable steps to locate the concerned person but has been unable to do so; or</w:t>
      </w:r>
    </w:p>
    <w:p w:rsidR="002A22A4" w:rsidRPr="006E709F" w:rsidRDefault="002A22A4" w:rsidP="00A801D0">
      <w:pPr>
        <w:pStyle w:val="paragraph"/>
      </w:pPr>
      <w:r w:rsidRPr="006E709F">
        <w:tab/>
        <w:t>(b)</w:t>
      </w:r>
      <w:r w:rsidRPr="006E709F">
        <w:tab/>
        <w:t>the responsible person has no address for the concerned person, and:</w:t>
      </w:r>
    </w:p>
    <w:p w:rsidR="002A22A4" w:rsidRPr="006E709F" w:rsidRDefault="002A22A4" w:rsidP="00A801D0">
      <w:pPr>
        <w:pStyle w:val="paragraphsub"/>
      </w:pPr>
      <w:r w:rsidRPr="006E709F">
        <w:tab/>
        <w:t>(i)</w:t>
      </w:r>
      <w:r w:rsidRPr="006E709F">
        <w:tab/>
        <w:t>has been unable to obtain an address for the concerned person; and</w:t>
      </w:r>
    </w:p>
    <w:p w:rsidR="002A22A4" w:rsidRPr="006E709F" w:rsidRDefault="002A22A4" w:rsidP="00A801D0">
      <w:pPr>
        <w:pStyle w:val="paragraphsub"/>
      </w:pPr>
      <w:r w:rsidRPr="006E709F">
        <w:tab/>
        <w:t>(ii)</w:t>
      </w:r>
      <w:r w:rsidRPr="006E709F">
        <w:tab/>
        <w:t>has taken reasonable steps to locate the concerned person, but has been unable to do so.</w:t>
      </w:r>
    </w:p>
    <w:p w:rsidR="002A22A4" w:rsidRPr="006E709F" w:rsidRDefault="002A22A4" w:rsidP="00A801D0">
      <w:pPr>
        <w:pStyle w:val="subsection"/>
      </w:pPr>
      <w:r w:rsidRPr="006E709F">
        <w:tab/>
        <w:t>(8B)</w:t>
      </w:r>
      <w:r w:rsidRPr="006E709F">
        <w:tab/>
        <w:t xml:space="preserve">If the responsible person has refrained, in reliance on </w:t>
      </w:r>
      <w:r w:rsidR="00DA13DE" w:rsidRPr="006E709F">
        <w:t>subsection (</w:t>
      </w:r>
      <w:r w:rsidRPr="006E709F">
        <w:t>8A), from giving information to a concerned person, the responsible person must give information to the concerned person if the responsible person later becomes aware of the concerned person’s address or location.</w:t>
      </w:r>
    </w:p>
    <w:p w:rsidR="002A22A4" w:rsidRPr="006E709F" w:rsidRDefault="002A22A4" w:rsidP="00A801D0">
      <w:pPr>
        <w:pStyle w:val="subsection"/>
      </w:pPr>
      <w:r w:rsidRPr="006E709F">
        <w:tab/>
        <w:t>(8C)</w:t>
      </w:r>
      <w:r w:rsidRPr="006E709F">
        <w:tab/>
      </w:r>
      <w:r w:rsidR="00DA13DE" w:rsidRPr="006E709F">
        <w:t>Subsection (</w:t>
      </w:r>
      <w:r w:rsidRPr="006E709F">
        <w:t>8B) applies only in respect of information that the responsible person becomes liable to give to the concerned person after becoming aware of the concerned person’s address or location.</w:t>
      </w:r>
    </w:p>
    <w:p w:rsidR="002A22A4" w:rsidRPr="006E709F" w:rsidRDefault="000577C6" w:rsidP="00DD3819">
      <w:pPr>
        <w:pStyle w:val="ItemHead"/>
      </w:pPr>
      <w:r w:rsidRPr="006E709F">
        <w:t xml:space="preserve">14.3  </w:t>
      </w:r>
      <w:r w:rsidR="002A22A4" w:rsidRPr="006E709F">
        <w:t>After subsection</w:t>
      </w:r>
      <w:r w:rsidR="00DA13DE" w:rsidRPr="006E709F">
        <w:t> </w:t>
      </w:r>
      <w:r w:rsidR="002A22A4" w:rsidRPr="006E709F">
        <w:t>1017D(7)</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(8)</w:t>
      </w:r>
      <w:r w:rsidRPr="006E709F">
        <w:tab/>
        <w:t xml:space="preserve">Subject to </w:t>
      </w:r>
      <w:r w:rsidR="00DA13DE" w:rsidRPr="006E709F">
        <w:t>subsections (</w:t>
      </w:r>
      <w:r w:rsidRPr="006E709F">
        <w:t>9) and (10), this section does not apply if:</w:t>
      </w:r>
    </w:p>
    <w:p w:rsidR="002A22A4" w:rsidRPr="006E709F" w:rsidRDefault="002A22A4" w:rsidP="00A801D0">
      <w:pPr>
        <w:pStyle w:val="paragraph"/>
      </w:pPr>
      <w:r w:rsidRPr="006E709F">
        <w:tab/>
        <w:t>(a)</w:t>
      </w:r>
      <w:r w:rsidRPr="006E709F">
        <w:tab/>
        <w:t>the issuer has an address for a holder, and:</w:t>
      </w:r>
    </w:p>
    <w:p w:rsidR="002A22A4" w:rsidRPr="006E709F" w:rsidRDefault="002A22A4" w:rsidP="00A801D0">
      <w:pPr>
        <w:pStyle w:val="paragraphsub"/>
      </w:pPr>
      <w:r w:rsidRPr="006E709F">
        <w:tab/>
        <w:t>(i)</w:t>
      </w:r>
      <w:r w:rsidRPr="006E709F">
        <w:tab/>
        <w:t>is satisfied on reasonable grounds that that address is incorrect; and</w:t>
      </w:r>
    </w:p>
    <w:p w:rsidR="002A22A4" w:rsidRPr="006E709F" w:rsidRDefault="002A22A4" w:rsidP="00A801D0">
      <w:pPr>
        <w:pStyle w:val="paragraphsub"/>
      </w:pPr>
      <w:r w:rsidRPr="006E709F">
        <w:tab/>
        <w:t>(ii)</w:t>
      </w:r>
      <w:r w:rsidRPr="006E709F">
        <w:tab/>
        <w:t>has taken reasonable steps to locate the holder but has been unable to do so; or</w:t>
      </w:r>
    </w:p>
    <w:p w:rsidR="002A22A4" w:rsidRPr="006E709F" w:rsidRDefault="002A22A4" w:rsidP="00A801D0">
      <w:pPr>
        <w:pStyle w:val="paragraph"/>
      </w:pPr>
      <w:r w:rsidRPr="006E709F">
        <w:tab/>
        <w:t>(b)</w:t>
      </w:r>
      <w:r w:rsidRPr="006E709F">
        <w:tab/>
        <w:t>the issuer has no address for the holder, and:</w:t>
      </w:r>
    </w:p>
    <w:p w:rsidR="002A22A4" w:rsidRPr="006E709F" w:rsidRDefault="002A22A4" w:rsidP="00A801D0">
      <w:pPr>
        <w:pStyle w:val="paragraphsub"/>
      </w:pPr>
      <w:r w:rsidRPr="006E709F">
        <w:tab/>
        <w:t>(i)</w:t>
      </w:r>
      <w:r w:rsidRPr="006E709F">
        <w:tab/>
        <w:t>has been unable to obtain an address for the holder; and</w:t>
      </w:r>
    </w:p>
    <w:p w:rsidR="002A22A4" w:rsidRPr="006E709F" w:rsidRDefault="002A22A4" w:rsidP="00A801D0">
      <w:pPr>
        <w:pStyle w:val="paragraphsub"/>
      </w:pPr>
      <w:r w:rsidRPr="006E709F">
        <w:tab/>
        <w:t>(ii)</w:t>
      </w:r>
      <w:r w:rsidRPr="006E709F">
        <w:tab/>
        <w:t>has taken reasonable steps to locate the holder, but has been unable to do so.</w:t>
      </w:r>
    </w:p>
    <w:p w:rsidR="002A22A4" w:rsidRPr="006E709F" w:rsidRDefault="002A22A4" w:rsidP="00A801D0">
      <w:pPr>
        <w:pStyle w:val="subsection"/>
      </w:pPr>
      <w:r w:rsidRPr="006E709F">
        <w:tab/>
        <w:t>(9)</w:t>
      </w:r>
      <w:r w:rsidRPr="006E709F">
        <w:tab/>
        <w:t xml:space="preserve">If the issuer has refrained, in reliance on </w:t>
      </w:r>
      <w:r w:rsidR="00DA13DE" w:rsidRPr="006E709F">
        <w:t>subsection (</w:t>
      </w:r>
      <w:r w:rsidRPr="006E709F">
        <w:t>8), from giving information to a holder, the issuer must give information to the holder if the issuer later becomes aware of the holder’s address or location.</w:t>
      </w:r>
    </w:p>
    <w:p w:rsidR="002A22A4" w:rsidRPr="006E709F" w:rsidRDefault="002A22A4" w:rsidP="00A801D0">
      <w:pPr>
        <w:pStyle w:val="subsection"/>
      </w:pPr>
      <w:r w:rsidRPr="006E709F">
        <w:tab/>
        <w:t>(10)</w:t>
      </w:r>
      <w:r w:rsidRPr="006E709F">
        <w:tab/>
      </w:r>
      <w:r w:rsidR="00DA13DE" w:rsidRPr="006E709F">
        <w:t>Subsection (</w:t>
      </w:r>
      <w:r w:rsidRPr="006E709F">
        <w:t>9) applies only in respect of information that the issuer becomes liable to give to the holder after becoming aware of the holder’s address or location.</w:t>
      </w:r>
    </w:p>
    <w:p w:rsidR="002A22A4" w:rsidRPr="006E709F" w:rsidRDefault="000577C6" w:rsidP="00DD3819">
      <w:pPr>
        <w:pStyle w:val="ItemHead"/>
      </w:pPr>
      <w:r w:rsidRPr="006E709F">
        <w:t xml:space="preserve">14.4  </w:t>
      </w:r>
      <w:r w:rsidR="002A22A4" w:rsidRPr="006E709F">
        <w:t>After subsection</w:t>
      </w:r>
      <w:r w:rsidR="00DA13DE" w:rsidRPr="006E709F">
        <w:t> </w:t>
      </w:r>
      <w:r w:rsidR="002A22A4" w:rsidRPr="006E709F">
        <w:t>1017DA(3)</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(3A)</w:t>
      </w:r>
      <w:r w:rsidRPr="006E709F">
        <w:tab/>
        <w:t xml:space="preserve">Subject to </w:t>
      </w:r>
      <w:r w:rsidR="00DA13DE" w:rsidRPr="006E709F">
        <w:t>subsections (</w:t>
      </w:r>
      <w:r w:rsidRPr="006E709F">
        <w:t>3B) and (3C), this section does not apply if:</w:t>
      </w:r>
    </w:p>
    <w:p w:rsidR="002A22A4" w:rsidRPr="006E709F" w:rsidRDefault="002A22A4" w:rsidP="00A801D0">
      <w:pPr>
        <w:pStyle w:val="paragraph"/>
      </w:pPr>
      <w:r w:rsidRPr="006E709F">
        <w:tab/>
        <w:t>(a)</w:t>
      </w:r>
      <w:r w:rsidRPr="006E709F">
        <w:tab/>
        <w:t>the trustee has an address for a holder or former holder, and:</w:t>
      </w:r>
    </w:p>
    <w:p w:rsidR="002A22A4" w:rsidRPr="006E709F" w:rsidRDefault="002A22A4" w:rsidP="00A801D0">
      <w:pPr>
        <w:pStyle w:val="paragraphsub"/>
      </w:pPr>
      <w:r w:rsidRPr="006E709F">
        <w:tab/>
        <w:t>(i)</w:t>
      </w:r>
      <w:r w:rsidRPr="006E709F">
        <w:tab/>
        <w:t>is satisfied on reasonable grounds that that address is incorrect; and</w:t>
      </w:r>
    </w:p>
    <w:p w:rsidR="002A22A4" w:rsidRPr="006E709F" w:rsidRDefault="002A22A4" w:rsidP="00A801D0">
      <w:pPr>
        <w:pStyle w:val="paragraphsub"/>
      </w:pPr>
      <w:r w:rsidRPr="006E709F">
        <w:tab/>
        <w:t>(ii)</w:t>
      </w:r>
      <w:r w:rsidRPr="006E709F">
        <w:tab/>
        <w:t>has taken reasonable steps to locate the holder or former holder but has been unable to do so; or</w:t>
      </w:r>
    </w:p>
    <w:p w:rsidR="002A22A4" w:rsidRPr="006E709F" w:rsidRDefault="002A22A4" w:rsidP="00A801D0">
      <w:pPr>
        <w:pStyle w:val="paragraph"/>
      </w:pPr>
      <w:r w:rsidRPr="006E709F">
        <w:tab/>
        <w:t>(b)</w:t>
      </w:r>
      <w:r w:rsidRPr="006E709F">
        <w:tab/>
        <w:t>the trustee has no address for the holder or former holder, and:</w:t>
      </w:r>
    </w:p>
    <w:p w:rsidR="002A22A4" w:rsidRPr="006E709F" w:rsidRDefault="002A22A4" w:rsidP="00A801D0">
      <w:pPr>
        <w:pStyle w:val="paragraphsub"/>
      </w:pPr>
      <w:r w:rsidRPr="006E709F">
        <w:tab/>
        <w:t>(i)</w:t>
      </w:r>
      <w:r w:rsidRPr="006E709F">
        <w:tab/>
        <w:t>has been unable to obtain an address for the holder or former holder; and</w:t>
      </w:r>
    </w:p>
    <w:p w:rsidR="002A22A4" w:rsidRPr="006E709F" w:rsidRDefault="002A22A4" w:rsidP="00A801D0">
      <w:pPr>
        <w:pStyle w:val="paragraphsub"/>
      </w:pPr>
      <w:r w:rsidRPr="006E709F">
        <w:tab/>
        <w:t>(ii)</w:t>
      </w:r>
      <w:r w:rsidRPr="006E709F">
        <w:tab/>
        <w:t>has taken reasonable steps to locate the holder or former holder, but has been unable to do so.</w:t>
      </w:r>
    </w:p>
    <w:p w:rsidR="002A22A4" w:rsidRPr="006E709F" w:rsidRDefault="002A22A4" w:rsidP="00A801D0">
      <w:pPr>
        <w:pStyle w:val="subsection"/>
      </w:pPr>
      <w:r w:rsidRPr="006E709F">
        <w:tab/>
        <w:t>(3B)</w:t>
      </w:r>
      <w:r w:rsidRPr="006E709F">
        <w:tab/>
        <w:t xml:space="preserve">If the trustee has refrained, in reliance on </w:t>
      </w:r>
      <w:r w:rsidR="00DA13DE" w:rsidRPr="006E709F">
        <w:t>subsection (</w:t>
      </w:r>
      <w:r w:rsidRPr="006E709F">
        <w:t>3A), from giving information to a holder or former holder, the trustee must give information to the holder or former holder if the trustee later becomes aware of the holder’s or former holder’s address or location.</w:t>
      </w:r>
    </w:p>
    <w:p w:rsidR="002A22A4" w:rsidRPr="006E709F" w:rsidRDefault="002A22A4" w:rsidP="003811A2">
      <w:pPr>
        <w:pStyle w:val="subsection"/>
        <w:keepNext/>
        <w:keepLines/>
      </w:pPr>
      <w:r w:rsidRPr="006E709F">
        <w:tab/>
        <w:t>(3C)</w:t>
      </w:r>
      <w:r w:rsidRPr="006E709F">
        <w:tab/>
      </w:r>
      <w:r w:rsidR="00DA13DE" w:rsidRPr="006E709F">
        <w:t>Subsection (</w:t>
      </w:r>
      <w:r w:rsidRPr="006E709F">
        <w:t>3B) applies only in respect of information that the trustee becomes liable to give to the holder or former holder after becoming aware of the holder’s or former holder’s address or location.</w:t>
      </w:r>
    </w:p>
    <w:p w:rsidR="002A22A4" w:rsidRPr="006E709F" w:rsidRDefault="00A801D0" w:rsidP="003528A0">
      <w:pPr>
        <w:pStyle w:val="ActHead2"/>
        <w:pageBreakBefore/>
      </w:pPr>
      <w:bookmarkStart w:id="125" w:name="_Toc160609812"/>
      <w:r w:rsidRPr="000C4237">
        <w:rPr>
          <w:rStyle w:val="CharPartNo"/>
        </w:rPr>
        <w:t>Part</w:t>
      </w:r>
      <w:r w:rsidR="00DA13DE" w:rsidRPr="000C4237">
        <w:rPr>
          <w:rStyle w:val="CharPartNo"/>
        </w:rPr>
        <w:t> </w:t>
      </w:r>
      <w:r w:rsidR="002A22A4" w:rsidRPr="000C4237">
        <w:rPr>
          <w:rStyle w:val="CharPartNo"/>
        </w:rPr>
        <w:t>15</w:t>
      </w:r>
      <w:r w:rsidRPr="006E709F">
        <w:t>—</w:t>
      </w:r>
      <w:r w:rsidR="002A22A4" w:rsidRPr="000C4237">
        <w:rPr>
          <w:rStyle w:val="CharPartText"/>
        </w:rPr>
        <w:t>Modifications for confirmation of transactions</w:t>
      </w:r>
      <w:bookmarkEnd w:id="125"/>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0577C6" w:rsidP="00DD3819">
      <w:pPr>
        <w:pStyle w:val="ItemHead"/>
      </w:pPr>
      <w:r w:rsidRPr="006E709F">
        <w:t xml:space="preserve">15.1  </w:t>
      </w:r>
      <w:r w:rsidR="002A22A4" w:rsidRPr="006E709F">
        <w:t>After subsection</w:t>
      </w:r>
      <w:r w:rsidR="00DA13DE" w:rsidRPr="006E709F">
        <w:t> </w:t>
      </w:r>
      <w:r w:rsidR="002A22A4" w:rsidRPr="006E709F">
        <w:t>1017F(5A)</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(5B)</w:t>
      </w:r>
      <w:r w:rsidRPr="006E709F">
        <w:tab/>
        <w:t xml:space="preserve">Despite </w:t>
      </w:r>
      <w:r w:rsidR="00DA13DE" w:rsidRPr="006E709F">
        <w:t>subsection (</w:t>
      </w:r>
      <w:r w:rsidRPr="006E709F">
        <w:t>5), if:</w:t>
      </w:r>
    </w:p>
    <w:p w:rsidR="002A22A4" w:rsidRPr="006E709F" w:rsidRDefault="002A22A4" w:rsidP="00A801D0">
      <w:pPr>
        <w:pStyle w:val="paragraph"/>
      </w:pPr>
      <w:r w:rsidRPr="006E709F">
        <w:rPr>
          <w:color w:val="000000"/>
        </w:rPr>
        <w:tab/>
        <w:t>(a)</w:t>
      </w:r>
      <w:r w:rsidRPr="006E709F">
        <w:rPr>
          <w:color w:val="000000"/>
        </w:rPr>
        <w:tab/>
        <w:t>the cost of a transaction (including taxes and charges) is not known at the time at which confirmation of the transaction would be required to be given; and</w:t>
      </w:r>
    </w:p>
    <w:p w:rsidR="002A22A4" w:rsidRPr="006E709F" w:rsidRDefault="002A22A4" w:rsidP="00A801D0">
      <w:pPr>
        <w:pStyle w:val="paragraph"/>
      </w:pPr>
      <w:r w:rsidRPr="006E709F">
        <w:tab/>
        <w:t>(b)</w:t>
      </w:r>
      <w:r w:rsidRPr="006E709F">
        <w:tab/>
        <w:t xml:space="preserve">all of the other information required under </w:t>
      </w:r>
      <w:r w:rsidR="00DA13DE" w:rsidRPr="006E709F">
        <w:t>subsection (</w:t>
      </w:r>
      <w:r w:rsidRPr="006E709F">
        <w:t>7) in relation to confirmation of the transaction is known at that time;</w:t>
      </w:r>
    </w:p>
    <w:p w:rsidR="002A22A4" w:rsidRPr="006E709F" w:rsidRDefault="002A22A4" w:rsidP="00A801D0">
      <w:pPr>
        <w:pStyle w:val="subsection2"/>
      </w:pPr>
      <w:r w:rsidRPr="006E709F">
        <w:rPr>
          <w:color w:val="000000"/>
        </w:rPr>
        <w:t xml:space="preserve">the confirmation of the transaction is to be provided in accordance with </w:t>
      </w:r>
      <w:r w:rsidR="00DA13DE" w:rsidRPr="006E709F">
        <w:rPr>
          <w:color w:val="000000"/>
        </w:rPr>
        <w:t>subsection (</w:t>
      </w:r>
      <w:r w:rsidRPr="006E709F">
        <w:rPr>
          <w:color w:val="000000"/>
        </w:rPr>
        <w:t>5C).</w:t>
      </w:r>
    </w:p>
    <w:p w:rsidR="002A22A4" w:rsidRPr="006E709F" w:rsidRDefault="002A22A4" w:rsidP="00A801D0">
      <w:pPr>
        <w:pStyle w:val="subsection"/>
      </w:pPr>
      <w:r w:rsidRPr="006E709F">
        <w:tab/>
        <w:t>(5C)</w:t>
      </w:r>
      <w:r w:rsidRPr="006E709F">
        <w:tab/>
        <w:t>Confirmation is to be provided as follows:</w:t>
      </w:r>
    </w:p>
    <w:p w:rsidR="002A22A4" w:rsidRPr="006E709F" w:rsidRDefault="002A22A4" w:rsidP="00A801D0">
      <w:pPr>
        <w:pStyle w:val="paragraph"/>
      </w:pPr>
      <w:r w:rsidRPr="006E709F">
        <w:rPr>
          <w:color w:val="000000"/>
        </w:rPr>
        <w:tab/>
        <w:t>(a)</w:t>
      </w:r>
      <w:r w:rsidRPr="006E709F">
        <w:rPr>
          <w:color w:val="000000"/>
        </w:rPr>
        <w:tab/>
        <w:t xml:space="preserve">all of the information required, except for the cost of the transaction, is to be provided as soon as practicable in accordance with </w:t>
      </w:r>
      <w:r w:rsidR="00DA13DE" w:rsidRPr="006E709F">
        <w:rPr>
          <w:color w:val="000000"/>
        </w:rPr>
        <w:t>subsection (</w:t>
      </w:r>
      <w:r w:rsidRPr="006E709F">
        <w:rPr>
          <w:color w:val="000000"/>
        </w:rPr>
        <w:t>5);</w:t>
      </w:r>
    </w:p>
    <w:p w:rsidR="002A22A4" w:rsidRPr="006E709F" w:rsidRDefault="002A22A4" w:rsidP="00A801D0">
      <w:pPr>
        <w:pStyle w:val="paragraph"/>
      </w:pPr>
      <w:r w:rsidRPr="006E709F">
        <w:tab/>
        <w:t>(b)</w:t>
      </w:r>
      <w:r w:rsidRPr="006E709F">
        <w:tab/>
        <w:t>the cost of the transaction may be provided in whichever of the following can be done first:</w:t>
      </w:r>
    </w:p>
    <w:p w:rsidR="0048795D" w:rsidRPr="006E709F" w:rsidRDefault="002A22A4" w:rsidP="00A801D0">
      <w:pPr>
        <w:pStyle w:val="paragraphsub"/>
        <w:rPr>
          <w:color w:val="000000"/>
        </w:rPr>
      </w:pPr>
      <w:r w:rsidRPr="006E709F">
        <w:rPr>
          <w:color w:val="000000"/>
        </w:rPr>
        <w:tab/>
        <w:t>(i)</w:t>
      </w:r>
      <w:r w:rsidRPr="006E709F">
        <w:rPr>
          <w:color w:val="000000"/>
        </w:rPr>
        <w:tab/>
        <w:t>a secondary confirmation notice provided as soon as practicable after the cost is known;</w:t>
      </w:r>
    </w:p>
    <w:p w:rsidR="002A22A4" w:rsidRPr="006E709F" w:rsidRDefault="002A22A4" w:rsidP="00A801D0">
      <w:pPr>
        <w:pStyle w:val="paragraphsub"/>
      </w:pPr>
      <w:r w:rsidRPr="006E709F">
        <w:tab/>
        <w:t>(ii)</w:t>
      </w:r>
      <w:r w:rsidRPr="006E709F">
        <w:tab/>
        <w:t>a standing facility mentioned in paragraph</w:t>
      </w:r>
      <w:r w:rsidR="00DA13DE" w:rsidRPr="006E709F">
        <w:t> </w:t>
      </w:r>
      <w:r w:rsidRPr="006E709F">
        <w:t>1017F(5</w:t>
      </w:r>
      <w:r w:rsidR="00A801D0" w:rsidRPr="006E709F">
        <w:t>)(</w:t>
      </w:r>
      <w:r w:rsidRPr="006E709F">
        <w:t>b);</w:t>
      </w:r>
    </w:p>
    <w:p w:rsidR="002A22A4" w:rsidRPr="006E709F" w:rsidRDefault="002A22A4" w:rsidP="00A801D0">
      <w:pPr>
        <w:pStyle w:val="paragraphsub"/>
      </w:pPr>
      <w:r w:rsidRPr="006E709F">
        <w:tab/>
        <w:t>(iii)</w:t>
      </w:r>
      <w:r w:rsidRPr="006E709F">
        <w:tab/>
        <w:t>the first periodic report under section</w:t>
      </w:r>
      <w:r w:rsidR="00DA13DE" w:rsidRPr="006E709F">
        <w:t> </w:t>
      </w:r>
      <w:r w:rsidRPr="006E709F">
        <w:t>1017D after the cost is known.</w:t>
      </w:r>
    </w:p>
    <w:p w:rsidR="002A22A4" w:rsidRPr="006E709F" w:rsidRDefault="00A801D0" w:rsidP="00A801D0">
      <w:pPr>
        <w:pStyle w:val="ActHead2"/>
        <w:pageBreakBefore/>
      </w:pPr>
      <w:bookmarkStart w:id="126" w:name="_Toc160609813"/>
      <w:r w:rsidRPr="000C4237">
        <w:rPr>
          <w:rStyle w:val="CharPartNo"/>
        </w:rPr>
        <w:t>Part</w:t>
      </w:r>
      <w:r w:rsidR="00DA13DE" w:rsidRPr="000C4237">
        <w:rPr>
          <w:rStyle w:val="CharPartNo"/>
        </w:rPr>
        <w:t> </w:t>
      </w:r>
      <w:r w:rsidR="002A22A4" w:rsidRPr="000C4237">
        <w:rPr>
          <w:rStyle w:val="CharPartNo"/>
        </w:rPr>
        <w:t>16</w:t>
      </w:r>
      <w:r w:rsidRPr="006E709F">
        <w:t>—</w:t>
      </w:r>
      <w:r w:rsidR="002A22A4" w:rsidRPr="000C4237">
        <w:rPr>
          <w:rStyle w:val="CharPartText"/>
        </w:rPr>
        <w:t>Modifications relating to reporting periods</w:t>
      </w:r>
      <w:bookmarkEnd w:id="126"/>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2A22A4" w:rsidP="00DD3819">
      <w:pPr>
        <w:pStyle w:val="ItemHead"/>
      </w:pPr>
      <w:r w:rsidRPr="006E709F">
        <w:t>16.1</w:t>
      </w:r>
      <w:r w:rsidR="000577C6" w:rsidRPr="006E709F">
        <w:t xml:space="preserve">  </w:t>
      </w:r>
      <w:r w:rsidR="00FF4176" w:rsidRPr="006E709F">
        <w:t>Paragraph 1</w:t>
      </w:r>
      <w:r w:rsidRPr="006E709F">
        <w:t>017D(2</w:t>
      </w:r>
      <w:r w:rsidR="00A801D0" w:rsidRPr="006E709F">
        <w:t>)(</w:t>
      </w:r>
      <w:r w:rsidRPr="006E709F">
        <w:t>a)</w:t>
      </w:r>
    </w:p>
    <w:p w:rsidR="00A801D0" w:rsidRPr="006E709F" w:rsidRDefault="00A801D0" w:rsidP="00DD3819">
      <w:pPr>
        <w:pStyle w:val="Item"/>
        <w:rPr>
          <w:i/>
        </w:rPr>
      </w:pPr>
      <w:r w:rsidRPr="006E709F">
        <w:rPr>
          <w:i/>
        </w:rPr>
        <w:t>substitute</w:t>
      </w:r>
    </w:p>
    <w:p w:rsidR="002A22A4" w:rsidRPr="006E709F" w:rsidRDefault="002A22A4" w:rsidP="00A801D0">
      <w:pPr>
        <w:pStyle w:val="paragraph"/>
      </w:pPr>
      <w:r w:rsidRPr="006E709F">
        <w:tab/>
        <w:t>(a)</w:t>
      </w:r>
      <w:r w:rsidRPr="006E709F">
        <w:tab/>
        <w:t>each reporting period lasts for:</w:t>
      </w:r>
    </w:p>
    <w:p w:rsidR="002A22A4" w:rsidRPr="006E709F" w:rsidRDefault="002A22A4" w:rsidP="00A801D0">
      <w:pPr>
        <w:pStyle w:val="paragraphsub"/>
      </w:pPr>
      <w:r w:rsidRPr="006E709F">
        <w:tab/>
        <w:t>(i)</w:t>
      </w:r>
      <w:r w:rsidRPr="006E709F">
        <w:tab/>
        <w:t>a period, not exceeding 1 year, fixed by the issuer; or</w:t>
      </w:r>
    </w:p>
    <w:p w:rsidR="002A22A4" w:rsidRPr="006E709F" w:rsidRDefault="002A22A4" w:rsidP="00A801D0">
      <w:pPr>
        <w:pStyle w:val="paragraphsub"/>
      </w:pPr>
      <w:r w:rsidRPr="006E709F">
        <w:tab/>
        <w:t>(ii)</w:t>
      </w:r>
      <w:r w:rsidRPr="006E709F">
        <w:tab/>
        <w:t>a longer period fixed by ASIC on the application of the issuer to which the period relates;</w:t>
      </w:r>
    </w:p>
    <w:p w:rsidR="002A22A4" w:rsidRPr="006E709F" w:rsidRDefault="00A801D0" w:rsidP="00A801D0">
      <w:pPr>
        <w:pStyle w:val="ActHead2"/>
        <w:pageBreakBefore/>
      </w:pPr>
      <w:bookmarkStart w:id="127" w:name="_Toc160609814"/>
      <w:r w:rsidRPr="000C4237">
        <w:rPr>
          <w:rStyle w:val="CharPartNo"/>
        </w:rPr>
        <w:t>Part</w:t>
      </w:r>
      <w:r w:rsidR="00DA13DE" w:rsidRPr="000C4237">
        <w:rPr>
          <w:rStyle w:val="CharPartNo"/>
        </w:rPr>
        <w:t> </w:t>
      </w:r>
      <w:r w:rsidR="002A22A4" w:rsidRPr="000C4237">
        <w:rPr>
          <w:rStyle w:val="CharPartNo"/>
        </w:rPr>
        <w:t>17</w:t>
      </w:r>
      <w:r w:rsidRPr="006E709F">
        <w:t>—</w:t>
      </w:r>
      <w:r w:rsidR="002A22A4" w:rsidRPr="000C4237">
        <w:rPr>
          <w:rStyle w:val="CharPartText"/>
        </w:rPr>
        <w:t>Modifications relating to application forms for specified superannuation products</w:t>
      </w:r>
      <w:bookmarkEnd w:id="127"/>
    </w:p>
    <w:p w:rsidR="002406FE" w:rsidRPr="006E709F" w:rsidRDefault="002406FE" w:rsidP="002406FE">
      <w:pPr>
        <w:pStyle w:val="Header"/>
      </w:pPr>
      <w:r w:rsidRPr="000C4237">
        <w:rPr>
          <w:rStyle w:val="CharDivNo"/>
        </w:rPr>
        <w:t xml:space="preserve"> </w:t>
      </w:r>
      <w:r w:rsidRPr="000C4237">
        <w:rPr>
          <w:rStyle w:val="CharDivText"/>
        </w:rPr>
        <w:t xml:space="preserve"> </w:t>
      </w:r>
    </w:p>
    <w:p w:rsidR="002A22A4" w:rsidRPr="006E709F" w:rsidRDefault="002A22A4" w:rsidP="00DD3819">
      <w:pPr>
        <w:pStyle w:val="ItemHead"/>
      </w:pPr>
      <w:r w:rsidRPr="006E709F">
        <w:t>17.1</w:t>
      </w:r>
      <w:r w:rsidR="000577C6" w:rsidRPr="006E709F">
        <w:t xml:space="preserve">  </w:t>
      </w:r>
      <w:r w:rsidRPr="006E709F">
        <w:t>After subsection</w:t>
      </w:r>
      <w:r w:rsidR="00DA13DE" w:rsidRPr="006E709F">
        <w:t> </w:t>
      </w:r>
      <w:r w:rsidRPr="006E709F">
        <w:t>1012B(4)</w:t>
      </w:r>
    </w:p>
    <w:p w:rsidR="00A801D0" w:rsidRPr="006E709F" w:rsidRDefault="00A801D0" w:rsidP="00DD3819">
      <w:pPr>
        <w:pStyle w:val="Item"/>
        <w:rPr>
          <w:i/>
        </w:rPr>
      </w:pPr>
      <w:r w:rsidRPr="006E709F">
        <w:rPr>
          <w:i/>
        </w:rPr>
        <w:t>insert</w:t>
      </w:r>
    </w:p>
    <w:p w:rsidR="002A22A4" w:rsidRPr="006E709F" w:rsidRDefault="002A22A4" w:rsidP="00A801D0">
      <w:pPr>
        <w:pStyle w:val="subsection"/>
      </w:pPr>
      <w:r w:rsidRPr="006E709F">
        <w:tab/>
        <w:t>(4A)</w:t>
      </w:r>
      <w:r w:rsidRPr="006E709F">
        <w:tab/>
        <w:t>A regulated person:</w:t>
      </w:r>
    </w:p>
    <w:p w:rsidR="002A22A4" w:rsidRPr="006E709F" w:rsidRDefault="002A22A4" w:rsidP="00A801D0">
      <w:pPr>
        <w:pStyle w:val="paragraph"/>
      </w:pPr>
      <w:r w:rsidRPr="006E709F">
        <w:tab/>
        <w:t>(a)</w:t>
      </w:r>
      <w:r w:rsidRPr="006E709F">
        <w:tab/>
        <w:t>need not give a client a Product Disclosure Statement for a financial product at or before the time when it would otherwise be required to be given; and</w:t>
      </w:r>
    </w:p>
    <w:p w:rsidR="002A22A4" w:rsidRPr="006E709F" w:rsidRDefault="002A22A4" w:rsidP="00A801D0">
      <w:pPr>
        <w:pStyle w:val="paragraph"/>
      </w:pPr>
      <w:r w:rsidRPr="006E709F">
        <w:tab/>
        <w:t>(b)</w:t>
      </w:r>
      <w:r w:rsidRPr="006E709F">
        <w:tab/>
        <w:t>must give the client the Product Disclosure Statement as soon as is reasonably practical and in any event within 3 months after the product is issued to the client; and</w:t>
      </w:r>
    </w:p>
    <w:p w:rsidR="002A22A4" w:rsidRPr="006E709F" w:rsidRDefault="002A22A4" w:rsidP="00A801D0">
      <w:pPr>
        <w:pStyle w:val="paragraph"/>
      </w:pPr>
      <w:r w:rsidRPr="006E709F">
        <w:tab/>
        <w:t>(c)</w:t>
      </w:r>
      <w:r w:rsidRPr="006E709F">
        <w:tab/>
        <w:t xml:space="preserve">need not give the client the Product Disclosure Statement at all if the client ceases to be a member of the superannuation fund concerned before the regulated person is required to give the Product Disclosure Statement under </w:t>
      </w:r>
      <w:r w:rsidR="00DA13DE" w:rsidRPr="006E709F">
        <w:t>paragraph (</w:t>
      </w:r>
      <w:r w:rsidRPr="006E709F">
        <w:t>b).</w:t>
      </w:r>
    </w:p>
    <w:p w:rsidR="002A22A4" w:rsidRPr="006E709F" w:rsidRDefault="002A22A4" w:rsidP="00A801D0">
      <w:pPr>
        <w:pStyle w:val="subsection"/>
      </w:pPr>
      <w:r w:rsidRPr="006E709F">
        <w:tab/>
        <w:t>(4B)</w:t>
      </w:r>
      <w:r w:rsidRPr="006E709F">
        <w:tab/>
      </w:r>
      <w:r w:rsidR="00DA13DE" w:rsidRPr="006E709F">
        <w:t>Subsections (</w:t>
      </w:r>
      <w:r w:rsidRPr="006E709F">
        <w:t>3), (4) and (4A) apply only in respect of:</w:t>
      </w:r>
    </w:p>
    <w:p w:rsidR="002A22A4" w:rsidRPr="006E709F" w:rsidRDefault="002A22A4" w:rsidP="00A801D0">
      <w:pPr>
        <w:pStyle w:val="paragraph"/>
      </w:pPr>
      <w:r w:rsidRPr="006E709F">
        <w:tab/>
        <w:t>(a)</w:t>
      </w:r>
      <w:r w:rsidRPr="006E709F">
        <w:tab/>
        <w:t>in the case of an eligible rollover fund:</w:t>
      </w:r>
    </w:p>
    <w:p w:rsidR="002A22A4" w:rsidRPr="006E709F" w:rsidRDefault="002A22A4" w:rsidP="00A801D0">
      <w:pPr>
        <w:pStyle w:val="paragraphsub"/>
      </w:pPr>
      <w:r w:rsidRPr="006E709F">
        <w:tab/>
        <w:t>(i)</w:t>
      </w:r>
      <w:r w:rsidRPr="006E709F">
        <w:tab/>
        <w:t>persons who become members of the fund by being issued with a superannuation interest under section</w:t>
      </w:r>
      <w:r w:rsidR="00DA13DE" w:rsidRPr="006E709F">
        <w:t> </w:t>
      </w:r>
      <w:r w:rsidRPr="006E709F">
        <w:t>243 of the SIS Act; and</w:t>
      </w:r>
    </w:p>
    <w:p w:rsidR="002A22A4" w:rsidRPr="006E709F" w:rsidRDefault="002A22A4" w:rsidP="00A801D0">
      <w:pPr>
        <w:pStyle w:val="paragraphsub"/>
      </w:pPr>
      <w:r w:rsidRPr="006E709F">
        <w:tab/>
        <w:t>(ii)</w:t>
      </w:r>
      <w:r w:rsidRPr="006E709F">
        <w:tab/>
        <w:t>persons who become members of the fund in circumstances mentioned in section</w:t>
      </w:r>
      <w:r w:rsidR="00DA13DE" w:rsidRPr="006E709F">
        <w:t> </w:t>
      </w:r>
      <w:r w:rsidRPr="006E709F">
        <w:t>89 of the RSA Act; and</w:t>
      </w:r>
    </w:p>
    <w:p w:rsidR="002A22A4" w:rsidRPr="006E709F" w:rsidRDefault="002A22A4" w:rsidP="00A801D0">
      <w:pPr>
        <w:pStyle w:val="paragraph"/>
      </w:pPr>
      <w:r w:rsidRPr="006E709F">
        <w:tab/>
        <w:t>(b)</w:t>
      </w:r>
      <w:r w:rsidRPr="006E709F">
        <w:tab/>
        <w:t>in the case of a public offer superannuation fund that is not a successor fund in relation to the financial product issued to the client:</w:t>
      </w:r>
    </w:p>
    <w:p w:rsidR="002A22A4" w:rsidRPr="006E709F" w:rsidRDefault="002A22A4" w:rsidP="00A801D0">
      <w:pPr>
        <w:pStyle w:val="paragraphsub"/>
      </w:pPr>
      <w:r w:rsidRPr="006E709F">
        <w:tab/>
        <w:t>(i)</w:t>
      </w:r>
      <w:r w:rsidRPr="006E709F">
        <w:tab/>
        <w:t>standard employer</w:t>
      </w:r>
      <w:r w:rsidR="000C4237">
        <w:noBreakHyphen/>
      </w:r>
      <w:r w:rsidRPr="006E709F">
        <w:t>sponsored members of the fund; and</w:t>
      </w:r>
    </w:p>
    <w:p w:rsidR="0048795D" w:rsidRPr="006E709F" w:rsidRDefault="002A22A4" w:rsidP="00A801D0">
      <w:pPr>
        <w:pStyle w:val="paragraphsub"/>
      </w:pPr>
      <w:r w:rsidRPr="006E709F">
        <w:tab/>
        <w:t>(ii)</w:t>
      </w:r>
      <w:r w:rsidRPr="006E709F">
        <w:tab/>
        <w:t xml:space="preserve">persons who become members of the fund in circumstances mentioned in </w:t>
      </w:r>
      <w:r w:rsidR="005378CE" w:rsidRPr="006E709F">
        <w:t>regulation 7</w:t>
      </w:r>
      <w:r w:rsidRPr="006E709F">
        <w:t xml:space="preserve">.9.06B of the </w:t>
      </w:r>
      <w:r w:rsidRPr="006E709F">
        <w:rPr>
          <w:i/>
        </w:rPr>
        <w:t xml:space="preserve">Corporations </w:t>
      </w:r>
      <w:r w:rsidR="000C4237">
        <w:rPr>
          <w:i/>
        </w:rPr>
        <w:t>Regulations 2</w:t>
      </w:r>
      <w:r w:rsidRPr="006E709F">
        <w:rPr>
          <w:i/>
        </w:rPr>
        <w:t>001</w:t>
      </w:r>
      <w:r w:rsidRPr="006E709F">
        <w:t>.</w:t>
      </w:r>
    </w:p>
    <w:p w:rsidR="002A22A4" w:rsidRPr="006E709F" w:rsidRDefault="002A22A4" w:rsidP="003C672B">
      <w:pPr>
        <w:pStyle w:val="ItemHead"/>
      </w:pPr>
      <w:r w:rsidRPr="006E709F">
        <w:t>17.2</w:t>
      </w:r>
      <w:r w:rsidR="000577C6" w:rsidRPr="006E709F">
        <w:t xml:space="preserve">  </w:t>
      </w:r>
      <w:r w:rsidRPr="006E709F">
        <w:t>After subsection</w:t>
      </w:r>
      <w:r w:rsidR="00DA13DE" w:rsidRPr="006E709F">
        <w:t> </w:t>
      </w:r>
      <w:r w:rsidRPr="006E709F">
        <w:t>1012I(2B)</w:t>
      </w:r>
    </w:p>
    <w:p w:rsidR="00A801D0" w:rsidRPr="006E709F" w:rsidRDefault="00A801D0" w:rsidP="003C672B">
      <w:pPr>
        <w:pStyle w:val="Item"/>
        <w:rPr>
          <w:i/>
        </w:rPr>
      </w:pPr>
      <w:r w:rsidRPr="006E709F">
        <w:rPr>
          <w:i/>
        </w:rPr>
        <w:t>insert</w:t>
      </w:r>
    </w:p>
    <w:p w:rsidR="002A22A4" w:rsidRPr="006E709F" w:rsidRDefault="002A22A4" w:rsidP="00A801D0">
      <w:pPr>
        <w:pStyle w:val="subsection"/>
      </w:pPr>
      <w:r w:rsidRPr="006E709F">
        <w:tab/>
        <w:t>(2C)</w:t>
      </w:r>
      <w:r w:rsidRPr="006E709F">
        <w:tab/>
        <w:t xml:space="preserve">If a trustee of an </w:t>
      </w:r>
      <w:r w:rsidR="000F29FD" w:rsidRPr="00BE1284">
        <w:t>exempt public sector superannuation scheme</w:t>
      </w:r>
      <w:r w:rsidRPr="006E709F">
        <w:t>:</w:t>
      </w:r>
    </w:p>
    <w:p w:rsidR="002A22A4" w:rsidRPr="006E709F" w:rsidRDefault="002A22A4" w:rsidP="00A801D0">
      <w:pPr>
        <w:pStyle w:val="paragraph"/>
      </w:pPr>
      <w:r w:rsidRPr="006E709F">
        <w:tab/>
        <w:t>(a)</w:t>
      </w:r>
      <w:r w:rsidRPr="006E709F">
        <w:tab/>
        <w:t xml:space="preserve">applies, in circumstances mentioned in </w:t>
      </w:r>
      <w:r w:rsidR="005378CE" w:rsidRPr="006E709F">
        <w:t>regulation 7</w:t>
      </w:r>
      <w:r w:rsidRPr="006E709F">
        <w:t xml:space="preserve">.9.06B of the </w:t>
      </w:r>
      <w:r w:rsidRPr="006E709F">
        <w:rPr>
          <w:i/>
        </w:rPr>
        <w:t xml:space="preserve">Corporations </w:t>
      </w:r>
      <w:r w:rsidR="000C4237">
        <w:rPr>
          <w:i/>
        </w:rPr>
        <w:t>Regulations 2</w:t>
      </w:r>
      <w:r w:rsidRPr="006E709F">
        <w:rPr>
          <w:i/>
        </w:rPr>
        <w:t>001</w:t>
      </w:r>
      <w:r w:rsidRPr="006E709F">
        <w:t>, on behalf of a person for the issue of an interest in a relevant superannuation entity; and</w:t>
      </w:r>
    </w:p>
    <w:p w:rsidR="002A22A4" w:rsidRPr="006E709F" w:rsidRDefault="002A22A4" w:rsidP="00A801D0">
      <w:pPr>
        <w:pStyle w:val="paragraph"/>
      </w:pPr>
      <w:r w:rsidRPr="006E709F">
        <w:tab/>
        <w:t>(b)</w:t>
      </w:r>
      <w:r w:rsidRPr="006E709F">
        <w:tab/>
        <w:t>has not previously applied in those circumstances for the issue of an interest in that entity on behalf of any person;</w:t>
      </w:r>
    </w:p>
    <w:p w:rsidR="002A22A4" w:rsidRPr="006E709F" w:rsidRDefault="002A22A4" w:rsidP="00A801D0">
      <w:pPr>
        <w:pStyle w:val="subsection2"/>
      </w:pPr>
      <w:r w:rsidRPr="006E709F">
        <w:t xml:space="preserve">the person (the </w:t>
      </w:r>
      <w:r w:rsidRPr="006E709F">
        <w:rPr>
          <w:b/>
          <w:i/>
        </w:rPr>
        <w:t>issuer</w:t>
      </w:r>
      <w:r w:rsidRPr="006E709F">
        <w:t xml:space="preserve">) who is to issue the interest to the person must, at or before the time when the interest is issued to the person, give the trustee a Product Disclosure Statement in accordance with this </w:t>
      </w:r>
      <w:r w:rsidR="00A801D0" w:rsidRPr="006E709F">
        <w:t>Division</w:t>
      </w:r>
      <w:r w:rsidR="00E376FA" w:rsidRPr="006E709F">
        <w:t xml:space="preserve"> </w:t>
      </w:r>
      <w:r w:rsidRPr="006E709F">
        <w:t>for the interest.</w:t>
      </w:r>
    </w:p>
    <w:p w:rsidR="00842F88" w:rsidRPr="006E709F" w:rsidRDefault="00A801D0" w:rsidP="00A801D0">
      <w:pPr>
        <w:pStyle w:val="ActHead2"/>
        <w:pageBreakBefore/>
      </w:pPr>
      <w:bookmarkStart w:id="128" w:name="_Toc160609815"/>
      <w:r w:rsidRPr="000C4237">
        <w:rPr>
          <w:rStyle w:val="CharPartNo"/>
        </w:rPr>
        <w:t>Part</w:t>
      </w:r>
      <w:r w:rsidR="00DA13DE" w:rsidRPr="000C4237">
        <w:rPr>
          <w:rStyle w:val="CharPartNo"/>
        </w:rPr>
        <w:t> </w:t>
      </w:r>
      <w:r w:rsidR="00842F88" w:rsidRPr="000C4237">
        <w:rPr>
          <w:rStyle w:val="CharPartNo"/>
        </w:rPr>
        <w:t>18</w:t>
      </w:r>
      <w:r w:rsidRPr="006E709F">
        <w:t>—</w:t>
      </w:r>
      <w:r w:rsidR="00842F88" w:rsidRPr="000C4237">
        <w:rPr>
          <w:rStyle w:val="CharPartText"/>
        </w:rPr>
        <w:t>Modification of Part</w:t>
      </w:r>
      <w:r w:rsidR="00DA13DE" w:rsidRPr="000C4237">
        <w:rPr>
          <w:rStyle w:val="CharPartText"/>
        </w:rPr>
        <w:t> </w:t>
      </w:r>
      <w:r w:rsidR="00842F88" w:rsidRPr="000C4237">
        <w:rPr>
          <w:rStyle w:val="CharPartText"/>
        </w:rPr>
        <w:t>7.9 of the Act</w:t>
      </w:r>
      <w:r w:rsidRPr="000C4237">
        <w:rPr>
          <w:rStyle w:val="CharPartText"/>
        </w:rPr>
        <w:t>—</w:t>
      </w:r>
      <w:r w:rsidR="00842F88" w:rsidRPr="000C4237">
        <w:rPr>
          <w:rStyle w:val="CharPartText"/>
        </w:rPr>
        <w:t>New Zealand offer documents replace Product Disclosure Statements where an offer relates to interests in a New Zealand managed investment scheme</w:t>
      </w:r>
      <w:bookmarkEnd w:id="128"/>
    </w:p>
    <w:p w:rsidR="002406FE" w:rsidRPr="006E709F" w:rsidRDefault="002406FE" w:rsidP="002406FE">
      <w:pPr>
        <w:pStyle w:val="Header"/>
      </w:pPr>
      <w:r w:rsidRPr="000C4237">
        <w:rPr>
          <w:rStyle w:val="CharDivNo"/>
        </w:rPr>
        <w:t xml:space="preserve"> </w:t>
      </w:r>
      <w:r w:rsidRPr="000C4237">
        <w:rPr>
          <w:rStyle w:val="CharDivText"/>
        </w:rPr>
        <w:t xml:space="preserve"> </w:t>
      </w:r>
    </w:p>
    <w:p w:rsidR="00842F88" w:rsidRPr="006E709F" w:rsidRDefault="00842F88" w:rsidP="003C672B">
      <w:pPr>
        <w:pStyle w:val="ItemHead"/>
      </w:pPr>
      <w:r w:rsidRPr="006E709F">
        <w:t>18.1</w:t>
      </w:r>
      <w:r w:rsidR="000577C6" w:rsidRPr="006E709F">
        <w:t xml:space="preserve">  </w:t>
      </w:r>
      <w:r w:rsidRPr="006E709F">
        <w:t>After subsection</w:t>
      </w:r>
      <w:r w:rsidR="00DA13DE" w:rsidRPr="006E709F">
        <w:t> </w:t>
      </w:r>
      <w:r w:rsidRPr="006E709F">
        <w:t>1012D(9D)</w:t>
      </w:r>
    </w:p>
    <w:p w:rsidR="00A801D0" w:rsidRPr="006E709F" w:rsidRDefault="00A801D0" w:rsidP="00A801D0">
      <w:pPr>
        <w:pStyle w:val="Item"/>
        <w:rPr>
          <w:i/>
        </w:rPr>
      </w:pPr>
      <w:r w:rsidRPr="006E709F">
        <w:rPr>
          <w:i/>
        </w:rPr>
        <w:t>insert</w:t>
      </w:r>
    </w:p>
    <w:p w:rsidR="00842F88" w:rsidRPr="006E709F" w:rsidRDefault="00842F88" w:rsidP="00A801D0">
      <w:pPr>
        <w:pStyle w:val="SubsectionHead"/>
      </w:pPr>
      <w:r w:rsidRPr="006E709F">
        <w:t>Recommendation, issue or sale situation</w:t>
      </w:r>
      <w:r w:rsidR="00A801D0" w:rsidRPr="006E709F">
        <w:t>—</w:t>
      </w:r>
      <w:r w:rsidRPr="006E709F">
        <w:t>New Zealand mutual recognition scheme for securities</w:t>
      </w:r>
    </w:p>
    <w:p w:rsidR="00842F88" w:rsidRPr="006E709F" w:rsidRDefault="00842F88" w:rsidP="00A801D0">
      <w:pPr>
        <w:pStyle w:val="subsection"/>
      </w:pPr>
      <w:r w:rsidRPr="006E709F">
        <w:tab/>
        <w:t>(9E)</w:t>
      </w:r>
      <w:r w:rsidRPr="006E709F">
        <w:tab/>
        <w:t>In a recommendation situation, issue situation or sale situation, the regulated person does not have to give the client a Product Disclosure Statement for a financial product if:</w:t>
      </w:r>
    </w:p>
    <w:p w:rsidR="00842F88" w:rsidRPr="006E709F" w:rsidRDefault="00842F88" w:rsidP="00A801D0">
      <w:pPr>
        <w:pStyle w:val="paragraph"/>
      </w:pPr>
      <w:r w:rsidRPr="006E709F">
        <w:tab/>
        <w:t>(a)</w:t>
      </w:r>
      <w:r w:rsidRPr="006E709F">
        <w:tab/>
        <w:t>the regulated person reasonably believes that there is a recognised offer under Chapter</w:t>
      </w:r>
      <w:r w:rsidR="00DA13DE" w:rsidRPr="006E709F">
        <w:t> </w:t>
      </w:r>
      <w:r w:rsidRPr="006E709F">
        <w:t>8 in relation to offer of the financial product; and</w:t>
      </w:r>
    </w:p>
    <w:p w:rsidR="00842F88" w:rsidRPr="006E709F" w:rsidRDefault="00842F88" w:rsidP="00A801D0">
      <w:pPr>
        <w:pStyle w:val="paragraph"/>
      </w:pPr>
      <w:r w:rsidRPr="006E709F">
        <w:tab/>
        <w:t>(b)</w:t>
      </w:r>
      <w:r w:rsidRPr="006E709F">
        <w:tab/>
        <w:t>the financial product is an interest in a managed investment scheme governed by the laws of New Zealand; and</w:t>
      </w:r>
    </w:p>
    <w:p w:rsidR="00B241B7" w:rsidRPr="006E709F" w:rsidRDefault="00842F88" w:rsidP="00400E04">
      <w:pPr>
        <w:pStyle w:val="paragraph"/>
      </w:pPr>
      <w:r w:rsidRPr="006E709F">
        <w:tab/>
        <w:t>(c)</w:t>
      </w:r>
      <w:r w:rsidRPr="006E709F">
        <w:tab/>
        <w:t xml:space="preserve">the regulated person has provided the client the documents and information required to accompany that offer by </w:t>
      </w:r>
      <w:r w:rsidR="00400E04" w:rsidRPr="006E709F">
        <w:t xml:space="preserve">the Financial Markets Conduct Act 2013 of New Zealand and the Financial Markets Conduct </w:t>
      </w:r>
      <w:r w:rsidR="000C4237">
        <w:t>Regulations 2</w:t>
      </w:r>
      <w:r w:rsidR="00400E04" w:rsidRPr="006E709F">
        <w:t>014 of New Zealand; and</w:t>
      </w:r>
    </w:p>
    <w:p w:rsidR="00842F88" w:rsidRPr="006E709F" w:rsidRDefault="00842F88" w:rsidP="00B241B7">
      <w:pPr>
        <w:pStyle w:val="paragraph"/>
      </w:pPr>
      <w:r w:rsidRPr="006E709F">
        <w:tab/>
        <w:t>(d)</w:t>
      </w:r>
      <w:r w:rsidRPr="006E709F">
        <w:tab/>
        <w:t>the regulated person has provided the client any warning statement or details prescribed under section</w:t>
      </w:r>
      <w:r w:rsidR="00DA13DE" w:rsidRPr="006E709F">
        <w:t> </w:t>
      </w:r>
      <w:r w:rsidRPr="006E709F">
        <w:t>1200E in relation to the offer.</w:t>
      </w:r>
    </w:p>
    <w:p w:rsidR="00842F88" w:rsidRPr="006E709F" w:rsidRDefault="00842F88" w:rsidP="00A801D0">
      <w:pPr>
        <w:pStyle w:val="subsection"/>
      </w:pPr>
      <w:r w:rsidRPr="006E709F">
        <w:tab/>
        <w:t>(9F)</w:t>
      </w:r>
      <w:r w:rsidRPr="006E709F">
        <w:tab/>
        <w:t xml:space="preserve">For </w:t>
      </w:r>
      <w:r w:rsidR="00DA13DE" w:rsidRPr="006E709F">
        <w:t>paragraph (</w:t>
      </w:r>
      <w:r w:rsidRPr="006E709F">
        <w:t>9E</w:t>
      </w:r>
      <w:r w:rsidR="00A801D0" w:rsidRPr="006E709F">
        <w:t>)(</w:t>
      </w:r>
      <w:r w:rsidRPr="006E709F">
        <w:t>c), section</w:t>
      </w:r>
      <w:r w:rsidR="00DA13DE" w:rsidRPr="006E709F">
        <w:t> </w:t>
      </w:r>
      <w:r w:rsidRPr="006E709F">
        <w:t>1015C applies to the providing of documents and information, as if the documents and information were a Statement.</w:t>
      </w:r>
    </w:p>
    <w:p w:rsidR="00842F88" w:rsidRPr="006E709F" w:rsidRDefault="00842F88" w:rsidP="00A801D0">
      <w:pPr>
        <w:pStyle w:val="subsection"/>
      </w:pPr>
      <w:r w:rsidRPr="006E709F">
        <w:tab/>
        <w:t>(9G)</w:t>
      </w:r>
      <w:r w:rsidRPr="006E709F">
        <w:tab/>
        <w:t xml:space="preserve">For </w:t>
      </w:r>
      <w:r w:rsidR="00DA13DE" w:rsidRPr="006E709F">
        <w:t>paragraph (</w:t>
      </w:r>
      <w:r w:rsidRPr="006E709F">
        <w:t>9E</w:t>
      </w:r>
      <w:r w:rsidR="00A801D0" w:rsidRPr="006E709F">
        <w:t>)(</w:t>
      </w:r>
      <w:r w:rsidRPr="006E709F">
        <w:t>d), section</w:t>
      </w:r>
      <w:r w:rsidR="00DA13DE" w:rsidRPr="006E709F">
        <w:t> </w:t>
      </w:r>
      <w:r w:rsidRPr="006E709F">
        <w:t>1015C applies to the providing of warning statement or details prescribed under section</w:t>
      </w:r>
      <w:r w:rsidR="00DA13DE" w:rsidRPr="006E709F">
        <w:t> </w:t>
      </w:r>
      <w:r w:rsidRPr="006E709F">
        <w:t>1200E, as if the warning statement or details were a Statement.</w:t>
      </w:r>
    </w:p>
    <w:p w:rsidR="00F011D7" w:rsidRPr="006E709F" w:rsidRDefault="00A801D0" w:rsidP="00495B24">
      <w:pPr>
        <w:pStyle w:val="ActHead2"/>
        <w:pageBreakBefore/>
      </w:pPr>
      <w:bookmarkStart w:id="129" w:name="_Toc160609816"/>
      <w:r w:rsidRPr="000C4237">
        <w:rPr>
          <w:rStyle w:val="CharPartNo"/>
        </w:rPr>
        <w:t>Part</w:t>
      </w:r>
      <w:r w:rsidR="00DA13DE" w:rsidRPr="000C4237">
        <w:rPr>
          <w:rStyle w:val="CharPartNo"/>
        </w:rPr>
        <w:t> </w:t>
      </w:r>
      <w:r w:rsidR="00F011D7" w:rsidRPr="000C4237">
        <w:rPr>
          <w:rStyle w:val="CharPartNo"/>
        </w:rPr>
        <w:t>19</w:t>
      </w:r>
      <w:r w:rsidRPr="006E709F">
        <w:t>—</w:t>
      </w:r>
      <w:r w:rsidR="00F011D7" w:rsidRPr="000C4237">
        <w:rPr>
          <w:rStyle w:val="CharPartText"/>
        </w:rPr>
        <w:t>Modifications for carbon units, Australian carbon credit units and eligible international emissions units</w:t>
      </w:r>
      <w:bookmarkEnd w:id="129"/>
    </w:p>
    <w:p w:rsidR="00F011D7" w:rsidRPr="006E709F" w:rsidRDefault="00A801D0" w:rsidP="00F011D7">
      <w:pPr>
        <w:pStyle w:val="Header"/>
      </w:pPr>
      <w:r w:rsidRPr="000C4237">
        <w:rPr>
          <w:rStyle w:val="CharDivNo"/>
        </w:rPr>
        <w:t xml:space="preserve"> </w:t>
      </w:r>
      <w:r w:rsidRPr="000C4237">
        <w:rPr>
          <w:rStyle w:val="CharDivText"/>
        </w:rPr>
        <w:t xml:space="preserve"> </w:t>
      </w:r>
    </w:p>
    <w:p w:rsidR="00F011D7" w:rsidRPr="006E709F" w:rsidRDefault="00F011D7" w:rsidP="003C672B">
      <w:pPr>
        <w:pStyle w:val="ItemHead"/>
      </w:pPr>
      <w:r w:rsidRPr="006E709F">
        <w:t>19.1</w:t>
      </w:r>
      <w:r w:rsidR="000577C6" w:rsidRPr="006E709F">
        <w:t xml:space="preserve">  </w:t>
      </w:r>
      <w:r w:rsidRPr="006E709F">
        <w:t>Subsections</w:t>
      </w:r>
      <w:r w:rsidR="00DA13DE" w:rsidRPr="006E709F">
        <w:t> </w:t>
      </w:r>
      <w:r w:rsidRPr="006E709F">
        <w:t>1012D(1) to (3), including the subheadings</w:t>
      </w:r>
    </w:p>
    <w:p w:rsidR="00A801D0" w:rsidRPr="006E709F" w:rsidRDefault="00A801D0" w:rsidP="00A801D0">
      <w:pPr>
        <w:pStyle w:val="Item"/>
        <w:rPr>
          <w:i/>
        </w:rPr>
      </w:pPr>
      <w:r w:rsidRPr="006E709F">
        <w:rPr>
          <w:i/>
        </w:rPr>
        <w:t>substitute</w:t>
      </w:r>
    </w:p>
    <w:p w:rsidR="00F011D7" w:rsidRPr="006E709F" w:rsidRDefault="00F011D7" w:rsidP="00F011D7">
      <w:pPr>
        <w:pStyle w:val="SubsectionHead"/>
        <w:rPr>
          <w:iCs/>
          <w:szCs w:val="22"/>
        </w:rPr>
      </w:pPr>
      <w:r w:rsidRPr="006E709F">
        <w:t>Recommendation, issue or sale situation for carbon unit—statements on Clean Energy Regulator’s website</w:t>
      </w:r>
    </w:p>
    <w:p w:rsidR="00F011D7" w:rsidRPr="006E709F" w:rsidRDefault="00F011D7" w:rsidP="00F011D7">
      <w:pPr>
        <w:pStyle w:val="subsection"/>
      </w:pPr>
      <w:r w:rsidRPr="006E709F">
        <w:tab/>
        <w:t>(1)</w:t>
      </w:r>
      <w:r w:rsidRPr="006E709F">
        <w:tab/>
        <w:t xml:space="preserve">Subject to </w:t>
      </w:r>
      <w:r w:rsidR="00DA13DE" w:rsidRPr="006E709F">
        <w:t>subsections (</w:t>
      </w:r>
      <w:r w:rsidRPr="006E709F">
        <w:t>2) and (3), in a recommendation situation, issue situation or sale situation for a carbon unit, the regulated person:</w:t>
      </w:r>
    </w:p>
    <w:p w:rsidR="00F011D7" w:rsidRPr="006E709F" w:rsidRDefault="00F011D7" w:rsidP="00F011D7">
      <w:pPr>
        <w:pStyle w:val="paragraph"/>
      </w:pPr>
      <w:r w:rsidRPr="006E709F">
        <w:tab/>
        <w:t>(a)</w:t>
      </w:r>
      <w:r w:rsidRPr="006E709F">
        <w:tab/>
        <w:t>does not have to give the client a Product Disclosure Statement; and</w:t>
      </w:r>
    </w:p>
    <w:p w:rsidR="00F011D7" w:rsidRPr="006E709F" w:rsidRDefault="00F011D7" w:rsidP="00F011D7">
      <w:pPr>
        <w:pStyle w:val="paragraph"/>
      </w:pPr>
      <w:r w:rsidRPr="006E709F">
        <w:tab/>
        <w:t>(b)</w:t>
      </w:r>
      <w:r w:rsidRPr="006E709F">
        <w:tab/>
        <w:t>must inform the client that the client should consider each statement about the carbon unit that is mentioned in section</w:t>
      </w:r>
      <w:r w:rsidR="00DA13DE" w:rsidRPr="006E709F">
        <w:t> </w:t>
      </w:r>
      <w:r w:rsidRPr="006E709F">
        <w:t xml:space="preserve">202 of the </w:t>
      </w:r>
      <w:r w:rsidRPr="006E709F">
        <w:rPr>
          <w:i/>
        </w:rPr>
        <w:t>Clean Energy Act 2011</w:t>
      </w:r>
      <w:r w:rsidRPr="006E709F">
        <w:t>.</w:t>
      </w:r>
    </w:p>
    <w:p w:rsidR="00F011D7" w:rsidRPr="006E709F" w:rsidRDefault="00F011D7" w:rsidP="00F011D7">
      <w:pPr>
        <w:pStyle w:val="SubsectionHead"/>
      </w:pPr>
      <w:r w:rsidRPr="006E709F">
        <w:t>Recommendation, issue or sale situation for carbon unit—client has considered statements on Clean Energy Regulator’s website</w:t>
      </w:r>
    </w:p>
    <w:p w:rsidR="00F011D7" w:rsidRPr="006E709F" w:rsidRDefault="00F011D7" w:rsidP="00F011D7">
      <w:pPr>
        <w:pStyle w:val="subsection"/>
      </w:pPr>
      <w:r w:rsidRPr="006E709F">
        <w:tab/>
        <w:t>(2)</w:t>
      </w:r>
      <w:r w:rsidRPr="006E709F">
        <w:tab/>
        <w:t xml:space="preserve">In a recommendation situation, issue situation or sale situation for a carbon unit, the regulated person does not have to inform the client as described in </w:t>
      </w:r>
      <w:r w:rsidR="00DA13DE" w:rsidRPr="006E709F">
        <w:t>paragraph (</w:t>
      </w:r>
      <w:r w:rsidRPr="006E709F">
        <w:t>1)(b) if the regulated person believes, on reasonable grounds, that the client has already considered each statement about the carbon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t>.</w:t>
      </w:r>
    </w:p>
    <w:p w:rsidR="00F011D7" w:rsidRPr="006E709F" w:rsidRDefault="00F011D7" w:rsidP="00F011D7">
      <w:pPr>
        <w:pStyle w:val="SubsectionHead"/>
        <w:rPr>
          <w:iCs/>
          <w:szCs w:val="22"/>
        </w:rPr>
      </w:pPr>
      <w:r w:rsidRPr="006E709F">
        <w:t>Recommendation, issue or sale situation for carbon unit—specified persons</w:t>
      </w:r>
    </w:p>
    <w:p w:rsidR="00F011D7" w:rsidRPr="006E709F" w:rsidRDefault="00F011D7" w:rsidP="00F011D7">
      <w:pPr>
        <w:pStyle w:val="subsection"/>
      </w:pPr>
      <w:r w:rsidRPr="006E709F">
        <w:tab/>
        <w:t>(3)</w:t>
      </w:r>
      <w:r w:rsidRPr="006E709F">
        <w:tab/>
        <w:t xml:space="preserve">In a recommendation situation, issue situation or sale situation for a carbon unit, the regulated person does not have to inform the client as described in </w:t>
      </w:r>
      <w:r w:rsidR="00DA13DE" w:rsidRPr="006E709F">
        <w:t>paragraph (</w:t>
      </w:r>
      <w:r w:rsidRPr="006E709F">
        <w:t>1)(b) if the person is:</w:t>
      </w:r>
    </w:p>
    <w:p w:rsidR="00F011D7" w:rsidRPr="006E709F" w:rsidRDefault="00F011D7" w:rsidP="00F011D7">
      <w:pPr>
        <w:pStyle w:val="paragraph"/>
      </w:pPr>
      <w:r w:rsidRPr="006E709F">
        <w:tab/>
        <w:t>(a)</w:t>
      </w:r>
      <w:r w:rsidRPr="006E709F">
        <w:tab/>
        <w:t>the Clean Energy Regulator; or</w:t>
      </w:r>
    </w:p>
    <w:p w:rsidR="00F011D7" w:rsidRPr="006E709F" w:rsidRDefault="00F011D7" w:rsidP="00F011D7">
      <w:pPr>
        <w:pStyle w:val="paragraph"/>
      </w:pPr>
      <w:r w:rsidRPr="006E709F">
        <w:tab/>
        <w:t>(b)</w:t>
      </w:r>
      <w:r w:rsidRPr="006E709F">
        <w:tab/>
        <w:t>the Clean Development Mechanism Executive Board; or</w:t>
      </w:r>
    </w:p>
    <w:p w:rsidR="00F011D7" w:rsidRPr="006E709F" w:rsidRDefault="00F011D7" w:rsidP="00F011D7">
      <w:pPr>
        <w:pStyle w:val="paragraph"/>
      </w:pPr>
      <w:r w:rsidRPr="006E709F">
        <w:tab/>
        <w:t>(c)</w:t>
      </w:r>
      <w:r w:rsidRPr="006E709F">
        <w:tab/>
        <w:t>the government of a country other than Australia; or</w:t>
      </w:r>
    </w:p>
    <w:p w:rsidR="00F011D7" w:rsidRPr="006E709F" w:rsidRDefault="00F011D7" w:rsidP="00F011D7">
      <w:pPr>
        <w:pStyle w:val="paragraph"/>
      </w:pPr>
      <w:r w:rsidRPr="006E709F">
        <w:tab/>
        <w:t>(d)</w:t>
      </w:r>
      <w:r w:rsidRPr="006E709F">
        <w:tab/>
        <w:t>an authority acting on behalf of the government of a country other than Australia.</w:t>
      </w:r>
    </w:p>
    <w:p w:rsidR="00F011D7" w:rsidRPr="006E709F" w:rsidRDefault="00F011D7" w:rsidP="00F011D7">
      <w:pPr>
        <w:pStyle w:val="SubsectionHead"/>
        <w:rPr>
          <w:iCs/>
          <w:szCs w:val="22"/>
        </w:rPr>
      </w:pPr>
      <w:r w:rsidRPr="006E709F">
        <w:t>Recommendation, issue or sale situation for Australian carbon credit unit—statements on Clean Energy Regulator’s website</w:t>
      </w:r>
    </w:p>
    <w:p w:rsidR="00F011D7" w:rsidRPr="006E709F" w:rsidRDefault="00F011D7" w:rsidP="00F011D7">
      <w:pPr>
        <w:pStyle w:val="subsection"/>
      </w:pPr>
      <w:r w:rsidRPr="006E709F">
        <w:tab/>
        <w:t>(3A)</w:t>
      </w:r>
      <w:r w:rsidRPr="006E709F">
        <w:tab/>
        <w:t xml:space="preserve">Subject to </w:t>
      </w:r>
      <w:r w:rsidR="00DA13DE" w:rsidRPr="006E709F">
        <w:t>subsections (</w:t>
      </w:r>
      <w:r w:rsidRPr="006E709F">
        <w:t>3B) and (3C), in a recommendation situation, issue situation or sale situation for an Australian carbon credit unit, the regulated person:</w:t>
      </w:r>
    </w:p>
    <w:p w:rsidR="00F011D7" w:rsidRPr="006E709F" w:rsidRDefault="00F011D7" w:rsidP="00F011D7">
      <w:pPr>
        <w:pStyle w:val="paragraph"/>
      </w:pPr>
      <w:r w:rsidRPr="006E709F">
        <w:tab/>
        <w:t>(a)</w:t>
      </w:r>
      <w:r w:rsidRPr="006E709F">
        <w:tab/>
        <w:t>does not have to give the client a Product Disclosure Statement; and</w:t>
      </w:r>
    </w:p>
    <w:p w:rsidR="00F011D7" w:rsidRPr="006E709F" w:rsidRDefault="00F011D7" w:rsidP="00F011D7">
      <w:pPr>
        <w:pStyle w:val="paragraph"/>
      </w:pPr>
      <w:r w:rsidRPr="006E709F">
        <w:tab/>
        <w:t>(b)</w:t>
      </w:r>
      <w:r w:rsidRPr="006E709F">
        <w:tab/>
        <w:t>must inform the client that the client should consider each statement about the Australian carbon credit unit that is mentioned in section</w:t>
      </w:r>
      <w:r w:rsidR="00DA13DE" w:rsidRPr="006E709F">
        <w:t> </w:t>
      </w:r>
      <w:r w:rsidRPr="006E709F">
        <w:t xml:space="preserve">162 of the </w:t>
      </w:r>
      <w:r w:rsidRPr="006E709F">
        <w:rPr>
          <w:i/>
        </w:rPr>
        <w:t>Carbon Credits (Carbon Farming Initiative) Act 2011</w:t>
      </w:r>
      <w:r w:rsidRPr="006E709F">
        <w:t>.</w:t>
      </w:r>
    </w:p>
    <w:p w:rsidR="00F011D7" w:rsidRPr="006E709F" w:rsidRDefault="00F011D7" w:rsidP="00F011D7">
      <w:pPr>
        <w:pStyle w:val="SubsectionHead"/>
      </w:pPr>
      <w:r w:rsidRPr="006E709F">
        <w:t>Recommendation, issue or sale situation for Australian carbon credit unit—client has considered statements on Clean Energy Regulator’s website</w:t>
      </w:r>
    </w:p>
    <w:p w:rsidR="00F011D7" w:rsidRPr="006E709F" w:rsidRDefault="00F011D7" w:rsidP="00F011D7">
      <w:pPr>
        <w:pStyle w:val="subsection"/>
      </w:pPr>
      <w:r w:rsidRPr="006E709F">
        <w:tab/>
        <w:t>(3B)</w:t>
      </w:r>
      <w:r w:rsidRPr="006E709F">
        <w:tab/>
        <w:t xml:space="preserve">In a recommendation situation, issue situation or sale situation for an Australian carbon credit unit, the regulated person does not have to inform the client as described in </w:t>
      </w:r>
      <w:r w:rsidR="00DA13DE" w:rsidRPr="006E709F">
        <w:t>paragraph (</w:t>
      </w:r>
      <w:r w:rsidRPr="006E709F">
        <w:t>3A)(b) if the regulated person believes, on reasonable grounds, that the client has already considered each statement about the Australian carbon credit unit that is published on the website of the Clean Energy Regulator as mentioned in section</w:t>
      </w:r>
      <w:r w:rsidR="00DA13DE" w:rsidRPr="006E709F">
        <w:t> </w:t>
      </w:r>
      <w:r w:rsidRPr="006E709F">
        <w:t xml:space="preserve">162 of the </w:t>
      </w:r>
      <w:r w:rsidRPr="006E709F">
        <w:rPr>
          <w:i/>
        </w:rPr>
        <w:t>Carbon Credits (Carbon Farming Initiative) Act 2011</w:t>
      </w:r>
      <w:r w:rsidRPr="006E709F">
        <w:t>.</w:t>
      </w:r>
    </w:p>
    <w:p w:rsidR="00F011D7" w:rsidRPr="006E709F" w:rsidRDefault="00F011D7" w:rsidP="00F011D7">
      <w:pPr>
        <w:pStyle w:val="SubsectionHead"/>
        <w:rPr>
          <w:iCs/>
          <w:szCs w:val="22"/>
        </w:rPr>
      </w:pPr>
      <w:r w:rsidRPr="006E709F">
        <w:t>Recommendation, issue or sale situation for Australian carbon credit unit—specified persons</w:t>
      </w:r>
    </w:p>
    <w:p w:rsidR="00F011D7" w:rsidRPr="006E709F" w:rsidRDefault="00F011D7" w:rsidP="00F011D7">
      <w:pPr>
        <w:pStyle w:val="subsection"/>
      </w:pPr>
      <w:r w:rsidRPr="006E709F">
        <w:tab/>
        <w:t>(3C)</w:t>
      </w:r>
      <w:r w:rsidRPr="006E709F">
        <w:tab/>
        <w:t xml:space="preserve">In a recommendation situation, issue situation or sale situation for an Australian carbon credit unit, the regulated person does not have to inform the client as described in </w:t>
      </w:r>
      <w:r w:rsidR="00DA13DE" w:rsidRPr="006E709F">
        <w:t>paragraph (</w:t>
      </w:r>
      <w:r w:rsidRPr="006E709F">
        <w:t>3A)(b) if the person is:</w:t>
      </w:r>
    </w:p>
    <w:p w:rsidR="00F011D7" w:rsidRPr="006E709F" w:rsidRDefault="00F011D7" w:rsidP="00F011D7">
      <w:pPr>
        <w:pStyle w:val="paragraph"/>
      </w:pPr>
      <w:r w:rsidRPr="006E709F">
        <w:tab/>
        <w:t>(a)</w:t>
      </w:r>
      <w:r w:rsidRPr="006E709F">
        <w:tab/>
        <w:t>the Clean Energy Regulator; or</w:t>
      </w:r>
    </w:p>
    <w:p w:rsidR="00F011D7" w:rsidRPr="006E709F" w:rsidRDefault="00F011D7" w:rsidP="00F011D7">
      <w:pPr>
        <w:pStyle w:val="paragraph"/>
      </w:pPr>
      <w:r w:rsidRPr="006E709F">
        <w:tab/>
        <w:t>(b)</w:t>
      </w:r>
      <w:r w:rsidRPr="006E709F">
        <w:tab/>
        <w:t>the Clean Development Mechanism Executive Board; or</w:t>
      </w:r>
    </w:p>
    <w:p w:rsidR="00F011D7" w:rsidRPr="006E709F" w:rsidRDefault="00F011D7" w:rsidP="00F011D7">
      <w:pPr>
        <w:pStyle w:val="paragraph"/>
      </w:pPr>
      <w:r w:rsidRPr="006E709F">
        <w:tab/>
        <w:t>(c)</w:t>
      </w:r>
      <w:r w:rsidRPr="006E709F">
        <w:tab/>
        <w:t>the government of a country other than Australia; or</w:t>
      </w:r>
    </w:p>
    <w:p w:rsidR="00F011D7" w:rsidRPr="006E709F" w:rsidRDefault="00F011D7" w:rsidP="00F011D7">
      <w:pPr>
        <w:pStyle w:val="paragraph"/>
      </w:pPr>
      <w:r w:rsidRPr="006E709F">
        <w:tab/>
        <w:t>(d)</w:t>
      </w:r>
      <w:r w:rsidRPr="006E709F">
        <w:tab/>
        <w:t>an authority acting on behalf of the government of a country other than Australia.</w:t>
      </w:r>
    </w:p>
    <w:p w:rsidR="00F011D7" w:rsidRPr="006E709F" w:rsidRDefault="00F011D7" w:rsidP="00F011D7">
      <w:pPr>
        <w:pStyle w:val="SubsectionHead"/>
        <w:rPr>
          <w:iCs/>
          <w:szCs w:val="22"/>
        </w:rPr>
      </w:pPr>
      <w:r w:rsidRPr="006E709F">
        <w:t>Recommendation, issue or sale situation for eligible international emissions unit—statements on Clean Energy Regulator’s website</w:t>
      </w:r>
    </w:p>
    <w:p w:rsidR="00F011D7" w:rsidRPr="006E709F" w:rsidRDefault="00F011D7" w:rsidP="00F011D7">
      <w:pPr>
        <w:pStyle w:val="subsection"/>
        <w:keepNext/>
      </w:pPr>
      <w:r w:rsidRPr="006E709F">
        <w:tab/>
        <w:t>(3D)</w:t>
      </w:r>
      <w:r w:rsidRPr="006E709F">
        <w:tab/>
        <w:t xml:space="preserve">Subject to </w:t>
      </w:r>
      <w:r w:rsidR="00DA13DE" w:rsidRPr="006E709F">
        <w:t>subsections (</w:t>
      </w:r>
      <w:r w:rsidRPr="006E709F">
        <w:t>3E) and (3F), in a recommendation situation, issue situation or sale situation for an eligible international emissions unit, the regulated person:</w:t>
      </w:r>
    </w:p>
    <w:p w:rsidR="00F011D7" w:rsidRPr="006E709F" w:rsidRDefault="00F011D7" w:rsidP="00F011D7">
      <w:pPr>
        <w:pStyle w:val="paragraph"/>
      </w:pPr>
      <w:r w:rsidRPr="006E709F">
        <w:tab/>
        <w:t>(a)</w:t>
      </w:r>
      <w:r w:rsidRPr="006E709F">
        <w:tab/>
        <w:t>does not have to give the client a Product Disclosure Statement; and</w:t>
      </w:r>
    </w:p>
    <w:p w:rsidR="00F011D7" w:rsidRPr="006E709F" w:rsidRDefault="00F011D7" w:rsidP="00F011D7">
      <w:pPr>
        <w:pStyle w:val="paragraph"/>
      </w:pPr>
      <w:r w:rsidRPr="006E709F">
        <w:tab/>
        <w:t>(b)</w:t>
      </w:r>
      <w:r w:rsidRPr="006E709F">
        <w:tab/>
        <w:t>must inform the client that the client should consider each statement about the eligible international emissions unit that is mentioned in section</w:t>
      </w:r>
      <w:r w:rsidR="00DA13DE" w:rsidRPr="006E709F">
        <w:t> </w:t>
      </w:r>
      <w:r w:rsidRPr="006E709F">
        <w:t xml:space="preserve">61 of the </w:t>
      </w:r>
      <w:r w:rsidRPr="006E709F">
        <w:rPr>
          <w:i/>
        </w:rPr>
        <w:t>Australian National Registry of Emissions Units Act 2011</w:t>
      </w:r>
      <w:r w:rsidRPr="006E709F">
        <w:t>.</w:t>
      </w:r>
    </w:p>
    <w:p w:rsidR="00F011D7" w:rsidRPr="006E709F" w:rsidRDefault="00F011D7" w:rsidP="00F011D7">
      <w:pPr>
        <w:pStyle w:val="SubsectionHead"/>
      </w:pPr>
      <w:r w:rsidRPr="006E709F">
        <w:t>Recommendation, issue or sale situation for eligible international emissions unit—client has considered statements on Clean Energy Regulator’s website</w:t>
      </w:r>
    </w:p>
    <w:p w:rsidR="00F011D7" w:rsidRPr="006E709F" w:rsidRDefault="00F011D7" w:rsidP="00F011D7">
      <w:pPr>
        <w:pStyle w:val="subsection"/>
      </w:pPr>
      <w:r w:rsidRPr="006E709F">
        <w:tab/>
        <w:t>(3E)</w:t>
      </w:r>
      <w:r w:rsidRPr="006E709F">
        <w:tab/>
        <w:t xml:space="preserve">In a recommendation situation, issue situation or sale situation for an eligible international emissions unit, the regulated person does not have to inform the client as described in </w:t>
      </w:r>
      <w:r w:rsidR="00DA13DE" w:rsidRPr="006E709F">
        <w:t>paragraph (</w:t>
      </w:r>
      <w:r w:rsidRPr="006E709F">
        <w:t>3D)(b) if the regulated person believes, on reasonable grounds, that the client has already considered each statement about the eligible international emissions unit that is published on the website of the Clean Energy Regulator as mentioned in section</w:t>
      </w:r>
      <w:r w:rsidR="00DA13DE" w:rsidRPr="006E709F">
        <w:t> </w:t>
      </w:r>
      <w:r w:rsidRPr="006E709F">
        <w:t xml:space="preserve">61 of the </w:t>
      </w:r>
      <w:r w:rsidRPr="006E709F">
        <w:rPr>
          <w:i/>
        </w:rPr>
        <w:t>Australian National Registry of Emissions Units Act 2011</w:t>
      </w:r>
      <w:r w:rsidRPr="006E709F">
        <w:t>.</w:t>
      </w:r>
    </w:p>
    <w:p w:rsidR="00F011D7" w:rsidRPr="006E709F" w:rsidRDefault="00F011D7" w:rsidP="00F011D7">
      <w:pPr>
        <w:pStyle w:val="SubsectionHead"/>
        <w:rPr>
          <w:iCs/>
          <w:szCs w:val="22"/>
        </w:rPr>
      </w:pPr>
      <w:r w:rsidRPr="006E709F">
        <w:t>Recommendation, issue or sale situation for eligible international emissions unit—specified persons</w:t>
      </w:r>
    </w:p>
    <w:p w:rsidR="00F011D7" w:rsidRPr="006E709F" w:rsidRDefault="00F011D7" w:rsidP="00F011D7">
      <w:pPr>
        <w:pStyle w:val="subsection"/>
      </w:pPr>
      <w:r w:rsidRPr="006E709F">
        <w:tab/>
        <w:t>(3F)</w:t>
      </w:r>
      <w:r w:rsidRPr="006E709F">
        <w:tab/>
        <w:t xml:space="preserve">In a recommendation situation, issue situation or sale situation for an eligible international emissions unit, the regulated person does not have to inform the client as described in </w:t>
      </w:r>
      <w:r w:rsidR="00DA13DE" w:rsidRPr="006E709F">
        <w:t>paragraph (</w:t>
      </w:r>
      <w:r w:rsidRPr="006E709F">
        <w:t>3D)(b) if the person is:</w:t>
      </w:r>
    </w:p>
    <w:p w:rsidR="00F011D7" w:rsidRPr="006E709F" w:rsidRDefault="00F011D7" w:rsidP="00F011D7">
      <w:pPr>
        <w:pStyle w:val="paragraph"/>
      </w:pPr>
      <w:r w:rsidRPr="006E709F">
        <w:tab/>
        <w:t>(a)</w:t>
      </w:r>
      <w:r w:rsidRPr="006E709F">
        <w:tab/>
        <w:t>the Clean Energy Regulator; or</w:t>
      </w:r>
    </w:p>
    <w:p w:rsidR="00F011D7" w:rsidRPr="006E709F" w:rsidRDefault="00F011D7" w:rsidP="00F011D7">
      <w:pPr>
        <w:pStyle w:val="paragraph"/>
      </w:pPr>
      <w:r w:rsidRPr="006E709F">
        <w:tab/>
        <w:t>(b)</w:t>
      </w:r>
      <w:r w:rsidRPr="006E709F">
        <w:tab/>
        <w:t>the Clean Development Mechanism Executive Board; or</w:t>
      </w:r>
    </w:p>
    <w:p w:rsidR="00F011D7" w:rsidRPr="006E709F" w:rsidRDefault="00F011D7" w:rsidP="00F011D7">
      <w:pPr>
        <w:pStyle w:val="paragraph"/>
      </w:pPr>
      <w:r w:rsidRPr="006E709F">
        <w:tab/>
        <w:t>(c)</w:t>
      </w:r>
      <w:r w:rsidRPr="006E709F">
        <w:tab/>
        <w:t>the government of a country other than Australia; or</w:t>
      </w:r>
    </w:p>
    <w:p w:rsidR="00F011D7" w:rsidRPr="006E709F" w:rsidRDefault="00F011D7" w:rsidP="00F011D7">
      <w:pPr>
        <w:pStyle w:val="paragraph"/>
      </w:pPr>
      <w:r w:rsidRPr="006E709F">
        <w:tab/>
        <w:t>(d)</w:t>
      </w:r>
      <w:r w:rsidRPr="006E709F">
        <w:tab/>
        <w:t>an authority acting on behalf of the government of a country other than Australia.</w:t>
      </w:r>
    </w:p>
    <w:p w:rsidR="00F011D7" w:rsidRPr="006E709F" w:rsidRDefault="000577C6" w:rsidP="003C672B">
      <w:pPr>
        <w:pStyle w:val="ItemHead"/>
      </w:pPr>
      <w:r w:rsidRPr="006E709F">
        <w:t xml:space="preserve">19.2  </w:t>
      </w:r>
      <w:r w:rsidR="00F011D7" w:rsidRPr="006E709F">
        <w:t>Subsection</w:t>
      </w:r>
      <w:r w:rsidR="00DA13DE" w:rsidRPr="006E709F">
        <w:t> </w:t>
      </w:r>
      <w:r w:rsidR="00F011D7" w:rsidRPr="006E709F">
        <w:t>1012D(5)</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give the client a Product Disclosure Statement</w:t>
      </w:r>
    </w:p>
    <w:p w:rsidR="00A801D0" w:rsidRPr="006E709F" w:rsidRDefault="00A801D0" w:rsidP="00A801D0">
      <w:pPr>
        <w:pStyle w:val="Item"/>
        <w:rPr>
          <w:i/>
        </w:rPr>
      </w:pPr>
      <w:r w:rsidRPr="006E709F">
        <w:rPr>
          <w:i/>
        </w:rPr>
        <w:t>insert</w:t>
      </w:r>
    </w:p>
    <w:p w:rsidR="00F011D7" w:rsidRPr="006E709F" w:rsidRDefault="00F011D7" w:rsidP="00A801D0">
      <w:pPr>
        <w:pStyle w:val="Item"/>
      </w:pPr>
      <w:r w:rsidRPr="006E709F">
        <w:t xml:space="preserve">inform the client as described in </w:t>
      </w:r>
      <w:r w:rsidR="00DA13DE" w:rsidRPr="006E709F">
        <w:t>paragraph (</w:t>
      </w:r>
      <w:r w:rsidRPr="006E709F">
        <w:t>1)(b), (3A)(b) or</w:t>
      </w:r>
      <w:r w:rsidR="00E376FA" w:rsidRPr="006E709F">
        <w:t xml:space="preserve"> </w:t>
      </w:r>
      <w:r w:rsidRPr="006E709F">
        <w:t>(3D)(b)</w:t>
      </w:r>
    </w:p>
    <w:p w:rsidR="00F011D7" w:rsidRPr="006E709F" w:rsidRDefault="000577C6" w:rsidP="003C672B">
      <w:pPr>
        <w:pStyle w:val="ItemHead"/>
      </w:pPr>
      <w:r w:rsidRPr="006E709F">
        <w:t xml:space="preserve">19.3  </w:t>
      </w:r>
      <w:r w:rsidR="00F011D7" w:rsidRPr="006E709F">
        <w:t>Subsection</w:t>
      </w:r>
      <w:r w:rsidR="00DA13DE" w:rsidRPr="006E709F">
        <w:t> </w:t>
      </w:r>
      <w:r w:rsidR="00F011D7" w:rsidRPr="006E709F">
        <w:t>1012D(6)</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give the client a Product Disclosure Statement</w:t>
      </w:r>
    </w:p>
    <w:p w:rsidR="00A801D0" w:rsidRPr="006E709F" w:rsidRDefault="00A801D0" w:rsidP="00A801D0">
      <w:pPr>
        <w:pStyle w:val="Item"/>
        <w:rPr>
          <w:i/>
        </w:rPr>
      </w:pPr>
      <w:r w:rsidRPr="006E709F">
        <w:rPr>
          <w:i/>
        </w:rPr>
        <w:t>insert</w:t>
      </w:r>
    </w:p>
    <w:p w:rsidR="00F011D7" w:rsidRPr="006E709F" w:rsidRDefault="00F011D7" w:rsidP="00A801D0">
      <w:pPr>
        <w:pStyle w:val="Item"/>
      </w:pPr>
      <w:r w:rsidRPr="006E709F">
        <w:t xml:space="preserve">inform the client as described in </w:t>
      </w:r>
      <w:r w:rsidR="00DA13DE" w:rsidRPr="006E709F">
        <w:t>paragraph (</w:t>
      </w:r>
      <w:r w:rsidRPr="006E709F">
        <w:t>1)(b), (3A)(b) or</w:t>
      </w:r>
      <w:r w:rsidR="00E376FA" w:rsidRPr="006E709F">
        <w:t xml:space="preserve"> </w:t>
      </w:r>
      <w:r w:rsidRPr="006E709F">
        <w:t>(3D)(b)</w:t>
      </w:r>
    </w:p>
    <w:p w:rsidR="00F011D7" w:rsidRPr="006E709F" w:rsidRDefault="000577C6" w:rsidP="003C672B">
      <w:pPr>
        <w:pStyle w:val="ItemHead"/>
      </w:pPr>
      <w:r w:rsidRPr="006E709F">
        <w:t xml:space="preserve">19.4  </w:t>
      </w:r>
      <w:r w:rsidR="00F011D7" w:rsidRPr="006E709F">
        <w:t>Subsections</w:t>
      </w:r>
      <w:r w:rsidR="00DA13DE" w:rsidRPr="006E709F">
        <w:t> </w:t>
      </w:r>
      <w:r w:rsidR="00F011D7" w:rsidRPr="006E709F">
        <w:t>1012D(7) to (10), including the subheading</w:t>
      </w:r>
    </w:p>
    <w:p w:rsidR="00A801D0" w:rsidRPr="006E709F" w:rsidRDefault="00A801D0" w:rsidP="00A801D0">
      <w:pPr>
        <w:pStyle w:val="Item"/>
        <w:rPr>
          <w:i/>
        </w:rPr>
      </w:pPr>
      <w:r w:rsidRPr="006E709F">
        <w:rPr>
          <w:i/>
        </w:rPr>
        <w:t>omit</w:t>
      </w:r>
    </w:p>
    <w:p w:rsidR="00F011D7" w:rsidRPr="006E709F" w:rsidRDefault="000577C6" w:rsidP="003C672B">
      <w:pPr>
        <w:pStyle w:val="ItemHead"/>
      </w:pPr>
      <w:r w:rsidRPr="006E709F">
        <w:t xml:space="preserve">19.5  </w:t>
      </w:r>
      <w:r w:rsidR="00F011D7" w:rsidRPr="006E709F">
        <w:t>Subsection</w:t>
      </w:r>
      <w:r w:rsidR="00DA13DE" w:rsidRPr="006E709F">
        <w:t> </w:t>
      </w:r>
      <w:r w:rsidR="00F011D7" w:rsidRPr="006E709F">
        <w:t xml:space="preserve">1012IA(1), definition of </w:t>
      </w:r>
      <w:r w:rsidR="00F011D7" w:rsidRPr="006E709F">
        <w:rPr>
          <w:i/>
        </w:rPr>
        <w:t>regulated acquisition</w:t>
      </w:r>
    </w:p>
    <w:p w:rsidR="00A801D0" w:rsidRPr="006E709F" w:rsidRDefault="00A801D0" w:rsidP="00A801D0">
      <w:pPr>
        <w:pStyle w:val="Item"/>
        <w:rPr>
          <w:i/>
        </w:rPr>
      </w:pPr>
      <w:r w:rsidRPr="006E709F">
        <w:rPr>
          <w:i/>
        </w:rPr>
        <w:t>substitute</w:t>
      </w:r>
    </w:p>
    <w:p w:rsidR="00F011D7" w:rsidRPr="006E709F" w:rsidRDefault="00F011D7" w:rsidP="00F011D7">
      <w:pPr>
        <w:pStyle w:val="Definition"/>
      </w:pPr>
      <w:r w:rsidRPr="006E709F">
        <w:rPr>
          <w:b/>
          <w:i/>
        </w:rPr>
        <w:t xml:space="preserve">regulated acquisition </w:t>
      </w:r>
      <w:r w:rsidRPr="006E709F">
        <w:t>means an acquisition of a financial product pursuant to an instruction by the client under a custodial arrangement, being an acquisition:</w:t>
      </w:r>
    </w:p>
    <w:p w:rsidR="00F011D7" w:rsidRPr="006E709F" w:rsidRDefault="00F011D7" w:rsidP="00F011D7">
      <w:pPr>
        <w:pStyle w:val="paragraph"/>
      </w:pPr>
      <w:r w:rsidRPr="006E709F">
        <w:tab/>
        <w:t>(a)</w:t>
      </w:r>
      <w:r w:rsidRPr="006E709F">
        <w:tab/>
        <w:t xml:space="preserve">by way of issue by the issuer (the </w:t>
      </w:r>
      <w:r w:rsidRPr="006E709F">
        <w:rPr>
          <w:b/>
          <w:i/>
        </w:rPr>
        <w:t>regulated person</w:t>
      </w:r>
      <w:r w:rsidRPr="006E709F">
        <w:t>); or</w:t>
      </w:r>
    </w:p>
    <w:p w:rsidR="00F011D7" w:rsidRPr="006E709F" w:rsidRDefault="00F011D7" w:rsidP="00F011D7">
      <w:pPr>
        <w:pStyle w:val="paragraph"/>
      </w:pPr>
      <w:r w:rsidRPr="006E709F">
        <w:tab/>
        <w:t>(b)</w:t>
      </w:r>
      <w:r w:rsidRPr="006E709F">
        <w:tab/>
        <w:t xml:space="preserve">pursuant to a sale by a person (the </w:t>
      </w:r>
      <w:r w:rsidRPr="006E709F">
        <w:rPr>
          <w:b/>
          <w:i/>
        </w:rPr>
        <w:t>regulated person</w:t>
      </w:r>
      <w:r w:rsidRPr="006E709F">
        <w:t>) in circumstances:</w:t>
      </w:r>
    </w:p>
    <w:p w:rsidR="00F011D7" w:rsidRPr="006E709F" w:rsidRDefault="00F011D7" w:rsidP="00F011D7">
      <w:pPr>
        <w:pStyle w:val="paragraphsub"/>
      </w:pPr>
      <w:r w:rsidRPr="006E709F">
        <w:tab/>
        <w:t>(i)</w:t>
      </w:r>
      <w:r w:rsidRPr="006E709F">
        <w:tab/>
        <w:t>described in subsection</w:t>
      </w:r>
      <w:r w:rsidR="00DA13DE" w:rsidRPr="006E709F">
        <w:t> </w:t>
      </w:r>
      <w:r w:rsidRPr="006E709F">
        <w:t>1012</w:t>
      </w:r>
      <w:r w:rsidR="00C36BD7" w:rsidRPr="006E709F">
        <w:t>C</w:t>
      </w:r>
      <w:r w:rsidR="00E376FA" w:rsidRPr="006E709F">
        <w:t>(</w:t>
      </w:r>
      <w:r w:rsidRPr="006E709F">
        <w:t>5) or (8); or</w:t>
      </w:r>
    </w:p>
    <w:p w:rsidR="00F011D7" w:rsidRPr="006E709F" w:rsidRDefault="00F011D7" w:rsidP="00F011D7">
      <w:pPr>
        <w:pStyle w:val="paragraphsub"/>
      </w:pPr>
      <w:r w:rsidRPr="006E709F">
        <w:tab/>
        <w:t>(ii)</w:t>
      </w:r>
      <w:r w:rsidRPr="006E709F">
        <w:tab/>
        <w:t>to which subsection</w:t>
      </w:r>
      <w:r w:rsidR="00DA13DE" w:rsidRPr="006E709F">
        <w:t> </w:t>
      </w:r>
      <w:r w:rsidRPr="006E709F">
        <w:t>1012</w:t>
      </w:r>
      <w:r w:rsidR="00E376FA" w:rsidRPr="006E709F">
        <w:t>B(</w:t>
      </w:r>
      <w:r w:rsidRPr="006E709F">
        <w:t>3), 1012</w:t>
      </w:r>
      <w:r w:rsidR="00E376FA" w:rsidRPr="006E709F">
        <w:t>C(</w:t>
      </w:r>
      <w:r w:rsidRPr="006E709F">
        <w:t>3) or 1012</w:t>
      </w:r>
      <w:r w:rsidR="00E376FA" w:rsidRPr="006E709F">
        <w:t>C(</w:t>
      </w:r>
      <w:r w:rsidRPr="006E709F">
        <w:t>6) would apply if those subsections were applicable in relation to a carbon unit, an Australian carbon credit unit or an eligible international emissions unit.</w:t>
      </w:r>
    </w:p>
    <w:p w:rsidR="00F011D7" w:rsidRPr="006E709F" w:rsidRDefault="000577C6" w:rsidP="003C672B">
      <w:pPr>
        <w:pStyle w:val="ItemHead"/>
      </w:pPr>
      <w:r w:rsidRPr="006E709F">
        <w:t xml:space="preserve">19.6  </w:t>
      </w:r>
      <w:r w:rsidR="00F011D7" w:rsidRPr="006E709F">
        <w:t>Subsection</w:t>
      </w:r>
      <w:r w:rsidR="00DA13DE" w:rsidRPr="006E709F">
        <w:t> </w:t>
      </w:r>
      <w:r w:rsidR="00F011D7" w:rsidRPr="006E709F">
        <w:t>1012IA(2), subheading</w:t>
      </w:r>
    </w:p>
    <w:p w:rsidR="00A801D0" w:rsidRPr="006E709F" w:rsidRDefault="00A801D0" w:rsidP="00A801D0">
      <w:pPr>
        <w:pStyle w:val="Item"/>
        <w:rPr>
          <w:i/>
        </w:rPr>
      </w:pPr>
      <w:r w:rsidRPr="006E709F">
        <w:rPr>
          <w:i/>
        </w:rPr>
        <w:t>substitute</w:t>
      </w:r>
    </w:p>
    <w:p w:rsidR="00F011D7" w:rsidRPr="006E709F" w:rsidRDefault="00F011D7" w:rsidP="00F011D7">
      <w:pPr>
        <w:pStyle w:val="SubsectionHead"/>
      </w:pPr>
      <w:r w:rsidRPr="006E709F">
        <w:t>Obligation on provider to inform client about statements on Clean Energy Regulator’s website</w:t>
      </w:r>
    </w:p>
    <w:p w:rsidR="00F011D7" w:rsidRPr="006E709F" w:rsidRDefault="000577C6" w:rsidP="003C672B">
      <w:pPr>
        <w:pStyle w:val="ItemHead"/>
      </w:pPr>
      <w:r w:rsidRPr="006E709F">
        <w:t xml:space="preserve">19.7  </w:t>
      </w:r>
      <w:r w:rsidR="00F011D7" w:rsidRPr="006E709F">
        <w:t>Subsection</w:t>
      </w:r>
      <w:r w:rsidR="00DA13DE" w:rsidRPr="006E709F">
        <w:t> </w:t>
      </w:r>
      <w:r w:rsidR="00F011D7" w:rsidRPr="006E709F">
        <w:t>1012IA(2)</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must give the client a Product Disclosure Statement for the product if a Product Disclosure Statement for the product would</w:t>
      </w:r>
    </w:p>
    <w:p w:rsidR="00A801D0" w:rsidRPr="006E709F" w:rsidRDefault="00A801D0" w:rsidP="00A801D0">
      <w:pPr>
        <w:pStyle w:val="Item"/>
        <w:rPr>
          <w:i/>
        </w:rPr>
      </w:pPr>
      <w:r w:rsidRPr="006E709F">
        <w:rPr>
          <w:i/>
        </w:rPr>
        <w:t>insert</w:t>
      </w:r>
    </w:p>
    <w:p w:rsidR="00F011D7" w:rsidRPr="006E709F" w:rsidRDefault="00F011D7" w:rsidP="00A53AD1">
      <w:pPr>
        <w:pStyle w:val="Item"/>
        <w:keepLines w:val="0"/>
      </w:pPr>
      <w:r w:rsidRPr="006E709F">
        <w:t>must inform the client that the client should consider each statement about the carbon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t>, or each statement about the Australian carbon credit unit that is published on the website of the Clean Energy Regulator as mentioned in section</w:t>
      </w:r>
      <w:r w:rsidR="00DA13DE" w:rsidRPr="006E709F">
        <w:t> </w:t>
      </w:r>
      <w:r w:rsidRPr="006E709F">
        <w:t xml:space="preserve">162 of the </w:t>
      </w:r>
      <w:r w:rsidRPr="006E709F">
        <w:rPr>
          <w:i/>
        </w:rPr>
        <w:t>Carbon Credits (Carbon Farming Initiative) Act 2011</w:t>
      </w:r>
      <w:r w:rsidRPr="006E709F">
        <w:t>, or each statement about the eligible international emissions unit that is published on the website of the Clean Energy Regulator as mentioned in section</w:t>
      </w:r>
      <w:r w:rsidR="00DA13DE" w:rsidRPr="006E709F">
        <w:t> </w:t>
      </w:r>
      <w:r w:rsidRPr="006E709F">
        <w:t xml:space="preserve">61 of the </w:t>
      </w:r>
      <w:r w:rsidRPr="006E709F">
        <w:rPr>
          <w:i/>
        </w:rPr>
        <w:t>Australian National Registry of Emissions Units Act</w:t>
      </w:r>
      <w:r w:rsidR="00E376FA" w:rsidRPr="006E709F">
        <w:rPr>
          <w:i/>
        </w:rPr>
        <w:t xml:space="preserve"> </w:t>
      </w:r>
      <w:r w:rsidRPr="006E709F">
        <w:rPr>
          <w:i/>
        </w:rPr>
        <w:t>2011</w:t>
      </w:r>
      <w:r w:rsidRPr="006E709F">
        <w:t>, if the statement would</w:t>
      </w:r>
    </w:p>
    <w:p w:rsidR="00F011D7" w:rsidRPr="006E709F" w:rsidRDefault="000577C6" w:rsidP="003C672B">
      <w:pPr>
        <w:pStyle w:val="ItemHead"/>
      </w:pPr>
      <w:r w:rsidRPr="006E709F">
        <w:t xml:space="preserve">19.8  </w:t>
      </w:r>
      <w:r w:rsidR="00F011D7" w:rsidRPr="006E709F">
        <w:t>Subsection</w:t>
      </w:r>
      <w:r w:rsidR="00DA13DE" w:rsidRPr="006E709F">
        <w:t> </w:t>
      </w:r>
      <w:r w:rsidR="00F011D7" w:rsidRPr="006E709F">
        <w:t>1012IA(3), subheading</w:t>
      </w:r>
    </w:p>
    <w:p w:rsidR="00A801D0" w:rsidRPr="006E709F" w:rsidRDefault="00A801D0" w:rsidP="00A801D0">
      <w:pPr>
        <w:pStyle w:val="Item"/>
        <w:rPr>
          <w:i/>
        </w:rPr>
      </w:pPr>
      <w:r w:rsidRPr="006E709F">
        <w:rPr>
          <w:i/>
        </w:rPr>
        <w:t>substitute</w:t>
      </w:r>
    </w:p>
    <w:p w:rsidR="00F011D7" w:rsidRPr="006E709F" w:rsidRDefault="00F011D7" w:rsidP="00F011D7">
      <w:pPr>
        <w:pStyle w:val="SubsectionHead"/>
        <w:keepNext w:val="0"/>
      </w:pPr>
      <w:r w:rsidRPr="006E709F">
        <w:t>Determining whether client should be informed about statements on Clean Energy Regulator’s website for an equivalent direct acquisition</w:t>
      </w:r>
    </w:p>
    <w:p w:rsidR="00F011D7" w:rsidRPr="006E709F" w:rsidRDefault="000577C6" w:rsidP="003C672B">
      <w:pPr>
        <w:pStyle w:val="ItemHead"/>
      </w:pPr>
      <w:r w:rsidRPr="006E709F">
        <w:t xml:space="preserve">19.9  </w:t>
      </w:r>
      <w:r w:rsidR="00F011D7" w:rsidRPr="006E709F">
        <w:t>Subsection</w:t>
      </w:r>
      <w:r w:rsidR="00DA13DE" w:rsidRPr="006E709F">
        <w:t> </w:t>
      </w:r>
      <w:r w:rsidR="00F011D7" w:rsidRPr="006E709F">
        <w:t>1012IA(3)</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give the client a Product Disclosure Statement for the financial product</w:t>
      </w:r>
    </w:p>
    <w:p w:rsidR="00A801D0" w:rsidRPr="006E709F" w:rsidRDefault="00A801D0" w:rsidP="00A801D0">
      <w:pPr>
        <w:pStyle w:val="Item"/>
        <w:rPr>
          <w:i/>
        </w:rPr>
      </w:pPr>
      <w:r w:rsidRPr="006E709F">
        <w:rPr>
          <w:i/>
        </w:rPr>
        <w:t>insert</w:t>
      </w:r>
    </w:p>
    <w:p w:rsidR="00F011D7" w:rsidRPr="006E709F" w:rsidRDefault="00F011D7" w:rsidP="00A801D0">
      <w:pPr>
        <w:pStyle w:val="Item"/>
      </w:pPr>
      <w:r w:rsidRPr="006E709F">
        <w:t>inform the client that the client should consider each statement about the carbon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t>, or each statement about the Australian carbon credit unit that is published on the website of the Clean Energy Regulator as mentioned in section</w:t>
      </w:r>
      <w:r w:rsidR="00DA13DE" w:rsidRPr="006E709F">
        <w:t> </w:t>
      </w:r>
      <w:r w:rsidRPr="006E709F">
        <w:t xml:space="preserve">162 of the </w:t>
      </w:r>
      <w:r w:rsidRPr="006E709F">
        <w:rPr>
          <w:i/>
        </w:rPr>
        <w:t>Carbon Credits (Carbon Farming Initiative) Act 2011</w:t>
      </w:r>
      <w:r w:rsidRPr="006E709F">
        <w:t>, or each statement about the eligible international emissions unit that is published on the website of the Clean Energy Regulator as mentioned in section</w:t>
      </w:r>
      <w:r w:rsidR="00DA13DE" w:rsidRPr="006E709F">
        <w:t> </w:t>
      </w:r>
      <w:r w:rsidRPr="006E709F">
        <w:t xml:space="preserve">61 of the </w:t>
      </w:r>
      <w:r w:rsidRPr="006E709F">
        <w:rPr>
          <w:i/>
        </w:rPr>
        <w:t>Australian National Registry of Emissions Units Act</w:t>
      </w:r>
      <w:r w:rsidR="00E376FA" w:rsidRPr="006E709F">
        <w:rPr>
          <w:i/>
        </w:rPr>
        <w:t xml:space="preserve"> </w:t>
      </w:r>
      <w:r w:rsidRPr="006E709F">
        <w:rPr>
          <w:i/>
        </w:rPr>
        <w:t>2011</w:t>
      </w:r>
    </w:p>
    <w:p w:rsidR="00F011D7" w:rsidRPr="006E709F" w:rsidRDefault="000577C6" w:rsidP="003C672B">
      <w:pPr>
        <w:pStyle w:val="ItemHead"/>
      </w:pPr>
      <w:r w:rsidRPr="006E709F">
        <w:t xml:space="preserve">19.10  </w:t>
      </w:r>
      <w:r w:rsidR="00FF4176" w:rsidRPr="006E709F">
        <w:t>Paragraph 1</w:t>
      </w:r>
      <w:r w:rsidR="00F011D7" w:rsidRPr="006E709F">
        <w:t>017E(1</w:t>
      </w:r>
      <w:r w:rsidR="00A801D0" w:rsidRPr="006E709F">
        <w:t>)(</w:t>
      </w:r>
      <w:r w:rsidR="00F011D7" w:rsidRPr="006E709F">
        <w:t>b)</w:t>
      </w:r>
    </w:p>
    <w:p w:rsidR="00A801D0" w:rsidRPr="006E709F" w:rsidRDefault="00A801D0" w:rsidP="00A801D0">
      <w:pPr>
        <w:pStyle w:val="Item"/>
        <w:rPr>
          <w:i/>
        </w:rPr>
      </w:pPr>
      <w:r w:rsidRPr="006E709F">
        <w:rPr>
          <w:i/>
        </w:rPr>
        <w:t>substitute</w:t>
      </w:r>
    </w:p>
    <w:p w:rsidR="00F011D7" w:rsidRPr="006E709F" w:rsidRDefault="00F011D7" w:rsidP="00F011D7">
      <w:pPr>
        <w:pStyle w:val="paragraph"/>
      </w:pPr>
      <w:r w:rsidRPr="006E709F">
        <w:tab/>
        <w:t>(b)</w:t>
      </w:r>
      <w:r w:rsidRPr="006E709F">
        <w:tab/>
        <w:t xml:space="preserve">a seller (the </w:t>
      </w:r>
      <w:r w:rsidRPr="006E709F">
        <w:rPr>
          <w:b/>
          <w:i/>
        </w:rPr>
        <w:t>product provider</w:t>
      </w:r>
      <w:r w:rsidRPr="006E709F">
        <w:t>) of a carbon unit in relation to which the seller has informed the client that the client should consider each statement about the carbon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t>; or</w:t>
      </w:r>
    </w:p>
    <w:p w:rsidR="00F011D7" w:rsidRPr="006E709F" w:rsidRDefault="00F011D7" w:rsidP="00F011D7">
      <w:pPr>
        <w:pStyle w:val="paragraph"/>
      </w:pPr>
      <w:r w:rsidRPr="006E709F">
        <w:tab/>
        <w:t>(ba)</w:t>
      </w:r>
      <w:r w:rsidRPr="006E709F">
        <w:tab/>
        <w:t xml:space="preserve">a seller (the </w:t>
      </w:r>
      <w:r w:rsidRPr="006E709F">
        <w:rPr>
          <w:b/>
          <w:i/>
        </w:rPr>
        <w:t>product provider</w:t>
      </w:r>
      <w:r w:rsidRPr="006E709F">
        <w:t>) of an Australian carbon credit unit in relation to which the seller has informed the client that the client should consider each statement about the Australian carbon credit unit that is published on the website of the Clean Energy Regulator as mentioned in section</w:t>
      </w:r>
      <w:r w:rsidR="00DA13DE" w:rsidRPr="006E709F">
        <w:t> </w:t>
      </w:r>
      <w:r w:rsidRPr="006E709F">
        <w:t xml:space="preserve">162 of the </w:t>
      </w:r>
      <w:r w:rsidRPr="006E709F">
        <w:rPr>
          <w:i/>
        </w:rPr>
        <w:t>Carbon Credits (Carbon Farming Initiative) Act 2011</w:t>
      </w:r>
      <w:r w:rsidRPr="006E709F">
        <w:t>; or</w:t>
      </w:r>
    </w:p>
    <w:p w:rsidR="00F011D7" w:rsidRPr="006E709F" w:rsidRDefault="00F011D7" w:rsidP="00F011D7">
      <w:pPr>
        <w:pStyle w:val="paragraph"/>
      </w:pPr>
      <w:r w:rsidRPr="006E709F">
        <w:tab/>
        <w:t>(bb)</w:t>
      </w:r>
      <w:r w:rsidRPr="006E709F">
        <w:tab/>
        <w:t xml:space="preserve">a seller (the </w:t>
      </w:r>
      <w:r w:rsidRPr="006E709F">
        <w:rPr>
          <w:b/>
          <w:i/>
        </w:rPr>
        <w:t>product provider</w:t>
      </w:r>
      <w:r w:rsidRPr="006E709F">
        <w:t>) of an eligible international emissions unit in relation to which the seller has informed the client that the client should consider each statement about the eligible international emissions unit that is published on the website of the Clean Energy Regulator as mentioned in section</w:t>
      </w:r>
      <w:r w:rsidR="00DA13DE" w:rsidRPr="006E709F">
        <w:t> </w:t>
      </w:r>
      <w:r w:rsidRPr="006E709F">
        <w:t xml:space="preserve">61 of the </w:t>
      </w:r>
      <w:r w:rsidRPr="006E709F">
        <w:rPr>
          <w:i/>
        </w:rPr>
        <w:t>Australian National Registry of Emissions Units Act 2011</w:t>
      </w:r>
      <w:r w:rsidRPr="006E709F">
        <w:t>;</w:t>
      </w:r>
    </w:p>
    <w:p w:rsidR="00F011D7" w:rsidRPr="006E709F" w:rsidRDefault="000577C6" w:rsidP="003C672B">
      <w:pPr>
        <w:pStyle w:val="ItemHead"/>
      </w:pPr>
      <w:r w:rsidRPr="006E709F">
        <w:t xml:space="preserve">19.11  </w:t>
      </w:r>
      <w:r w:rsidR="00F011D7" w:rsidRPr="006E709F">
        <w:t>Subsection</w:t>
      </w:r>
      <w:r w:rsidR="00DA13DE" w:rsidRPr="006E709F">
        <w:t> </w:t>
      </w:r>
      <w:r w:rsidR="00F011D7" w:rsidRPr="006E709F">
        <w:t>1017G(1)</w:t>
      </w:r>
    </w:p>
    <w:p w:rsidR="00A801D0" w:rsidRPr="006E709F" w:rsidRDefault="00A801D0" w:rsidP="00A801D0">
      <w:pPr>
        <w:pStyle w:val="Item"/>
        <w:rPr>
          <w:i/>
        </w:rPr>
      </w:pPr>
      <w:r w:rsidRPr="006E709F">
        <w:rPr>
          <w:i/>
        </w:rPr>
        <w:t>substitute</w:t>
      </w:r>
    </w:p>
    <w:p w:rsidR="00F011D7" w:rsidRPr="006E709F" w:rsidRDefault="00F011D7" w:rsidP="00F011D7">
      <w:pPr>
        <w:pStyle w:val="subsection"/>
      </w:pPr>
      <w:r w:rsidRPr="006E709F">
        <w:tab/>
        <w:t>(1)</w:t>
      </w:r>
      <w:r w:rsidRPr="006E709F">
        <w:tab/>
        <w:t>This section does not apply to:</w:t>
      </w:r>
    </w:p>
    <w:p w:rsidR="00F011D7" w:rsidRPr="006E709F" w:rsidRDefault="00F011D7" w:rsidP="00D57CE3">
      <w:pPr>
        <w:pStyle w:val="paragraph"/>
      </w:pPr>
      <w:r w:rsidRPr="006E709F">
        <w:tab/>
        <w:t>(a)</w:t>
      </w:r>
      <w:r w:rsidRPr="006E709F">
        <w:tab/>
        <w:t>the Regulator; or</w:t>
      </w:r>
    </w:p>
    <w:p w:rsidR="00F011D7" w:rsidRPr="006E709F" w:rsidRDefault="00F011D7" w:rsidP="00D57CE3">
      <w:pPr>
        <w:pStyle w:val="paragraph"/>
      </w:pPr>
      <w:r w:rsidRPr="006E709F">
        <w:tab/>
        <w:t>(b)</w:t>
      </w:r>
      <w:r w:rsidRPr="006E709F">
        <w:tab/>
        <w:t>the CDM Executive Board; or</w:t>
      </w:r>
    </w:p>
    <w:p w:rsidR="00F011D7" w:rsidRPr="006E709F" w:rsidRDefault="00F011D7" w:rsidP="00D57CE3">
      <w:pPr>
        <w:pStyle w:val="paragraph"/>
      </w:pPr>
      <w:r w:rsidRPr="006E709F">
        <w:tab/>
        <w:t>(c)</w:t>
      </w:r>
      <w:r w:rsidRPr="006E709F">
        <w:tab/>
        <w:t>the government of a country other than Australia; or</w:t>
      </w:r>
    </w:p>
    <w:p w:rsidR="0048795D" w:rsidRPr="006E709F" w:rsidRDefault="00F011D7" w:rsidP="00D57CE3">
      <w:pPr>
        <w:pStyle w:val="paragraph"/>
        <w:rPr>
          <w:szCs w:val="22"/>
        </w:rPr>
      </w:pPr>
      <w:r w:rsidRPr="006E709F">
        <w:tab/>
        <w:t>(d)</w:t>
      </w:r>
      <w:r w:rsidRPr="006E709F">
        <w:tab/>
      </w:r>
      <w:r w:rsidRPr="006E709F">
        <w:rPr>
          <w:szCs w:val="22"/>
        </w:rPr>
        <w:t>an authority acting on behalf of the government of a country other than Australia.</w:t>
      </w:r>
    </w:p>
    <w:p w:rsidR="0048795D" w:rsidRPr="006E709F" w:rsidRDefault="00F011D7" w:rsidP="00F011D7">
      <w:pPr>
        <w:pStyle w:val="subsection"/>
      </w:pPr>
      <w:r w:rsidRPr="006E709F">
        <w:tab/>
        <w:t>(1A)</w:t>
      </w:r>
      <w:r w:rsidRPr="006E709F">
        <w:tab/>
        <w:t>If:</w:t>
      </w:r>
    </w:p>
    <w:p w:rsidR="00F011D7" w:rsidRPr="006E709F" w:rsidRDefault="00F011D7" w:rsidP="00F011D7">
      <w:pPr>
        <w:pStyle w:val="paragraph"/>
      </w:pPr>
      <w:r w:rsidRPr="006E709F">
        <w:tab/>
        <w:t>(a)</w:t>
      </w:r>
      <w:r w:rsidRPr="006E709F">
        <w:tab/>
        <w:t>carbon units are, or have been, available for acquisition (whether by issue or sale) by a person or persons as retail clients; and</w:t>
      </w:r>
    </w:p>
    <w:p w:rsidR="0048795D" w:rsidRPr="006E709F" w:rsidRDefault="00F011D7" w:rsidP="00F011D7">
      <w:pPr>
        <w:pStyle w:val="paragraph"/>
      </w:pPr>
      <w:r w:rsidRPr="006E709F">
        <w:tab/>
        <w:t>(b)</w:t>
      </w:r>
      <w:r w:rsidRPr="006E709F">
        <w:tab/>
        <w:t>the issue or sale of the carbon units is not covered by an Australian financial services licence;</w:t>
      </w:r>
    </w:p>
    <w:p w:rsidR="0048795D" w:rsidRPr="006E709F" w:rsidRDefault="00F011D7" w:rsidP="00F011D7">
      <w:pPr>
        <w:pStyle w:val="subsection"/>
        <w:spacing w:before="0"/>
        <w:rPr>
          <w:szCs w:val="22"/>
        </w:rPr>
      </w:pPr>
      <w:r w:rsidRPr="006E709F">
        <w:rPr>
          <w:szCs w:val="22"/>
        </w:rPr>
        <w:tab/>
      </w:r>
      <w:r w:rsidRPr="006E709F">
        <w:rPr>
          <w:szCs w:val="22"/>
        </w:rPr>
        <w:tab/>
        <w:t xml:space="preserve">the issuer and </w:t>
      </w:r>
      <w:r w:rsidRPr="006E709F">
        <w:t>any regulated person who is required, under subsection</w:t>
      </w:r>
      <w:r w:rsidR="00DA13DE" w:rsidRPr="006E709F">
        <w:t> </w:t>
      </w:r>
      <w:r w:rsidRPr="006E709F">
        <w:t>1012</w:t>
      </w:r>
      <w:r w:rsidR="00E376FA" w:rsidRPr="006E709F">
        <w:t>D(</w:t>
      </w:r>
      <w:r w:rsidRPr="006E709F">
        <w:t>1), to inform a client that the client should consider each statement about the carbon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rPr>
          <w:szCs w:val="22"/>
        </w:rPr>
        <w:t xml:space="preserve">, must both have a dispute resolution system complying with </w:t>
      </w:r>
      <w:r w:rsidR="00DA13DE" w:rsidRPr="006E709F">
        <w:rPr>
          <w:szCs w:val="22"/>
        </w:rPr>
        <w:t>subsection (</w:t>
      </w:r>
      <w:r w:rsidRPr="006E709F">
        <w:rPr>
          <w:szCs w:val="22"/>
        </w:rPr>
        <w:t>2).</w:t>
      </w:r>
    </w:p>
    <w:p w:rsidR="0048795D" w:rsidRPr="006E709F" w:rsidRDefault="00F011D7" w:rsidP="00F011D7">
      <w:pPr>
        <w:pStyle w:val="notetext"/>
      </w:pPr>
      <w:r w:rsidRPr="006E709F">
        <w:t>Note 1:</w:t>
      </w:r>
      <w:r w:rsidRPr="006E709F">
        <w:tab/>
        <w:t>If the issue of the carbon units is covered by an Australian financial services licence, the requirement to have a dispute resolution system relating to the issue of the units is imposed by paragraph</w:t>
      </w:r>
      <w:r w:rsidR="00DA13DE" w:rsidRPr="006E709F">
        <w:t> </w:t>
      </w:r>
      <w:r w:rsidRPr="006E709F">
        <w:t>912A(1)(g).</w:t>
      </w:r>
    </w:p>
    <w:p w:rsidR="00F011D7" w:rsidRPr="006E709F" w:rsidRDefault="009A763A" w:rsidP="00F011D7">
      <w:pPr>
        <w:pStyle w:val="notetext"/>
      </w:pPr>
      <w:r w:rsidRPr="006E709F">
        <w:t>Note 2:</w:t>
      </w:r>
      <w:r w:rsidR="00F011D7" w:rsidRPr="006E709F">
        <w:tab/>
        <w:t>Failure to comply with this subsection is an offence (see subsection</w:t>
      </w:r>
      <w:r w:rsidR="00DA13DE" w:rsidRPr="006E709F">
        <w:t> </w:t>
      </w:r>
      <w:r w:rsidR="00F011D7" w:rsidRPr="006E709F">
        <w:t>1311(1)).</w:t>
      </w:r>
    </w:p>
    <w:p w:rsidR="0048795D" w:rsidRPr="006E709F" w:rsidRDefault="00F011D7" w:rsidP="00F011D7">
      <w:pPr>
        <w:pStyle w:val="subsection"/>
        <w:keepNext/>
      </w:pPr>
      <w:r w:rsidRPr="006E709F">
        <w:tab/>
        <w:t>(1B)</w:t>
      </w:r>
      <w:r w:rsidRPr="006E709F">
        <w:tab/>
        <w:t>If:</w:t>
      </w:r>
    </w:p>
    <w:p w:rsidR="00F011D7" w:rsidRPr="006E709F" w:rsidRDefault="00F011D7" w:rsidP="00F011D7">
      <w:pPr>
        <w:pStyle w:val="paragraph"/>
      </w:pPr>
      <w:r w:rsidRPr="006E709F">
        <w:tab/>
        <w:t>(a)</w:t>
      </w:r>
      <w:r w:rsidRPr="006E709F">
        <w:tab/>
        <w:t>Australian carbon credit units are, or have been, available for acquisition (whether by issue or sale) by a person or persons as retail clients; and</w:t>
      </w:r>
    </w:p>
    <w:p w:rsidR="0048795D" w:rsidRPr="006E709F" w:rsidRDefault="00F011D7" w:rsidP="00F011D7">
      <w:pPr>
        <w:pStyle w:val="paragraph"/>
      </w:pPr>
      <w:r w:rsidRPr="006E709F">
        <w:tab/>
        <w:t>(b)</w:t>
      </w:r>
      <w:r w:rsidRPr="006E709F">
        <w:tab/>
        <w:t>the issue or sale of the Australian carbon credit units is not covered by an Australian financial services licence;</w:t>
      </w:r>
    </w:p>
    <w:p w:rsidR="0048795D" w:rsidRPr="006E709F" w:rsidRDefault="00F011D7" w:rsidP="00F011D7">
      <w:pPr>
        <w:pStyle w:val="subsection"/>
        <w:spacing w:before="0"/>
        <w:rPr>
          <w:szCs w:val="22"/>
        </w:rPr>
      </w:pPr>
      <w:r w:rsidRPr="006E709F">
        <w:rPr>
          <w:szCs w:val="22"/>
        </w:rPr>
        <w:tab/>
      </w:r>
      <w:r w:rsidRPr="006E709F">
        <w:rPr>
          <w:szCs w:val="22"/>
        </w:rPr>
        <w:tab/>
        <w:t xml:space="preserve">the issuer and </w:t>
      </w:r>
      <w:r w:rsidRPr="006E709F">
        <w:t>any regulated person who is required, under subsection</w:t>
      </w:r>
      <w:r w:rsidR="00DA13DE" w:rsidRPr="006E709F">
        <w:t> </w:t>
      </w:r>
      <w:r w:rsidRPr="006E709F">
        <w:t>1012</w:t>
      </w:r>
      <w:r w:rsidR="00E376FA" w:rsidRPr="006E709F">
        <w:t>D(</w:t>
      </w:r>
      <w:r w:rsidRPr="006E709F">
        <w:t>3A), to inform a client that the client should consider each statement about the Australian carbon credit unit that is published on the website of the Clean Energy Regulator as mentioned in section</w:t>
      </w:r>
      <w:r w:rsidR="00DA13DE" w:rsidRPr="006E709F">
        <w:t> </w:t>
      </w:r>
      <w:r w:rsidRPr="006E709F">
        <w:t xml:space="preserve">162 of the </w:t>
      </w:r>
      <w:r w:rsidRPr="006E709F">
        <w:rPr>
          <w:i/>
        </w:rPr>
        <w:t>Carbon Credits (Carbon Farming Initiative) Act 2011</w:t>
      </w:r>
      <w:r w:rsidRPr="006E709F">
        <w:rPr>
          <w:szCs w:val="22"/>
        </w:rPr>
        <w:t xml:space="preserve">, must both have a dispute resolution system complying with </w:t>
      </w:r>
      <w:r w:rsidR="00DA13DE" w:rsidRPr="006E709F">
        <w:rPr>
          <w:szCs w:val="22"/>
        </w:rPr>
        <w:t>subsection (</w:t>
      </w:r>
      <w:r w:rsidRPr="006E709F">
        <w:rPr>
          <w:szCs w:val="22"/>
        </w:rPr>
        <w:t>2).</w:t>
      </w:r>
    </w:p>
    <w:p w:rsidR="0048795D" w:rsidRPr="006E709F" w:rsidRDefault="009A763A" w:rsidP="00F011D7">
      <w:pPr>
        <w:pStyle w:val="notetext"/>
      </w:pPr>
      <w:r w:rsidRPr="006E709F">
        <w:t>Note 1:</w:t>
      </w:r>
      <w:r w:rsidR="00F011D7" w:rsidRPr="006E709F">
        <w:tab/>
        <w:t>If the issue of the Australian carbon credit units is covered by an Australian financial services licence, the requirement to have a dispute resolution system relating to the issue of the units is imposed by paragraph</w:t>
      </w:r>
      <w:r w:rsidR="00DA13DE" w:rsidRPr="006E709F">
        <w:t> </w:t>
      </w:r>
      <w:r w:rsidR="00F011D7" w:rsidRPr="006E709F">
        <w:t>912A(1)(g).</w:t>
      </w:r>
    </w:p>
    <w:p w:rsidR="00F011D7" w:rsidRPr="006E709F" w:rsidRDefault="009A763A" w:rsidP="00F011D7">
      <w:pPr>
        <w:pStyle w:val="notetext"/>
      </w:pPr>
      <w:r w:rsidRPr="006E709F">
        <w:t>Note 2:</w:t>
      </w:r>
      <w:r w:rsidR="00F011D7" w:rsidRPr="006E709F">
        <w:tab/>
        <w:t>Failure to comply with this subsection is an offence (see subsection</w:t>
      </w:r>
      <w:r w:rsidR="00DA13DE" w:rsidRPr="006E709F">
        <w:t> </w:t>
      </w:r>
      <w:r w:rsidR="00F011D7" w:rsidRPr="006E709F">
        <w:t>1311(1)).</w:t>
      </w:r>
    </w:p>
    <w:p w:rsidR="0048795D" w:rsidRPr="006E709F" w:rsidRDefault="00F011D7" w:rsidP="00F011D7">
      <w:pPr>
        <w:pStyle w:val="subsection"/>
        <w:keepNext/>
      </w:pPr>
      <w:r w:rsidRPr="006E709F">
        <w:tab/>
        <w:t>(1C)</w:t>
      </w:r>
      <w:r w:rsidRPr="006E709F">
        <w:tab/>
        <w:t>If:</w:t>
      </w:r>
    </w:p>
    <w:p w:rsidR="00F011D7" w:rsidRPr="006E709F" w:rsidRDefault="00F011D7" w:rsidP="00F011D7">
      <w:pPr>
        <w:pStyle w:val="paragraph"/>
      </w:pPr>
      <w:r w:rsidRPr="006E709F">
        <w:tab/>
        <w:t>(a)</w:t>
      </w:r>
      <w:r w:rsidRPr="006E709F">
        <w:tab/>
        <w:t>eligible international emissions units are, or have been, available for acquisition (whether by issue or sale) by a person or persons as retail clients; and</w:t>
      </w:r>
    </w:p>
    <w:p w:rsidR="0048795D" w:rsidRPr="006E709F" w:rsidRDefault="00F011D7" w:rsidP="00F011D7">
      <w:pPr>
        <w:pStyle w:val="paragraph"/>
      </w:pPr>
      <w:r w:rsidRPr="006E709F">
        <w:tab/>
        <w:t>(b)</w:t>
      </w:r>
      <w:r w:rsidRPr="006E709F">
        <w:tab/>
        <w:t>the issue or sale of the eligible international emissions units is not covered by an Australian financial services licence;</w:t>
      </w:r>
    </w:p>
    <w:p w:rsidR="0048795D" w:rsidRPr="006E709F" w:rsidRDefault="00F011D7" w:rsidP="00F011D7">
      <w:pPr>
        <w:pStyle w:val="subsection"/>
        <w:spacing w:before="0"/>
        <w:rPr>
          <w:szCs w:val="22"/>
        </w:rPr>
      </w:pPr>
      <w:r w:rsidRPr="006E709F">
        <w:rPr>
          <w:szCs w:val="22"/>
        </w:rPr>
        <w:tab/>
      </w:r>
      <w:r w:rsidRPr="006E709F">
        <w:rPr>
          <w:szCs w:val="22"/>
        </w:rPr>
        <w:tab/>
        <w:t xml:space="preserve">the issuer and </w:t>
      </w:r>
      <w:r w:rsidRPr="006E709F">
        <w:t>any regulated person who is required, under subsection</w:t>
      </w:r>
      <w:r w:rsidR="00DA13DE" w:rsidRPr="006E709F">
        <w:t> </w:t>
      </w:r>
      <w:r w:rsidRPr="006E709F">
        <w:t>1012</w:t>
      </w:r>
      <w:r w:rsidR="00E376FA" w:rsidRPr="006E709F">
        <w:t>D(</w:t>
      </w:r>
      <w:r w:rsidRPr="006E709F">
        <w:t>3D), to inform a client that the client should consider each statement about the eligible international emissions unit that is published on the website of the Clean Energy Regulator as mentioned in section</w:t>
      </w:r>
      <w:r w:rsidR="00DA13DE" w:rsidRPr="006E709F">
        <w:t> </w:t>
      </w:r>
      <w:r w:rsidRPr="006E709F">
        <w:t xml:space="preserve">61 of the </w:t>
      </w:r>
      <w:r w:rsidRPr="006E709F">
        <w:rPr>
          <w:i/>
        </w:rPr>
        <w:t>Australian National Registry of Emissions Units Act 2011</w:t>
      </w:r>
      <w:r w:rsidRPr="006E709F">
        <w:rPr>
          <w:szCs w:val="22"/>
        </w:rPr>
        <w:t xml:space="preserve">, must both have a dispute resolution system complying with </w:t>
      </w:r>
      <w:r w:rsidR="00DA13DE" w:rsidRPr="006E709F">
        <w:rPr>
          <w:szCs w:val="22"/>
        </w:rPr>
        <w:t>subsection (</w:t>
      </w:r>
      <w:r w:rsidRPr="006E709F">
        <w:rPr>
          <w:szCs w:val="22"/>
        </w:rPr>
        <w:t>2).</w:t>
      </w:r>
    </w:p>
    <w:p w:rsidR="0048795D" w:rsidRPr="006E709F" w:rsidRDefault="009A763A" w:rsidP="00F011D7">
      <w:pPr>
        <w:pStyle w:val="notetext"/>
        <w:rPr>
          <w:szCs w:val="18"/>
        </w:rPr>
      </w:pPr>
      <w:r w:rsidRPr="006E709F">
        <w:rPr>
          <w:szCs w:val="18"/>
        </w:rPr>
        <w:t>Note 1:</w:t>
      </w:r>
      <w:r w:rsidR="00F011D7" w:rsidRPr="006E709F">
        <w:rPr>
          <w:szCs w:val="18"/>
        </w:rPr>
        <w:tab/>
        <w:t>If the issue of the eligible international emissions units is covered by an Australian financial services licence, the requirement to have a dispute resolution system relating to the issue of the units is imposed by paragraph</w:t>
      </w:r>
      <w:r w:rsidR="00DA13DE" w:rsidRPr="006E709F">
        <w:rPr>
          <w:szCs w:val="18"/>
        </w:rPr>
        <w:t> </w:t>
      </w:r>
      <w:r w:rsidR="00F011D7" w:rsidRPr="006E709F">
        <w:rPr>
          <w:szCs w:val="18"/>
        </w:rPr>
        <w:t>912A(1)(g).</w:t>
      </w:r>
    </w:p>
    <w:p w:rsidR="00F011D7" w:rsidRPr="006E709F" w:rsidRDefault="009A763A" w:rsidP="00F011D7">
      <w:pPr>
        <w:pStyle w:val="notetext"/>
      </w:pPr>
      <w:r w:rsidRPr="006E709F">
        <w:rPr>
          <w:szCs w:val="18"/>
        </w:rPr>
        <w:t>Note 2:</w:t>
      </w:r>
      <w:r w:rsidR="00F011D7" w:rsidRPr="006E709F">
        <w:rPr>
          <w:szCs w:val="18"/>
        </w:rPr>
        <w:tab/>
      </w:r>
      <w:r w:rsidR="00F011D7" w:rsidRPr="006E709F">
        <w:t>Failure</w:t>
      </w:r>
      <w:r w:rsidR="00F011D7" w:rsidRPr="006E709F">
        <w:rPr>
          <w:szCs w:val="18"/>
        </w:rPr>
        <w:t xml:space="preserve"> to comply with this subsection is an offence (see subsection</w:t>
      </w:r>
      <w:r w:rsidR="00DA13DE" w:rsidRPr="006E709F">
        <w:rPr>
          <w:szCs w:val="18"/>
        </w:rPr>
        <w:t> </w:t>
      </w:r>
      <w:r w:rsidR="00F011D7" w:rsidRPr="006E709F">
        <w:rPr>
          <w:szCs w:val="18"/>
        </w:rPr>
        <w:t>1311(1)).</w:t>
      </w:r>
    </w:p>
    <w:p w:rsidR="00F011D7" w:rsidRPr="006E709F" w:rsidRDefault="000577C6" w:rsidP="003C672B">
      <w:pPr>
        <w:pStyle w:val="ItemHead"/>
      </w:pPr>
      <w:r w:rsidRPr="006E709F">
        <w:t xml:space="preserve">19.12  </w:t>
      </w:r>
      <w:r w:rsidR="00F011D7" w:rsidRPr="006E709F">
        <w:t>Section</w:t>
      </w:r>
      <w:r w:rsidR="00DA13DE" w:rsidRPr="006E709F">
        <w:t> </w:t>
      </w:r>
      <w:r w:rsidR="00F011D7" w:rsidRPr="006E709F">
        <w:t>1018A, heading</w:t>
      </w:r>
    </w:p>
    <w:p w:rsidR="00A801D0" w:rsidRPr="006E709F" w:rsidRDefault="00A801D0" w:rsidP="00A801D0">
      <w:pPr>
        <w:pStyle w:val="Item"/>
        <w:rPr>
          <w:i/>
        </w:rPr>
      </w:pPr>
      <w:r w:rsidRPr="006E709F">
        <w:rPr>
          <w:i/>
        </w:rPr>
        <w:t>substitute</w:t>
      </w:r>
    </w:p>
    <w:p w:rsidR="00F011D7" w:rsidRPr="006E709F" w:rsidRDefault="00F011D7" w:rsidP="002D66C6">
      <w:pPr>
        <w:pStyle w:val="Specials"/>
      </w:pPr>
      <w:r w:rsidRPr="006E709F">
        <w:t>1018A  Advertising or other promotional material for financial product must refer to statements on Clean Energy Regulator’s website</w:t>
      </w:r>
    </w:p>
    <w:p w:rsidR="00F011D7" w:rsidRPr="006E709F" w:rsidRDefault="000577C6" w:rsidP="003C672B">
      <w:pPr>
        <w:pStyle w:val="ItemHead"/>
      </w:pPr>
      <w:r w:rsidRPr="006E709F">
        <w:t xml:space="preserve">19.13  </w:t>
      </w:r>
      <w:r w:rsidR="00F011D7" w:rsidRPr="006E709F">
        <w:t>Subsection</w:t>
      </w:r>
      <w:r w:rsidR="00DA13DE" w:rsidRPr="006E709F">
        <w:t> </w:t>
      </w:r>
      <w:r w:rsidR="00F011D7" w:rsidRPr="006E709F">
        <w:t>1018A(1), subheading</w:t>
      </w:r>
    </w:p>
    <w:p w:rsidR="00A801D0" w:rsidRPr="006E709F" w:rsidRDefault="00A801D0" w:rsidP="00A801D0">
      <w:pPr>
        <w:pStyle w:val="Item"/>
        <w:rPr>
          <w:i/>
        </w:rPr>
      </w:pPr>
      <w:r w:rsidRPr="006E709F">
        <w:rPr>
          <w:i/>
        </w:rPr>
        <w:t>substitute</w:t>
      </w:r>
    </w:p>
    <w:p w:rsidR="00F011D7" w:rsidRPr="006E709F" w:rsidRDefault="00F011D7" w:rsidP="00F011D7">
      <w:pPr>
        <w:pStyle w:val="SubsectionHead"/>
      </w:pPr>
      <w:r w:rsidRPr="006E709F">
        <w:t>Advertisements and promotional material must identify issuer (or issuer and seller) and refer to statements on Clean Energy Regulator’s website</w:t>
      </w:r>
    </w:p>
    <w:p w:rsidR="00F011D7" w:rsidRPr="006E709F" w:rsidRDefault="000577C6" w:rsidP="003C672B">
      <w:pPr>
        <w:pStyle w:val="ItemHead"/>
      </w:pPr>
      <w:r w:rsidRPr="006E709F">
        <w:t xml:space="preserve">19.14  </w:t>
      </w:r>
      <w:r w:rsidR="00F011D7" w:rsidRPr="006E709F">
        <w:t>Subsection</w:t>
      </w:r>
      <w:r w:rsidR="00DA13DE" w:rsidRPr="006E709F">
        <w:t> </w:t>
      </w:r>
      <w:r w:rsidR="00F011D7" w:rsidRPr="006E709F">
        <w:t>1018A(1)</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if a particular financial product is available for acquisition by persons as retail clients (whether or not it is also available for acquisition by persons as wholesale clients) by way of issue, or pursuant to sale offers to which section</w:t>
      </w:r>
      <w:r w:rsidR="00DA13DE" w:rsidRPr="006E709F">
        <w:t> </w:t>
      </w:r>
      <w:r w:rsidRPr="006E709F">
        <w:t>1012C applies or will apply,</w:t>
      </w:r>
    </w:p>
    <w:p w:rsidR="00A801D0" w:rsidRPr="006E709F" w:rsidRDefault="00A801D0" w:rsidP="00A801D0">
      <w:pPr>
        <w:pStyle w:val="Item"/>
        <w:rPr>
          <w:i/>
        </w:rPr>
      </w:pPr>
      <w:r w:rsidRPr="006E709F">
        <w:rPr>
          <w:i/>
        </w:rPr>
        <w:t>insert</w:t>
      </w:r>
    </w:p>
    <w:p w:rsidR="00F011D7" w:rsidRPr="006E709F" w:rsidRDefault="00F011D7" w:rsidP="00A801D0">
      <w:pPr>
        <w:pStyle w:val="Item"/>
      </w:pPr>
      <w:r w:rsidRPr="006E709F">
        <w:t>in an issue situation or sale situation for a carbon unit, an Australian carbon credit unit or an eligible international emissions unit that is available for acquisition by persons as retail clients (whether or not it is also available for acquisition by persons as wholesale clients),</w:t>
      </w:r>
    </w:p>
    <w:p w:rsidR="00F011D7" w:rsidRPr="006E709F" w:rsidRDefault="00F011D7" w:rsidP="003C672B">
      <w:pPr>
        <w:pStyle w:val="ItemHead"/>
      </w:pPr>
      <w:r w:rsidRPr="006E709F">
        <w:t>19.15</w:t>
      </w:r>
      <w:r w:rsidR="003C672B" w:rsidRPr="006E709F">
        <w:t xml:space="preserve">  </w:t>
      </w:r>
      <w:r w:rsidR="00FF4176" w:rsidRPr="006E709F">
        <w:t>Subparagraph 1</w:t>
      </w:r>
      <w:r w:rsidRPr="006E709F">
        <w:t>018A(1</w:t>
      </w:r>
      <w:r w:rsidR="00A801D0" w:rsidRPr="006E709F">
        <w:t>)(</w:t>
      </w:r>
      <w:r w:rsidRPr="006E709F">
        <w:t>c</w:t>
      </w:r>
      <w:r w:rsidR="00A801D0" w:rsidRPr="006E709F">
        <w:t>)(</w:t>
      </w:r>
      <w:r w:rsidRPr="006E709F">
        <w:t>ii)</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to which section</w:t>
      </w:r>
      <w:r w:rsidR="00DA13DE" w:rsidRPr="006E709F">
        <w:t> </w:t>
      </w:r>
      <w:r w:rsidRPr="006E709F">
        <w:t>1012C applies or will apply</w:t>
      </w:r>
    </w:p>
    <w:p w:rsidR="00A801D0" w:rsidRPr="006E709F" w:rsidRDefault="00A801D0" w:rsidP="00A801D0">
      <w:pPr>
        <w:pStyle w:val="Item"/>
        <w:rPr>
          <w:i/>
        </w:rPr>
      </w:pPr>
      <w:r w:rsidRPr="006E709F">
        <w:rPr>
          <w:i/>
        </w:rPr>
        <w:t>insert</w:t>
      </w:r>
    </w:p>
    <w:p w:rsidR="00F011D7" w:rsidRPr="006E709F" w:rsidRDefault="00F011D7" w:rsidP="00A801D0">
      <w:pPr>
        <w:pStyle w:val="Item"/>
      </w:pPr>
      <w:r w:rsidRPr="006E709F">
        <w:t>to which paragraphs 1012</w:t>
      </w:r>
      <w:r w:rsidR="00E376FA" w:rsidRPr="006E709F">
        <w:t>C(</w:t>
      </w:r>
      <w:r w:rsidRPr="006E709F">
        <w:t>3)(b) and (4)(c), and subsection</w:t>
      </w:r>
      <w:r w:rsidR="00DA13DE" w:rsidRPr="006E709F">
        <w:t> </w:t>
      </w:r>
      <w:r w:rsidRPr="006E709F">
        <w:t>1012</w:t>
      </w:r>
      <w:r w:rsidR="00E376FA" w:rsidRPr="006E709F">
        <w:t>C(</w:t>
      </w:r>
      <w:r w:rsidRPr="006E709F">
        <w:t>6), would apply if section</w:t>
      </w:r>
      <w:r w:rsidR="00DA13DE" w:rsidRPr="006E709F">
        <w:t> </w:t>
      </w:r>
      <w:r w:rsidRPr="006E709F">
        <w:t>1012C were applicable in relation to a carbon unit, an Australian carbon credit unit or an eligible international emissions unit</w:t>
      </w:r>
    </w:p>
    <w:p w:rsidR="00F011D7" w:rsidRPr="006E709F" w:rsidRDefault="000577C6" w:rsidP="003C672B">
      <w:pPr>
        <w:pStyle w:val="ItemHead"/>
      </w:pPr>
      <w:r w:rsidRPr="006E709F">
        <w:t xml:space="preserve">19.16  </w:t>
      </w:r>
      <w:r w:rsidR="00F011D7" w:rsidRPr="006E709F">
        <w:t>Paragraphs 1018A(1</w:t>
      </w:r>
      <w:r w:rsidR="00A801D0" w:rsidRPr="006E709F">
        <w:t>)(</w:t>
      </w:r>
      <w:r w:rsidR="00F011D7" w:rsidRPr="006E709F">
        <w:t>d) and (e)</w:t>
      </w:r>
    </w:p>
    <w:p w:rsidR="00A801D0" w:rsidRPr="006E709F" w:rsidRDefault="00A801D0" w:rsidP="00A801D0">
      <w:pPr>
        <w:pStyle w:val="Item"/>
        <w:rPr>
          <w:i/>
        </w:rPr>
      </w:pPr>
      <w:r w:rsidRPr="006E709F">
        <w:rPr>
          <w:i/>
        </w:rPr>
        <w:t>substitute</w:t>
      </w:r>
    </w:p>
    <w:p w:rsidR="00F011D7" w:rsidRPr="006E709F" w:rsidRDefault="00F011D7" w:rsidP="00F011D7">
      <w:pPr>
        <w:pStyle w:val="paragraph"/>
      </w:pPr>
      <w:r w:rsidRPr="006E709F">
        <w:tab/>
        <w:t>(d)</w:t>
      </w:r>
      <w:r w:rsidRPr="006E709F">
        <w:tab/>
        <w:t>informs the person that the person should consider:</w:t>
      </w:r>
    </w:p>
    <w:p w:rsidR="00F011D7" w:rsidRPr="006E709F" w:rsidRDefault="00F011D7" w:rsidP="00F011D7">
      <w:pPr>
        <w:pStyle w:val="paragraphsub"/>
      </w:pPr>
      <w:r w:rsidRPr="006E709F">
        <w:tab/>
        <w:t>(i)</w:t>
      </w:r>
      <w:r w:rsidRPr="006E709F">
        <w:tab/>
        <w:t>each statement about the carbon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t xml:space="preserve"> in deciding whether to acquire, or to continue to hold, the carbon unit; or</w:t>
      </w:r>
    </w:p>
    <w:p w:rsidR="00F011D7" w:rsidRPr="006E709F" w:rsidRDefault="00F011D7" w:rsidP="00F011D7">
      <w:pPr>
        <w:pStyle w:val="paragraphsub"/>
      </w:pPr>
      <w:r w:rsidRPr="006E709F">
        <w:tab/>
        <w:t>(ii)</w:t>
      </w:r>
      <w:r w:rsidRPr="006E709F">
        <w:tab/>
        <w:t>each statement about the Australian carbon credit unit that is published on the website of the Clean Energy Regulator as mentioned in section</w:t>
      </w:r>
      <w:r w:rsidR="00DA13DE" w:rsidRPr="006E709F">
        <w:t> </w:t>
      </w:r>
      <w:r w:rsidRPr="006E709F">
        <w:t xml:space="preserve">162 of the </w:t>
      </w:r>
      <w:r w:rsidRPr="006E709F">
        <w:rPr>
          <w:i/>
        </w:rPr>
        <w:t>Carbon Credits (Carbon Farming Initiative) Act 2011</w:t>
      </w:r>
      <w:r w:rsidRPr="006E709F">
        <w:t xml:space="preserve"> in deciding whether to acquire, or to continue to hold, the Australian carbon credit unit; or</w:t>
      </w:r>
    </w:p>
    <w:p w:rsidR="00F011D7" w:rsidRPr="006E709F" w:rsidRDefault="00F011D7" w:rsidP="00F011D7">
      <w:pPr>
        <w:pStyle w:val="paragraphsub"/>
      </w:pPr>
      <w:r w:rsidRPr="006E709F">
        <w:tab/>
        <w:t>(iii)</w:t>
      </w:r>
      <w:r w:rsidRPr="006E709F">
        <w:tab/>
        <w:t>each statement about the eligible international emissions unit that is published on the website of the Clean Energy Regulator as mentioned in section</w:t>
      </w:r>
      <w:r w:rsidR="00DA13DE" w:rsidRPr="006E709F">
        <w:t> </w:t>
      </w:r>
      <w:r w:rsidRPr="006E709F">
        <w:t xml:space="preserve">61 of the </w:t>
      </w:r>
      <w:r w:rsidRPr="006E709F">
        <w:rPr>
          <w:i/>
        </w:rPr>
        <w:t>Australian National Registry of Emissions Units Act 2011</w:t>
      </w:r>
      <w:r w:rsidRPr="006E709F">
        <w:t xml:space="preserve"> in deciding whether to acquire, or to continue to hold, the eligible international emissions unit.</w:t>
      </w:r>
    </w:p>
    <w:p w:rsidR="00F011D7" w:rsidRPr="006E709F" w:rsidRDefault="000577C6" w:rsidP="003C672B">
      <w:pPr>
        <w:pStyle w:val="ItemHead"/>
      </w:pPr>
      <w:r w:rsidRPr="006E709F">
        <w:t xml:space="preserve">19.17  </w:t>
      </w:r>
      <w:r w:rsidR="00F011D7" w:rsidRPr="006E709F">
        <w:t>Subsection</w:t>
      </w:r>
      <w:r w:rsidR="00DA13DE" w:rsidRPr="006E709F">
        <w:t> </w:t>
      </w:r>
      <w:r w:rsidR="00F011D7" w:rsidRPr="006E709F">
        <w:t>1018A(2)</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if a particular financial product, or proposed financial product, is not available for acquisition by persons as retail clients but it is reasonably likely that the product will become so available (whether or not it is, or will also become, available for acquisition by persons as wholesale clients) by way of issue, or pursuant to sale offers to which section</w:t>
      </w:r>
      <w:r w:rsidR="00DA13DE" w:rsidRPr="006E709F">
        <w:t> </w:t>
      </w:r>
      <w:r w:rsidRPr="006E709F">
        <w:t>1012C will apply,</w:t>
      </w:r>
    </w:p>
    <w:p w:rsidR="00A801D0" w:rsidRPr="006E709F" w:rsidRDefault="00A801D0" w:rsidP="00915C51">
      <w:pPr>
        <w:pStyle w:val="Item"/>
        <w:keepNext/>
        <w:rPr>
          <w:i/>
        </w:rPr>
      </w:pPr>
      <w:r w:rsidRPr="006E709F">
        <w:rPr>
          <w:i/>
        </w:rPr>
        <w:t>insert</w:t>
      </w:r>
    </w:p>
    <w:p w:rsidR="00F011D7" w:rsidRPr="006E709F" w:rsidRDefault="00F011D7" w:rsidP="00A801D0">
      <w:pPr>
        <w:pStyle w:val="Item"/>
      </w:pPr>
      <w:r w:rsidRPr="006E709F">
        <w:t>in an issue situation or sale situation for a financial product that is a carbon unit, an Australian carbon credit unit or an eligible international emissions unit and is not available for acquisition by persons as retail clients, but is reasonably likely to become so available (whether or not it is, or will also become, available for acquisition by persons as wholesale clients),</w:t>
      </w:r>
    </w:p>
    <w:p w:rsidR="00F011D7" w:rsidRPr="006E709F" w:rsidRDefault="000577C6" w:rsidP="003C672B">
      <w:pPr>
        <w:pStyle w:val="ItemHead"/>
      </w:pPr>
      <w:r w:rsidRPr="006E709F">
        <w:t xml:space="preserve">19.18  </w:t>
      </w:r>
      <w:r w:rsidR="00FF4176" w:rsidRPr="006E709F">
        <w:t>Subparagraph 1</w:t>
      </w:r>
      <w:r w:rsidR="00F011D7" w:rsidRPr="006E709F">
        <w:t>018A(2</w:t>
      </w:r>
      <w:r w:rsidR="00A801D0" w:rsidRPr="006E709F">
        <w:t>)(</w:t>
      </w:r>
      <w:r w:rsidR="00F011D7" w:rsidRPr="006E709F">
        <w:t>c</w:t>
      </w:r>
      <w:r w:rsidR="00A801D0" w:rsidRPr="006E709F">
        <w:t>)(</w:t>
      </w:r>
      <w:r w:rsidR="00F011D7" w:rsidRPr="006E709F">
        <w:t>ii)</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to which section</w:t>
      </w:r>
      <w:r w:rsidR="00DA13DE" w:rsidRPr="006E709F">
        <w:t> </w:t>
      </w:r>
      <w:r w:rsidRPr="006E709F">
        <w:t>1012C will apply</w:t>
      </w:r>
    </w:p>
    <w:p w:rsidR="00A801D0" w:rsidRPr="006E709F" w:rsidRDefault="00A801D0" w:rsidP="00A801D0">
      <w:pPr>
        <w:pStyle w:val="Item"/>
        <w:rPr>
          <w:i/>
        </w:rPr>
      </w:pPr>
      <w:r w:rsidRPr="006E709F">
        <w:rPr>
          <w:i/>
        </w:rPr>
        <w:t>insert</w:t>
      </w:r>
    </w:p>
    <w:p w:rsidR="00F011D7" w:rsidRPr="006E709F" w:rsidRDefault="00F011D7" w:rsidP="00A801D0">
      <w:pPr>
        <w:pStyle w:val="Item"/>
      </w:pPr>
      <w:r w:rsidRPr="006E709F">
        <w:t>to which paragraphs 1012</w:t>
      </w:r>
      <w:r w:rsidR="00E376FA" w:rsidRPr="006E709F">
        <w:t>C(</w:t>
      </w:r>
      <w:r w:rsidRPr="006E709F">
        <w:t>3)(b) and (4)(c), and subsection</w:t>
      </w:r>
      <w:r w:rsidR="00DA13DE" w:rsidRPr="006E709F">
        <w:t> </w:t>
      </w:r>
      <w:r w:rsidRPr="006E709F">
        <w:t>1012</w:t>
      </w:r>
      <w:r w:rsidR="00E376FA" w:rsidRPr="006E709F">
        <w:t>C(</w:t>
      </w:r>
      <w:r w:rsidRPr="006E709F">
        <w:t>6), would apply if section</w:t>
      </w:r>
      <w:r w:rsidR="00DA13DE" w:rsidRPr="006E709F">
        <w:t> </w:t>
      </w:r>
      <w:r w:rsidRPr="006E709F">
        <w:t>1012C were applicable in relation to a carbon unit, an Australian carbon credit unit or an eligible international emissions unit</w:t>
      </w:r>
    </w:p>
    <w:p w:rsidR="00F011D7" w:rsidRPr="006E709F" w:rsidRDefault="000577C6" w:rsidP="003C672B">
      <w:pPr>
        <w:pStyle w:val="ItemHead"/>
      </w:pPr>
      <w:r w:rsidRPr="006E709F">
        <w:t xml:space="preserve">19.19  </w:t>
      </w:r>
      <w:r w:rsidR="00F011D7" w:rsidRPr="006E709F">
        <w:t>Paragraphs 1018A(2</w:t>
      </w:r>
      <w:r w:rsidR="00A801D0" w:rsidRPr="006E709F">
        <w:t>)(</w:t>
      </w:r>
      <w:r w:rsidR="00F011D7" w:rsidRPr="006E709F">
        <w:t>d) to (f)</w:t>
      </w:r>
    </w:p>
    <w:p w:rsidR="00A801D0" w:rsidRPr="006E709F" w:rsidRDefault="00A801D0" w:rsidP="00A801D0">
      <w:pPr>
        <w:pStyle w:val="Item"/>
        <w:rPr>
          <w:i/>
        </w:rPr>
      </w:pPr>
      <w:r w:rsidRPr="006E709F">
        <w:rPr>
          <w:i/>
        </w:rPr>
        <w:t>substitute</w:t>
      </w:r>
    </w:p>
    <w:p w:rsidR="00F011D7" w:rsidRPr="006E709F" w:rsidRDefault="00F011D7" w:rsidP="00F011D7">
      <w:pPr>
        <w:pStyle w:val="paragraph"/>
      </w:pPr>
      <w:r w:rsidRPr="006E709F">
        <w:tab/>
        <w:t>(d)</w:t>
      </w:r>
      <w:r w:rsidRPr="006E709F">
        <w:tab/>
        <w:t>informs the person that:</w:t>
      </w:r>
    </w:p>
    <w:p w:rsidR="00F011D7" w:rsidRPr="006E709F" w:rsidRDefault="00F011D7" w:rsidP="00F011D7">
      <w:pPr>
        <w:pStyle w:val="paragraphsub"/>
      </w:pPr>
      <w:r w:rsidRPr="006E709F">
        <w:tab/>
        <w:t>(i)</w:t>
      </w:r>
      <w:r w:rsidRPr="006E709F">
        <w:tab/>
        <w:t>a statement about the carbon unit is published on the website of the Clean Energy Regulator as mentioned in section</w:t>
      </w:r>
      <w:r w:rsidR="00DA13DE" w:rsidRPr="006E709F">
        <w:t> </w:t>
      </w:r>
      <w:r w:rsidRPr="006E709F">
        <w:t xml:space="preserve">202 of the </w:t>
      </w:r>
      <w:r w:rsidRPr="006E709F">
        <w:rPr>
          <w:i/>
        </w:rPr>
        <w:t>Clean Energy Act 2011</w:t>
      </w:r>
      <w:r w:rsidRPr="006E709F">
        <w:t>; or</w:t>
      </w:r>
    </w:p>
    <w:p w:rsidR="00F011D7" w:rsidRPr="006E709F" w:rsidRDefault="00F011D7" w:rsidP="00F011D7">
      <w:pPr>
        <w:pStyle w:val="paragraphsub"/>
      </w:pPr>
      <w:r w:rsidRPr="006E709F">
        <w:tab/>
        <w:t>(ii)</w:t>
      </w:r>
      <w:r w:rsidRPr="006E709F">
        <w:tab/>
        <w:t>a statement about the Australian carbon credit unit is published on the website of the Clean Energy Regulator as mentioned in section</w:t>
      </w:r>
      <w:r w:rsidR="00DA13DE" w:rsidRPr="006E709F">
        <w:t> </w:t>
      </w:r>
      <w:r w:rsidRPr="006E709F">
        <w:t xml:space="preserve">162 of the </w:t>
      </w:r>
      <w:r w:rsidRPr="006E709F">
        <w:rPr>
          <w:i/>
        </w:rPr>
        <w:t>Carbon Credits (Carbon Farming Initiative) Act 2011</w:t>
      </w:r>
      <w:r w:rsidRPr="006E709F">
        <w:t>; or</w:t>
      </w:r>
    </w:p>
    <w:p w:rsidR="00F011D7" w:rsidRPr="006E709F" w:rsidRDefault="00F011D7" w:rsidP="00F011D7">
      <w:pPr>
        <w:pStyle w:val="paragraphsub"/>
      </w:pPr>
      <w:r w:rsidRPr="006E709F">
        <w:tab/>
        <w:t>(iii)</w:t>
      </w:r>
      <w:r w:rsidRPr="006E709F">
        <w:tab/>
        <w:t>a statement about the eligible international emissions unit is published on the website of the Clean Energy Regulator as mentioned in section</w:t>
      </w:r>
      <w:r w:rsidR="00DA13DE" w:rsidRPr="006E709F">
        <w:t> </w:t>
      </w:r>
      <w:r w:rsidRPr="006E709F">
        <w:t xml:space="preserve">61 of the </w:t>
      </w:r>
      <w:r w:rsidRPr="006E709F">
        <w:rPr>
          <w:i/>
        </w:rPr>
        <w:t>Australian National Registry of Emissions Units Act 2011</w:t>
      </w:r>
      <w:r w:rsidRPr="006E709F">
        <w:t>; and</w:t>
      </w:r>
    </w:p>
    <w:p w:rsidR="00F011D7" w:rsidRPr="006E709F" w:rsidRDefault="00F011D7" w:rsidP="00F011D7">
      <w:pPr>
        <w:pStyle w:val="paragraph"/>
      </w:pPr>
      <w:r w:rsidRPr="006E709F">
        <w:tab/>
        <w:t>(e)</w:t>
      </w:r>
      <w:r w:rsidRPr="006E709F">
        <w:tab/>
        <w:t>informs the person that the person should consider each statement about the carbon unit, Australian carbon credit unit or eligible international emissions unit that is published on that website in deciding whether to acquire, or to continue to hold, the carbon unit, Australian carbon credit unit or eligible international emissions unit.</w:t>
      </w:r>
    </w:p>
    <w:p w:rsidR="00F011D7" w:rsidRPr="006E709F" w:rsidRDefault="000577C6" w:rsidP="003C672B">
      <w:pPr>
        <w:pStyle w:val="ItemHead"/>
      </w:pPr>
      <w:r w:rsidRPr="006E709F">
        <w:t xml:space="preserve">19.20  </w:t>
      </w:r>
      <w:r w:rsidR="00F011D7" w:rsidRPr="006E709F">
        <w:t>Subsection</w:t>
      </w:r>
      <w:r w:rsidR="00DA13DE" w:rsidRPr="006E709F">
        <w:t> </w:t>
      </w:r>
      <w:r w:rsidR="00F011D7" w:rsidRPr="006E709F">
        <w:t>1018A(3)</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distribute a Product Disclosure Statement</w:t>
      </w:r>
    </w:p>
    <w:p w:rsidR="00A801D0" w:rsidRPr="006E709F" w:rsidRDefault="00A801D0" w:rsidP="00A801D0">
      <w:pPr>
        <w:pStyle w:val="Item"/>
        <w:rPr>
          <w:i/>
        </w:rPr>
      </w:pPr>
      <w:r w:rsidRPr="006E709F">
        <w:rPr>
          <w:i/>
        </w:rPr>
        <w:t>insert</w:t>
      </w:r>
    </w:p>
    <w:p w:rsidR="00F011D7" w:rsidRPr="006E709F" w:rsidRDefault="00F011D7" w:rsidP="00A801D0">
      <w:pPr>
        <w:pStyle w:val="Item"/>
      </w:pPr>
      <w:r w:rsidRPr="006E709F">
        <w:t>inform a person that the person should consider each statement about the carbon unit, Australian carbon credit unit or eligible international emissions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t>, section</w:t>
      </w:r>
      <w:r w:rsidR="00DA13DE" w:rsidRPr="006E709F">
        <w:t> </w:t>
      </w:r>
      <w:r w:rsidRPr="006E709F">
        <w:t xml:space="preserve">162 of the </w:t>
      </w:r>
      <w:r w:rsidRPr="006E709F">
        <w:rPr>
          <w:i/>
        </w:rPr>
        <w:t>Carbon Credits (Carbon Farming Initiative) Act 2011</w:t>
      </w:r>
      <w:r w:rsidRPr="006E709F">
        <w:t xml:space="preserve"> or section</w:t>
      </w:r>
      <w:r w:rsidR="00DA13DE" w:rsidRPr="006E709F">
        <w:t> </w:t>
      </w:r>
      <w:r w:rsidRPr="006E709F">
        <w:t xml:space="preserve">61 of the </w:t>
      </w:r>
      <w:r w:rsidRPr="006E709F">
        <w:rPr>
          <w:i/>
        </w:rPr>
        <w:t>Australian National Registry of Emissions Units Act</w:t>
      </w:r>
      <w:r w:rsidR="00E376FA" w:rsidRPr="006E709F">
        <w:rPr>
          <w:i/>
        </w:rPr>
        <w:t xml:space="preserve"> </w:t>
      </w:r>
      <w:r w:rsidRPr="006E709F">
        <w:rPr>
          <w:i/>
        </w:rPr>
        <w:t>2011</w:t>
      </w:r>
    </w:p>
    <w:p w:rsidR="0048795D" w:rsidRPr="006E709F" w:rsidRDefault="000577C6" w:rsidP="003C672B">
      <w:pPr>
        <w:pStyle w:val="ItemHead"/>
      </w:pPr>
      <w:r w:rsidRPr="006E709F">
        <w:t xml:space="preserve">19.21  </w:t>
      </w:r>
      <w:r w:rsidR="00FF4176" w:rsidRPr="006E709F">
        <w:t>Subparagraph 1</w:t>
      </w:r>
      <w:r w:rsidR="00F011D7" w:rsidRPr="006E709F">
        <w:t>018A(4</w:t>
      </w:r>
      <w:r w:rsidR="00A801D0" w:rsidRPr="006E709F">
        <w:t>)(</w:t>
      </w:r>
      <w:r w:rsidR="00F011D7" w:rsidRPr="006E709F">
        <w:t>c</w:t>
      </w:r>
      <w:r w:rsidR="00A801D0" w:rsidRPr="006E709F">
        <w:t>)(</w:t>
      </w:r>
      <w:r w:rsidR="00F011D7" w:rsidRPr="006E709F">
        <w:t>i)</w:t>
      </w:r>
    </w:p>
    <w:p w:rsidR="00A801D0" w:rsidRPr="006E709F" w:rsidRDefault="00A801D0" w:rsidP="00A801D0">
      <w:pPr>
        <w:pStyle w:val="Item"/>
        <w:rPr>
          <w:i/>
        </w:rPr>
      </w:pPr>
      <w:r w:rsidRPr="006E709F">
        <w:rPr>
          <w:i/>
        </w:rPr>
        <w:t>substitute</w:t>
      </w:r>
    </w:p>
    <w:p w:rsidR="00F011D7" w:rsidRPr="006E709F" w:rsidRDefault="00F011D7" w:rsidP="00F011D7">
      <w:pPr>
        <w:pStyle w:val="paragraphsub"/>
      </w:pPr>
      <w:r w:rsidRPr="006E709F">
        <w:tab/>
        <w:t>(i)</w:t>
      </w:r>
      <w:r w:rsidRPr="006E709F">
        <w:tab/>
        <w:t>does not contain information that materially affects affairs of the issuer, other than information about the carbon unit, Australian carbon credit unit or eligible international emissions unit that is published:</w:t>
      </w:r>
    </w:p>
    <w:p w:rsidR="00F011D7" w:rsidRPr="006E709F" w:rsidRDefault="00F011D7" w:rsidP="00F011D7">
      <w:pPr>
        <w:pStyle w:val="paragraphsub"/>
        <w:tabs>
          <w:tab w:val="clear" w:pos="1985"/>
          <w:tab w:val="right" w:pos="2552"/>
        </w:tabs>
        <w:ind w:left="2694" w:hanging="2694"/>
      </w:pPr>
      <w:r w:rsidRPr="006E709F">
        <w:tab/>
        <w:t>(A)</w:t>
      </w:r>
      <w:r w:rsidRPr="006E709F">
        <w:tab/>
        <w:t>on the website of the Clean Energy Regulator as mentioned in section</w:t>
      </w:r>
      <w:r w:rsidR="00DA13DE" w:rsidRPr="006E709F">
        <w:t> </w:t>
      </w:r>
      <w:r w:rsidRPr="006E709F">
        <w:t xml:space="preserve">202 of the </w:t>
      </w:r>
      <w:r w:rsidRPr="006E709F">
        <w:rPr>
          <w:i/>
        </w:rPr>
        <w:t>Clean Energy Act 2011</w:t>
      </w:r>
      <w:r w:rsidRPr="006E709F">
        <w:t>, section</w:t>
      </w:r>
      <w:r w:rsidR="00DA13DE" w:rsidRPr="006E709F">
        <w:t> </w:t>
      </w:r>
      <w:r w:rsidRPr="006E709F">
        <w:t xml:space="preserve">162 of the </w:t>
      </w:r>
      <w:r w:rsidRPr="006E709F">
        <w:rPr>
          <w:i/>
        </w:rPr>
        <w:t>Carbon Credits (Carbon Farming Initiative) Act 2011</w:t>
      </w:r>
      <w:r w:rsidRPr="006E709F">
        <w:t xml:space="preserve"> or section</w:t>
      </w:r>
      <w:r w:rsidR="00DA13DE" w:rsidRPr="006E709F">
        <w:t> </w:t>
      </w:r>
      <w:r w:rsidRPr="006E709F">
        <w:t xml:space="preserve">61 of the </w:t>
      </w:r>
      <w:r w:rsidRPr="006E709F">
        <w:rPr>
          <w:i/>
        </w:rPr>
        <w:t>Australian National Registry of Emissions Units Act 2011</w:t>
      </w:r>
      <w:r w:rsidRPr="006E709F">
        <w:t>; or</w:t>
      </w:r>
    </w:p>
    <w:p w:rsidR="0048795D" w:rsidRPr="006E709F" w:rsidRDefault="00F011D7" w:rsidP="00F011D7">
      <w:pPr>
        <w:pStyle w:val="paragraphsub"/>
        <w:tabs>
          <w:tab w:val="clear" w:pos="1985"/>
          <w:tab w:val="right" w:pos="2552"/>
        </w:tabs>
        <w:ind w:left="2694" w:hanging="2694"/>
      </w:pPr>
      <w:r w:rsidRPr="006E709F">
        <w:tab/>
        <w:t>(B)</w:t>
      </w:r>
      <w:r w:rsidRPr="006E709F">
        <w:tab/>
        <w:t>in a disclosure document that has been lodged with ASIC; or</w:t>
      </w:r>
    </w:p>
    <w:p w:rsidR="00F011D7" w:rsidRPr="006E709F" w:rsidRDefault="00F011D7" w:rsidP="00F011D7">
      <w:pPr>
        <w:pStyle w:val="paragraphsub"/>
        <w:tabs>
          <w:tab w:val="clear" w:pos="1985"/>
          <w:tab w:val="right" w:pos="2552"/>
        </w:tabs>
        <w:ind w:left="2694" w:hanging="2694"/>
      </w:pPr>
      <w:r w:rsidRPr="006E709F">
        <w:tab/>
        <w:t>(C)</w:t>
      </w:r>
      <w:r w:rsidRPr="006E709F">
        <w:tab/>
        <w:t xml:space="preserve">in an annual report or in a notice or report referred to in </w:t>
      </w:r>
      <w:r w:rsidR="00DA13DE" w:rsidRPr="006E709F">
        <w:t>paragraph (</w:t>
      </w:r>
      <w:r w:rsidRPr="006E709F">
        <w:t>a) or (b); and</w:t>
      </w:r>
    </w:p>
    <w:p w:rsidR="00F011D7" w:rsidRPr="006E709F" w:rsidRDefault="000577C6" w:rsidP="003C672B">
      <w:pPr>
        <w:pStyle w:val="ItemHead"/>
      </w:pPr>
      <w:r w:rsidRPr="006E709F">
        <w:t xml:space="preserve">19.22  </w:t>
      </w:r>
      <w:r w:rsidR="00F011D7" w:rsidRPr="006E709F">
        <w:t>Subparagraphs</w:t>
      </w:r>
      <w:r w:rsidR="00DA13DE" w:rsidRPr="006E709F">
        <w:t> </w:t>
      </w:r>
      <w:r w:rsidR="00F011D7" w:rsidRPr="006E709F">
        <w:t>1018A(4</w:t>
      </w:r>
      <w:r w:rsidR="00A801D0" w:rsidRPr="006E709F">
        <w:t>)(</w:t>
      </w:r>
      <w:r w:rsidR="00F011D7" w:rsidRPr="006E709F">
        <w:t>d</w:t>
      </w:r>
      <w:r w:rsidR="00A801D0" w:rsidRPr="006E709F">
        <w:t>)(</w:t>
      </w:r>
      <w:r w:rsidR="00F011D7" w:rsidRPr="006E709F">
        <w:t>i) and (ii)</w:t>
      </w:r>
    </w:p>
    <w:p w:rsidR="00A801D0" w:rsidRPr="006E709F" w:rsidRDefault="00A801D0" w:rsidP="00A801D0">
      <w:pPr>
        <w:pStyle w:val="Item"/>
        <w:rPr>
          <w:i/>
        </w:rPr>
      </w:pPr>
      <w:r w:rsidRPr="006E709F">
        <w:rPr>
          <w:i/>
        </w:rPr>
        <w:t>substitute</w:t>
      </w:r>
    </w:p>
    <w:p w:rsidR="00F011D7" w:rsidRPr="006E709F" w:rsidRDefault="00F011D7" w:rsidP="00F011D7">
      <w:pPr>
        <w:pStyle w:val="paragraphsub"/>
      </w:pPr>
      <w:r w:rsidRPr="006E709F">
        <w:tab/>
        <w:t>(i)</w:t>
      </w:r>
      <w:r w:rsidRPr="006E709F">
        <w:tab/>
        <w:t>information about the carbon unit, Australian carbon credit unit or eligible international emissions unit that is published:</w:t>
      </w:r>
    </w:p>
    <w:p w:rsidR="00F011D7" w:rsidRPr="006E709F" w:rsidRDefault="00F011D7" w:rsidP="00F011D7">
      <w:pPr>
        <w:pStyle w:val="paragraphsub"/>
        <w:tabs>
          <w:tab w:val="clear" w:pos="1985"/>
          <w:tab w:val="right" w:pos="2552"/>
        </w:tabs>
        <w:ind w:left="2694" w:hanging="2694"/>
      </w:pPr>
      <w:r w:rsidRPr="006E709F">
        <w:tab/>
        <w:t>(A)</w:t>
      </w:r>
      <w:r w:rsidRPr="006E709F">
        <w:tab/>
        <w:t>on the website of the Clean Energy Regulator as mentioned in section</w:t>
      </w:r>
      <w:r w:rsidR="00DA13DE" w:rsidRPr="006E709F">
        <w:t> </w:t>
      </w:r>
      <w:r w:rsidRPr="006E709F">
        <w:t xml:space="preserve">202 of the </w:t>
      </w:r>
      <w:r w:rsidRPr="006E709F">
        <w:rPr>
          <w:i/>
        </w:rPr>
        <w:t>Clean Energy Act 2011</w:t>
      </w:r>
      <w:r w:rsidRPr="006E709F">
        <w:t>, section</w:t>
      </w:r>
      <w:r w:rsidR="00DA13DE" w:rsidRPr="006E709F">
        <w:t> </w:t>
      </w:r>
      <w:r w:rsidRPr="006E709F">
        <w:t xml:space="preserve">162 of the </w:t>
      </w:r>
      <w:r w:rsidRPr="006E709F">
        <w:rPr>
          <w:i/>
        </w:rPr>
        <w:t>Carbon Credits (Carbon Farming Initiative) Act 2011</w:t>
      </w:r>
      <w:r w:rsidRPr="006E709F">
        <w:t xml:space="preserve"> or section</w:t>
      </w:r>
      <w:r w:rsidR="00DA13DE" w:rsidRPr="006E709F">
        <w:t> </w:t>
      </w:r>
      <w:r w:rsidRPr="006E709F">
        <w:t xml:space="preserve">61 of the </w:t>
      </w:r>
      <w:r w:rsidRPr="006E709F">
        <w:rPr>
          <w:i/>
        </w:rPr>
        <w:t>Australian National Registry of Emissions Units Act 2011</w:t>
      </w:r>
      <w:r w:rsidRPr="006E709F">
        <w:t>; or</w:t>
      </w:r>
    </w:p>
    <w:p w:rsidR="0048795D" w:rsidRPr="006E709F" w:rsidRDefault="00F011D7" w:rsidP="00F011D7">
      <w:pPr>
        <w:pStyle w:val="paragraphsub"/>
        <w:tabs>
          <w:tab w:val="clear" w:pos="1985"/>
          <w:tab w:val="right" w:pos="2552"/>
        </w:tabs>
        <w:ind w:left="2694" w:hanging="2694"/>
      </w:pPr>
      <w:r w:rsidRPr="006E709F">
        <w:tab/>
        <w:t>(B)</w:t>
      </w:r>
      <w:r w:rsidRPr="006E709F">
        <w:tab/>
        <w:t>in a disclosure document that has been lodged with ASIC; or</w:t>
      </w:r>
    </w:p>
    <w:p w:rsidR="00F011D7" w:rsidRPr="006E709F" w:rsidRDefault="000577C6" w:rsidP="003C672B">
      <w:pPr>
        <w:pStyle w:val="ItemHead"/>
      </w:pPr>
      <w:r w:rsidRPr="006E709F">
        <w:t xml:space="preserve">19.23  </w:t>
      </w:r>
      <w:r w:rsidR="00FF4176" w:rsidRPr="006E709F">
        <w:t>Paragraph 1</w:t>
      </w:r>
      <w:r w:rsidR="00F011D7" w:rsidRPr="006E709F">
        <w:t>020D(b)</w:t>
      </w:r>
    </w:p>
    <w:p w:rsidR="00A801D0" w:rsidRPr="006E709F" w:rsidRDefault="00A801D0" w:rsidP="00A801D0">
      <w:pPr>
        <w:pStyle w:val="Item"/>
        <w:rPr>
          <w:i/>
        </w:rPr>
      </w:pPr>
      <w:r w:rsidRPr="006E709F">
        <w:rPr>
          <w:i/>
        </w:rPr>
        <w:t>substitute</w:t>
      </w:r>
    </w:p>
    <w:p w:rsidR="00F011D7" w:rsidRPr="006E709F" w:rsidRDefault="00F011D7" w:rsidP="00F011D7">
      <w:pPr>
        <w:pStyle w:val="paragraph"/>
      </w:pPr>
      <w:r w:rsidRPr="006E709F">
        <w:tab/>
        <w:t>(b)</w:t>
      </w:r>
      <w:r w:rsidRPr="006E709F">
        <w:tab/>
        <w:t xml:space="preserve">if the acquisition occurs in circumstances in which the party is required by a provision of this </w:t>
      </w:r>
      <w:r w:rsidR="00A801D0" w:rsidRPr="006E709F">
        <w:t>Part</w:t>
      </w:r>
      <w:r w:rsidR="00E376FA" w:rsidRPr="006E709F">
        <w:t xml:space="preserve"> </w:t>
      </w:r>
      <w:r w:rsidRPr="006E709F">
        <w:t>to have been informed that the party should consider each statement about the carbon unit, Australian carbon credit unit or eligible international emissions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t>, section</w:t>
      </w:r>
      <w:r w:rsidR="00DA13DE" w:rsidRPr="006E709F">
        <w:t> </w:t>
      </w:r>
      <w:r w:rsidRPr="006E709F">
        <w:t xml:space="preserve">162 of the </w:t>
      </w:r>
      <w:r w:rsidRPr="006E709F">
        <w:rPr>
          <w:i/>
        </w:rPr>
        <w:t>Carbon Credits (Carbon Farming Initiative) Act</w:t>
      </w:r>
      <w:r w:rsidR="00E376FA" w:rsidRPr="006E709F">
        <w:rPr>
          <w:i/>
        </w:rPr>
        <w:t xml:space="preserve"> </w:t>
      </w:r>
      <w:r w:rsidRPr="006E709F">
        <w:rPr>
          <w:i/>
        </w:rPr>
        <w:t>2011</w:t>
      </w:r>
      <w:r w:rsidRPr="006E709F">
        <w:t xml:space="preserve"> or section</w:t>
      </w:r>
      <w:r w:rsidR="00DA13DE" w:rsidRPr="006E709F">
        <w:t> </w:t>
      </w:r>
      <w:r w:rsidRPr="006E709F">
        <w:t xml:space="preserve">61 of the </w:t>
      </w:r>
      <w:r w:rsidRPr="006E709F">
        <w:rPr>
          <w:i/>
        </w:rPr>
        <w:t>Australian National Registry of Emissions Units Act</w:t>
      </w:r>
      <w:r w:rsidR="00E376FA" w:rsidRPr="006E709F">
        <w:rPr>
          <w:i/>
        </w:rPr>
        <w:t xml:space="preserve"> </w:t>
      </w:r>
      <w:r w:rsidRPr="006E709F">
        <w:rPr>
          <w:i/>
        </w:rPr>
        <w:t>2011</w:t>
      </w:r>
      <w:r w:rsidRPr="006E709F">
        <w:t>—taken to have notice of any contract, document or matter not specifically referred to in those statements.</w:t>
      </w:r>
    </w:p>
    <w:p w:rsidR="00F011D7" w:rsidRPr="006E709F" w:rsidRDefault="000577C6" w:rsidP="003C672B">
      <w:pPr>
        <w:pStyle w:val="ItemHead"/>
      </w:pPr>
      <w:r w:rsidRPr="006E709F">
        <w:t xml:space="preserve">19.24  </w:t>
      </w:r>
      <w:r w:rsidR="00FF4176" w:rsidRPr="006E709F">
        <w:t>Paragraph 1</w:t>
      </w:r>
      <w:r w:rsidR="00F011D7" w:rsidRPr="006E709F">
        <w:t>020E(7</w:t>
      </w:r>
      <w:r w:rsidR="00A801D0" w:rsidRPr="006E709F">
        <w:t>)(</w:t>
      </w:r>
      <w:r w:rsidR="00F011D7" w:rsidRPr="006E709F">
        <w:t>b)</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the document, advertisement or statement</w:t>
      </w:r>
    </w:p>
    <w:p w:rsidR="00A801D0" w:rsidRPr="006E709F" w:rsidRDefault="00A801D0" w:rsidP="00A801D0">
      <w:pPr>
        <w:pStyle w:val="Item"/>
        <w:rPr>
          <w:i/>
        </w:rPr>
      </w:pPr>
      <w:r w:rsidRPr="006E709F">
        <w:rPr>
          <w:i/>
        </w:rPr>
        <w:t>insert</w:t>
      </w:r>
    </w:p>
    <w:p w:rsidR="00F011D7" w:rsidRPr="006E709F" w:rsidRDefault="00F011D7" w:rsidP="00A801D0">
      <w:pPr>
        <w:pStyle w:val="Item"/>
      </w:pPr>
      <w:r w:rsidRPr="006E709F">
        <w:t>the statement or advertisement</w:t>
      </w:r>
    </w:p>
    <w:p w:rsidR="00F011D7" w:rsidRPr="006E709F" w:rsidRDefault="003C672B" w:rsidP="003811A2">
      <w:pPr>
        <w:pStyle w:val="ItemHead"/>
      </w:pPr>
      <w:r w:rsidRPr="006E709F">
        <w:t xml:space="preserve">19.25  </w:t>
      </w:r>
      <w:r w:rsidR="00F011D7" w:rsidRPr="006E709F">
        <w:t>Section</w:t>
      </w:r>
      <w:r w:rsidR="00DA13DE" w:rsidRPr="006E709F">
        <w:t> </w:t>
      </w:r>
      <w:r w:rsidR="00F011D7" w:rsidRPr="006E709F">
        <w:t>1021C, heading</w:t>
      </w:r>
    </w:p>
    <w:p w:rsidR="00A801D0" w:rsidRPr="006E709F" w:rsidRDefault="00A801D0" w:rsidP="003811A2">
      <w:pPr>
        <w:pStyle w:val="Item"/>
        <w:keepNext/>
        <w:rPr>
          <w:i/>
        </w:rPr>
      </w:pPr>
      <w:r w:rsidRPr="006E709F">
        <w:rPr>
          <w:i/>
        </w:rPr>
        <w:t>substitute</w:t>
      </w:r>
    </w:p>
    <w:p w:rsidR="00F011D7" w:rsidRPr="006E709F" w:rsidRDefault="00F011D7" w:rsidP="002D66C6">
      <w:pPr>
        <w:pStyle w:val="Specials"/>
      </w:pPr>
      <w:r w:rsidRPr="006E709F">
        <w:t>1021C  Offence of failing to refer to statements on Clean Energy Regulator’s website</w:t>
      </w:r>
    </w:p>
    <w:p w:rsidR="00F011D7" w:rsidRPr="006E709F" w:rsidRDefault="000577C6" w:rsidP="003C672B">
      <w:pPr>
        <w:pStyle w:val="ItemHead"/>
      </w:pPr>
      <w:r w:rsidRPr="006E709F">
        <w:t xml:space="preserve">19.26  </w:t>
      </w:r>
      <w:r w:rsidR="00FF4176" w:rsidRPr="006E709F">
        <w:t>Subparagraph 1</w:t>
      </w:r>
      <w:r w:rsidR="00F011D7" w:rsidRPr="006E709F">
        <w:t>021C(1</w:t>
      </w:r>
      <w:r w:rsidR="00A801D0" w:rsidRPr="006E709F">
        <w:t>)(</w:t>
      </w:r>
      <w:r w:rsidR="00F011D7" w:rsidRPr="006E709F">
        <w:t>a</w:t>
      </w:r>
      <w:r w:rsidR="00A801D0" w:rsidRPr="006E709F">
        <w:t>)(</w:t>
      </w:r>
      <w:r w:rsidR="00F011D7" w:rsidRPr="006E709F">
        <w:t>i)</w:t>
      </w:r>
    </w:p>
    <w:p w:rsidR="00A801D0" w:rsidRPr="006E709F" w:rsidRDefault="00A801D0" w:rsidP="00A801D0">
      <w:pPr>
        <w:pStyle w:val="Item"/>
        <w:rPr>
          <w:i/>
        </w:rPr>
      </w:pPr>
      <w:r w:rsidRPr="006E709F">
        <w:rPr>
          <w:i/>
        </w:rPr>
        <w:t>substitute</w:t>
      </w:r>
    </w:p>
    <w:p w:rsidR="00F011D7" w:rsidRPr="006E709F" w:rsidRDefault="00F011D7" w:rsidP="00F011D7">
      <w:pPr>
        <w:pStyle w:val="paragraphsub"/>
      </w:pPr>
      <w:r w:rsidRPr="006E709F">
        <w:tab/>
        <w:t>(i)</w:t>
      </w:r>
      <w:r w:rsidRPr="006E709F">
        <w:tab/>
        <w:t xml:space="preserve">is required by a provision of this </w:t>
      </w:r>
      <w:r w:rsidR="00A801D0" w:rsidRPr="006E709F">
        <w:t>Part</w:t>
      </w:r>
      <w:r w:rsidR="00E376FA" w:rsidRPr="006E709F">
        <w:t xml:space="preserve"> </w:t>
      </w:r>
      <w:r w:rsidRPr="006E709F">
        <w:t>to inform a person that the person should consider each statement about a carbon unit, an Australian carbon credit unit or an eligible international emissions unit that is published on the website of the Clean Energy Regulator as mentioned in section</w:t>
      </w:r>
      <w:r w:rsidR="00DA13DE" w:rsidRPr="006E709F">
        <w:t> </w:t>
      </w:r>
      <w:r w:rsidRPr="006E709F">
        <w:t xml:space="preserve">202 of the </w:t>
      </w:r>
      <w:r w:rsidRPr="006E709F">
        <w:rPr>
          <w:i/>
        </w:rPr>
        <w:t>Clean Energy Act</w:t>
      </w:r>
      <w:r w:rsidR="00E376FA" w:rsidRPr="006E709F">
        <w:rPr>
          <w:i/>
        </w:rPr>
        <w:t xml:space="preserve"> </w:t>
      </w:r>
      <w:r w:rsidRPr="006E709F">
        <w:rPr>
          <w:i/>
        </w:rPr>
        <w:t>2011</w:t>
      </w:r>
      <w:r w:rsidRPr="006E709F">
        <w:t>, section</w:t>
      </w:r>
      <w:r w:rsidR="00DA13DE" w:rsidRPr="006E709F">
        <w:t> </w:t>
      </w:r>
      <w:r w:rsidRPr="006E709F">
        <w:t xml:space="preserve">162 of the </w:t>
      </w:r>
      <w:r w:rsidRPr="006E709F">
        <w:rPr>
          <w:i/>
        </w:rPr>
        <w:t>Carbon Credits (Carbon Farming Initiative) Act</w:t>
      </w:r>
      <w:r w:rsidR="00E376FA" w:rsidRPr="006E709F">
        <w:rPr>
          <w:i/>
        </w:rPr>
        <w:t xml:space="preserve"> </w:t>
      </w:r>
      <w:r w:rsidRPr="006E709F">
        <w:rPr>
          <w:i/>
        </w:rPr>
        <w:t>2011</w:t>
      </w:r>
      <w:r w:rsidRPr="006E709F">
        <w:t xml:space="preserve"> or section</w:t>
      </w:r>
      <w:r w:rsidR="00DA13DE" w:rsidRPr="006E709F">
        <w:t> </w:t>
      </w:r>
      <w:r w:rsidRPr="006E709F">
        <w:t xml:space="preserve">61 of the </w:t>
      </w:r>
      <w:r w:rsidRPr="006E709F">
        <w:rPr>
          <w:i/>
        </w:rPr>
        <w:t>Australian National Registry of Emissions Units Act</w:t>
      </w:r>
      <w:r w:rsidR="00E376FA" w:rsidRPr="006E709F">
        <w:rPr>
          <w:i/>
        </w:rPr>
        <w:t xml:space="preserve"> </w:t>
      </w:r>
      <w:r w:rsidRPr="006E709F">
        <w:rPr>
          <w:i/>
        </w:rPr>
        <w:t>2011</w:t>
      </w:r>
      <w:r w:rsidRPr="006E709F">
        <w:t xml:space="preserve"> (the </w:t>
      </w:r>
      <w:r w:rsidRPr="006E709F">
        <w:rPr>
          <w:b/>
          <w:bCs/>
          <w:i/>
          <w:iCs/>
        </w:rPr>
        <w:t>required statement</w:t>
      </w:r>
      <w:r w:rsidRPr="006E709F">
        <w:t>); or</w:t>
      </w:r>
    </w:p>
    <w:p w:rsidR="00F011D7" w:rsidRPr="006E709F" w:rsidRDefault="000577C6" w:rsidP="003C672B">
      <w:pPr>
        <w:pStyle w:val="ItemHead"/>
      </w:pPr>
      <w:r w:rsidRPr="006E709F">
        <w:t xml:space="preserve">19.27  </w:t>
      </w:r>
      <w:r w:rsidR="00FF4176" w:rsidRPr="006E709F">
        <w:t>Subparagraph 1</w:t>
      </w:r>
      <w:r w:rsidR="00F011D7" w:rsidRPr="006E709F">
        <w:t>021C(1</w:t>
      </w:r>
      <w:r w:rsidR="00A801D0" w:rsidRPr="006E709F">
        <w:t>)(</w:t>
      </w:r>
      <w:r w:rsidR="00F011D7" w:rsidRPr="006E709F">
        <w:t>b</w:t>
      </w:r>
      <w:r w:rsidR="00A801D0" w:rsidRPr="006E709F">
        <w:t>)(</w:t>
      </w:r>
      <w:r w:rsidR="00F011D7" w:rsidRPr="006E709F">
        <w:t>i)</w:t>
      </w:r>
    </w:p>
    <w:p w:rsidR="00A801D0" w:rsidRPr="006E709F" w:rsidRDefault="00A801D0" w:rsidP="00A801D0">
      <w:pPr>
        <w:pStyle w:val="Item"/>
        <w:rPr>
          <w:i/>
        </w:rPr>
      </w:pPr>
      <w:r w:rsidRPr="006E709F">
        <w:rPr>
          <w:i/>
        </w:rPr>
        <w:t>substitute</w:t>
      </w:r>
    </w:p>
    <w:p w:rsidR="00F011D7" w:rsidRPr="006E709F" w:rsidRDefault="00F011D7" w:rsidP="00F011D7">
      <w:pPr>
        <w:pStyle w:val="paragraphsub"/>
      </w:pPr>
      <w:r w:rsidRPr="006E709F">
        <w:tab/>
        <w:t>(i)</w:t>
      </w:r>
      <w:r w:rsidRPr="006E709F">
        <w:tab/>
        <w:t xml:space="preserve">if </w:t>
      </w:r>
      <w:r w:rsidR="00DA13DE" w:rsidRPr="006E709F">
        <w:t>subparagraph (</w:t>
      </w:r>
      <w:r w:rsidRPr="006E709F">
        <w:t>a)(i) applies—inform the person that the person should consider each required statement; or</w:t>
      </w:r>
    </w:p>
    <w:p w:rsidR="00F011D7" w:rsidRPr="006E709F" w:rsidRDefault="000577C6" w:rsidP="003C672B">
      <w:pPr>
        <w:pStyle w:val="ItemHead"/>
      </w:pPr>
      <w:r w:rsidRPr="006E709F">
        <w:t xml:space="preserve">19.28  </w:t>
      </w:r>
      <w:r w:rsidR="00FF4176" w:rsidRPr="006E709F">
        <w:t>Subparagraph 1</w:t>
      </w:r>
      <w:r w:rsidR="00F011D7" w:rsidRPr="006E709F">
        <w:t>021C(3</w:t>
      </w:r>
      <w:r w:rsidR="00A801D0" w:rsidRPr="006E709F">
        <w:t>)(</w:t>
      </w:r>
      <w:r w:rsidR="00F011D7" w:rsidRPr="006E709F">
        <w:t>a</w:t>
      </w:r>
      <w:r w:rsidR="00A801D0" w:rsidRPr="006E709F">
        <w:t>)(</w:t>
      </w:r>
      <w:r w:rsidR="00F011D7" w:rsidRPr="006E709F">
        <w:t>i)</w:t>
      </w:r>
    </w:p>
    <w:p w:rsidR="00A801D0" w:rsidRPr="006E709F" w:rsidRDefault="00A801D0" w:rsidP="00A801D0">
      <w:pPr>
        <w:pStyle w:val="Item"/>
        <w:rPr>
          <w:i/>
        </w:rPr>
      </w:pPr>
      <w:r w:rsidRPr="006E709F">
        <w:rPr>
          <w:i/>
        </w:rPr>
        <w:t>substitute</w:t>
      </w:r>
    </w:p>
    <w:p w:rsidR="00F011D7" w:rsidRPr="006E709F" w:rsidRDefault="00F011D7" w:rsidP="00F011D7">
      <w:pPr>
        <w:pStyle w:val="paragraphsub"/>
      </w:pPr>
      <w:r w:rsidRPr="006E709F">
        <w:tab/>
        <w:t>(i)</w:t>
      </w:r>
      <w:r w:rsidRPr="006E709F">
        <w:tab/>
        <w:t xml:space="preserve">is required by a provision of this </w:t>
      </w:r>
      <w:r w:rsidR="00A801D0" w:rsidRPr="006E709F">
        <w:t>Part</w:t>
      </w:r>
      <w:r w:rsidR="00E376FA" w:rsidRPr="006E709F">
        <w:t xml:space="preserve"> </w:t>
      </w:r>
      <w:r w:rsidRPr="006E709F">
        <w:t>to inform a person that the person should consider each statement about a carbon unit, an Australian carbon credit unit or an eligible international emissions unit that is published on the website of the Clean Energy Regulator as mentioned in section</w:t>
      </w:r>
      <w:r w:rsidR="00DA13DE" w:rsidRPr="006E709F">
        <w:t> </w:t>
      </w:r>
      <w:r w:rsidRPr="006E709F">
        <w:t xml:space="preserve">202 of the </w:t>
      </w:r>
      <w:r w:rsidRPr="006E709F">
        <w:rPr>
          <w:i/>
        </w:rPr>
        <w:t>Clean Energy Act</w:t>
      </w:r>
      <w:r w:rsidR="00E376FA" w:rsidRPr="006E709F">
        <w:rPr>
          <w:i/>
        </w:rPr>
        <w:t xml:space="preserve"> </w:t>
      </w:r>
      <w:r w:rsidRPr="006E709F">
        <w:rPr>
          <w:i/>
        </w:rPr>
        <w:t>2011</w:t>
      </w:r>
      <w:r w:rsidRPr="006E709F">
        <w:t>, section</w:t>
      </w:r>
      <w:r w:rsidR="00DA13DE" w:rsidRPr="006E709F">
        <w:t> </w:t>
      </w:r>
      <w:r w:rsidRPr="006E709F">
        <w:t xml:space="preserve">162 of the </w:t>
      </w:r>
      <w:r w:rsidRPr="006E709F">
        <w:rPr>
          <w:i/>
        </w:rPr>
        <w:t>Carbon Credits (Carbon Farming Initiative) Act</w:t>
      </w:r>
      <w:r w:rsidR="00E376FA" w:rsidRPr="006E709F">
        <w:rPr>
          <w:i/>
        </w:rPr>
        <w:t xml:space="preserve"> </w:t>
      </w:r>
      <w:r w:rsidRPr="006E709F">
        <w:rPr>
          <w:i/>
        </w:rPr>
        <w:t>2011</w:t>
      </w:r>
      <w:r w:rsidRPr="006E709F">
        <w:t xml:space="preserve"> or section</w:t>
      </w:r>
      <w:r w:rsidR="00DA13DE" w:rsidRPr="006E709F">
        <w:t> </w:t>
      </w:r>
      <w:r w:rsidRPr="006E709F">
        <w:t xml:space="preserve">61 of the </w:t>
      </w:r>
      <w:r w:rsidRPr="006E709F">
        <w:rPr>
          <w:i/>
        </w:rPr>
        <w:t>Australian National Registry of Emissions Units Act</w:t>
      </w:r>
      <w:r w:rsidR="00E376FA" w:rsidRPr="006E709F">
        <w:rPr>
          <w:i/>
        </w:rPr>
        <w:t xml:space="preserve"> </w:t>
      </w:r>
      <w:r w:rsidRPr="006E709F">
        <w:rPr>
          <w:i/>
        </w:rPr>
        <w:t>2011</w:t>
      </w:r>
      <w:r w:rsidRPr="006E709F">
        <w:t xml:space="preserve"> (the </w:t>
      </w:r>
      <w:r w:rsidRPr="006E709F">
        <w:rPr>
          <w:b/>
          <w:bCs/>
          <w:i/>
          <w:iCs/>
        </w:rPr>
        <w:t>required statement</w:t>
      </w:r>
      <w:r w:rsidRPr="006E709F">
        <w:t>); or</w:t>
      </w:r>
    </w:p>
    <w:p w:rsidR="00F011D7" w:rsidRPr="006E709F" w:rsidRDefault="000577C6" w:rsidP="003C672B">
      <w:pPr>
        <w:pStyle w:val="ItemHead"/>
      </w:pPr>
      <w:r w:rsidRPr="006E709F">
        <w:t xml:space="preserve">19.29  </w:t>
      </w:r>
      <w:r w:rsidR="00FF4176" w:rsidRPr="006E709F">
        <w:t>Subparagraph 1</w:t>
      </w:r>
      <w:r w:rsidR="00F011D7" w:rsidRPr="006E709F">
        <w:t>021C(3</w:t>
      </w:r>
      <w:r w:rsidR="00A801D0" w:rsidRPr="006E709F">
        <w:t>)(</w:t>
      </w:r>
      <w:r w:rsidR="00F011D7" w:rsidRPr="006E709F">
        <w:t>b</w:t>
      </w:r>
      <w:r w:rsidR="00A801D0" w:rsidRPr="006E709F">
        <w:t>)(</w:t>
      </w:r>
      <w:r w:rsidR="00F011D7" w:rsidRPr="006E709F">
        <w:t>i)</w:t>
      </w:r>
    </w:p>
    <w:p w:rsidR="00A801D0" w:rsidRPr="006E709F" w:rsidRDefault="00A801D0" w:rsidP="00A801D0">
      <w:pPr>
        <w:pStyle w:val="Item"/>
        <w:rPr>
          <w:i/>
        </w:rPr>
      </w:pPr>
      <w:r w:rsidRPr="006E709F">
        <w:rPr>
          <w:i/>
        </w:rPr>
        <w:t>substitute</w:t>
      </w:r>
    </w:p>
    <w:p w:rsidR="00F011D7" w:rsidRPr="006E709F" w:rsidRDefault="00F011D7" w:rsidP="00F011D7">
      <w:pPr>
        <w:pStyle w:val="paragraphsub"/>
      </w:pPr>
      <w:r w:rsidRPr="006E709F">
        <w:tab/>
        <w:t>(i)</w:t>
      </w:r>
      <w:r w:rsidRPr="006E709F">
        <w:tab/>
        <w:t xml:space="preserve">if </w:t>
      </w:r>
      <w:r w:rsidR="00DA13DE" w:rsidRPr="006E709F">
        <w:t>subparagraph (</w:t>
      </w:r>
      <w:r w:rsidRPr="006E709F">
        <w:t>a)(i) applies—inform the person that the person should consider each required statement; or</w:t>
      </w:r>
    </w:p>
    <w:p w:rsidR="00F011D7" w:rsidRPr="006E709F" w:rsidRDefault="000577C6" w:rsidP="003C672B">
      <w:pPr>
        <w:pStyle w:val="ItemHead"/>
      </w:pPr>
      <w:r w:rsidRPr="006E709F">
        <w:t xml:space="preserve">19.30  </w:t>
      </w:r>
      <w:r w:rsidR="00FF4176" w:rsidRPr="006E709F">
        <w:t>Paragraph 1</w:t>
      </w:r>
      <w:r w:rsidR="00F011D7" w:rsidRPr="006E709F">
        <w:t>021C(4</w:t>
      </w:r>
      <w:r w:rsidR="00A801D0" w:rsidRPr="006E709F">
        <w:t>)(</w:t>
      </w:r>
      <w:r w:rsidR="00F011D7" w:rsidRPr="006E709F">
        <w:t>b)</w:t>
      </w:r>
    </w:p>
    <w:p w:rsidR="00A801D0" w:rsidRPr="006E709F" w:rsidRDefault="00A801D0" w:rsidP="00A801D0">
      <w:pPr>
        <w:pStyle w:val="Item"/>
        <w:rPr>
          <w:i/>
        </w:rPr>
      </w:pPr>
      <w:r w:rsidRPr="006E709F">
        <w:rPr>
          <w:i/>
        </w:rPr>
        <w:t>substitute</w:t>
      </w:r>
    </w:p>
    <w:p w:rsidR="00F011D7" w:rsidRPr="006E709F" w:rsidRDefault="00F011D7" w:rsidP="00F011D7">
      <w:pPr>
        <w:pStyle w:val="paragraph"/>
      </w:pPr>
      <w:r w:rsidRPr="006E709F">
        <w:tab/>
        <w:t>(b)</w:t>
      </w:r>
      <w:r w:rsidRPr="006E709F">
        <w:tab/>
        <w:t>the representative’s failure to inform the person that the person should consider each required statement occurred because the representative was acting in reliance on that information or those instructions; and</w:t>
      </w:r>
    </w:p>
    <w:p w:rsidR="00F011D7" w:rsidRPr="006E709F" w:rsidRDefault="000577C6" w:rsidP="003C672B">
      <w:pPr>
        <w:pStyle w:val="ItemHead"/>
      </w:pPr>
      <w:r w:rsidRPr="006E709F">
        <w:t xml:space="preserve">19.31  </w:t>
      </w:r>
      <w:r w:rsidR="00F011D7" w:rsidRPr="006E709F">
        <w:t>Section</w:t>
      </w:r>
      <w:r w:rsidR="00DA13DE" w:rsidRPr="006E709F">
        <w:t> </w:t>
      </w:r>
      <w:r w:rsidR="00F011D7" w:rsidRPr="006E709F">
        <w:t>1021G</w:t>
      </w:r>
    </w:p>
    <w:p w:rsidR="00A801D0" w:rsidRPr="006E709F" w:rsidRDefault="00A801D0" w:rsidP="00A801D0">
      <w:pPr>
        <w:pStyle w:val="Item"/>
        <w:rPr>
          <w:i/>
        </w:rPr>
      </w:pPr>
      <w:r w:rsidRPr="006E709F">
        <w:rPr>
          <w:i/>
        </w:rPr>
        <w:t>omit</w:t>
      </w:r>
    </w:p>
    <w:p w:rsidR="00F011D7" w:rsidRPr="006E709F" w:rsidRDefault="00F011D7" w:rsidP="00A801D0">
      <w:pPr>
        <w:pStyle w:val="Item"/>
      </w:pPr>
      <w:r w:rsidRPr="006E709F">
        <w:t>to give or communicate disclosure documents or statements as and when required by this Part.</w:t>
      </w:r>
    </w:p>
    <w:p w:rsidR="00A801D0" w:rsidRPr="006E709F" w:rsidRDefault="00A801D0" w:rsidP="00A801D0">
      <w:pPr>
        <w:pStyle w:val="Item"/>
        <w:rPr>
          <w:i/>
        </w:rPr>
      </w:pPr>
      <w:r w:rsidRPr="006E709F">
        <w:rPr>
          <w:i/>
        </w:rPr>
        <w:t>insert</w:t>
      </w:r>
    </w:p>
    <w:p w:rsidR="00F011D7" w:rsidRPr="006E709F" w:rsidRDefault="00F011D7" w:rsidP="00A801D0">
      <w:pPr>
        <w:pStyle w:val="Item"/>
      </w:pPr>
      <w:r w:rsidRPr="006E709F">
        <w:t>to inform a person that the person should consider each statement about a carbon unit, an Australian carbon credit unit or an eligible international emissions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t>, section</w:t>
      </w:r>
      <w:r w:rsidR="00DA13DE" w:rsidRPr="006E709F">
        <w:t> </w:t>
      </w:r>
      <w:r w:rsidRPr="006E709F">
        <w:t xml:space="preserve">162 of the </w:t>
      </w:r>
      <w:r w:rsidRPr="006E709F">
        <w:rPr>
          <w:i/>
        </w:rPr>
        <w:t>Carbon Credits (Carbon Farming Initiative) Act 2011</w:t>
      </w:r>
      <w:r w:rsidRPr="006E709F">
        <w:t xml:space="preserve"> or section</w:t>
      </w:r>
      <w:r w:rsidR="00DA13DE" w:rsidRPr="006E709F">
        <w:t> </w:t>
      </w:r>
      <w:r w:rsidRPr="006E709F">
        <w:t xml:space="preserve">61 of the </w:t>
      </w:r>
      <w:r w:rsidRPr="006E709F">
        <w:rPr>
          <w:i/>
        </w:rPr>
        <w:t>Australian National Registry of Emissions Units Act 2011</w:t>
      </w:r>
      <w:r w:rsidRPr="006E709F">
        <w:t xml:space="preserve"> as and when required by this Part.</w:t>
      </w:r>
    </w:p>
    <w:p w:rsidR="00F011D7" w:rsidRPr="006E709F" w:rsidRDefault="000577C6" w:rsidP="003C672B">
      <w:pPr>
        <w:pStyle w:val="ItemHead"/>
      </w:pPr>
      <w:r w:rsidRPr="006E709F">
        <w:t xml:space="preserve">19.32  </w:t>
      </w:r>
      <w:r w:rsidR="00F011D7" w:rsidRPr="006E709F">
        <w:t>After paragraph</w:t>
      </w:r>
      <w:r w:rsidR="00DA13DE" w:rsidRPr="006E709F">
        <w:t> </w:t>
      </w:r>
      <w:r w:rsidR="00F011D7" w:rsidRPr="006E709F">
        <w:t>1022B(1</w:t>
      </w:r>
      <w:r w:rsidR="00A801D0" w:rsidRPr="006E709F">
        <w:t>)(</w:t>
      </w:r>
      <w:r w:rsidR="00F011D7" w:rsidRPr="006E709F">
        <w:t>ac)</w:t>
      </w:r>
    </w:p>
    <w:p w:rsidR="00A801D0" w:rsidRPr="006E709F" w:rsidRDefault="00A801D0" w:rsidP="00A801D0">
      <w:pPr>
        <w:pStyle w:val="Item"/>
        <w:rPr>
          <w:i/>
        </w:rPr>
      </w:pPr>
      <w:r w:rsidRPr="006E709F">
        <w:rPr>
          <w:i/>
        </w:rPr>
        <w:t>insert</w:t>
      </w:r>
    </w:p>
    <w:p w:rsidR="00F011D7" w:rsidRPr="006E709F" w:rsidRDefault="00F011D7" w:rsidP="00F011D7">
      <w:pPr>
        <w:pStyle w:val="paragraph"/>
        <w:rPr>
          <w:szCs w:val="22"/>
        </w:rPr>
      </w:pPr>
      <w:r w:rsidRPr="006E709F">
        <w:rPr>
          <w:szCs w:val="22"/>
        </w:rPr>
        <w:tab/>
        <w:t>(ad)</w:t>
      </w:r>
      <w:r w:rsidRPr="006E709F">
        <w:rPr>
          <w:szCs w:val="22"/>
        </w:rPr>
        <w:tab/>
        <w:t>a person:</w:t>
      </w:r>
    </w:p>
    <w:p w:rsidR="00F011D7" w:rsidRPr="006E709F" w:rsidRDefault="00F011D7" w:rsidP="00F011D7">
      <w:pPr>
        <w:pStyle w:val="paragraphsub"/>
      </w:pPr>
      <w:r w:rsidRPr="006E709F">
        <w:tab/>
        <w:t>(i)</w:t>
      </w:r>
      <w:r w:rsidRPr="006E709F">
        <w:tab/>
        <w:t xml:space="preserve">is required to inform another person (the </w:t>
      </w:r>
      <w:r w:rsidRPr="006E709F">
        <w:rPr>
          <w:b/>
          <w:i/>
        </w:rPr>
        <w:t>client</w:t>
      </w:r>
      <w:r w:rsidRPr="006E709F">
        <w:t>) that the client should consider each statement about a carbon unit that is published on the website of the Clean Energy Regulator as mentioned in section</w:t>
      </w:r>
      <w:r w:rsidR="00DA13DE" w:rsidRPr="006E709F">
        <w:t> </w:t>
      </w:r>
      <w:r w:rsidRPr="006E709F">
        <w:t xml:space="preserve">202 of the </w:t>
      </w:r>
      <w:r w:rsidRPr="006E709F">
        <w:rPr>
          <w:i/>
        </w:rPr>
        <w:t>Clean Energy Act 2011</w:t>
      </w:r>
      <w:r w:rsidRPr="006E709F">
        <w:t>; and</w:t>
      </w:r>
    </w:p>
    <w:p w:rsidR="00F011D7" w:rsidRPr="006E709F" w:rsidRDefault="00F011D7" w:rsidP="00F011D7">
      <w:pPr>
        <w:pStyle w:val="paragraphsub"/>
      </w:pPr>
      <w:r w:rsidRPr="006E709F">
        <w:tab/>
        <w:t>(ii)</w:t>
      </w:r>
      <w:r w:rsidRPr="006E709F">
        <w:tab/>
        <w:t>does not inform the client by the time the person is required to do so; or</w:t>
      </w:r>
    </w:p>
    <w:p w:rsidR="00F011D7" w:rsidRPr="006E709F" w:rsidRDefault="00F011D7" w:rsidP="00F011D7">
      <w:pPr>
        <w:pStyle w:val="paragraph"/>
        <w:rPr>
          <w:szCs w:val="22"/>
        </w:rPr>
      </w:pPr>
      <w:r w:rsidRPr="006E709F">
        <w:rPr>
          <w:szCs w:val="22"/>
        </w:rPr>
        <w:tab/>
        <w:t>(ae)</w:t>
      </w:r>
      <w:r w:rsidRPr="006E709F">
        <w:rPr>
          <w:szCs w:val="22"/>
        </w:rPr>
        <w:tab/>
        <w:t>a person:</w:t>
      </w:r>
    </w:p>
    <w:p w:rsidR="00F011D7" w:rsidRPr="006E709F" w:rsidRDefault="00F011D7" w:rsidP="00F011D7">
      <w:pPr>
        <w:pStyle w:val="paragraphsub"/>
      </w:pPr>
      <w:r w:rsidRPr="006E709F">
        <w:tab/>
        <w:t>(i)</w:t>
      </w:r>
      <w:r w:rsidRPr="006E709F">
        <w:tab/>
        <w:t xml:space="preserve">is required to inform another person (the </w:t>
      </w:r>
      <w:r w:rsidRPr="006E709F">
        <w:rPr>
          <w:b/>
          <w:i/>
        </w:rPr>
        <w:t>client</w:t>
      </w:r>
      <w:r w:rsidRPr="006E709F">
        <w:t>) that the client should consider each statement about an Australian carbon credit unit that is published on the website of the Clean Energy Regulator as mentioned in section</w:t>
      </w:r>
      <w:r w:rsidR="00DA13DE" w:rsidRPr="006E709F">
        <w:t> </w:t>
      </w:r>
      <w:r w:rsidRPr="006E709F">
        <w:t xml:space="preserve">162 of the </w:t>
      </w:r>
      <w:r w:rsidRPr="006E709F">
        <w:rPr>
          <w:i/>
        </w:rPr>
        <w:t>Carbon Credits (Carbon Farming Initiative) Act 2011</w:t>
      </w:r>
      <w:r w:rsidRPr="006E709F">
        <w:t>; and</w:t>
      </w:r>
    </w:p>
    <w:p w:rsidR="00F011D7" w:rsidRPr="006E709F" w:rsidRDefault="00F011D7" w:rsidP="00F011D7">
      <w:pPr>
        <w:pStyle w:val="paragraphsub"/>
      </w:pPr>
      <w:r w:rsidRPr="006E709F">
        <w:tab/>
        <w:t>(ii)</w:t>
      </w:r>
      <w:r w:rsidRPr="006E709F">
        <w:tab/>
        <w:t>does not inform the client by the time the person is required to do so; or</w:t>
      </w:r>
    </w:p>
    <w:p w:rsidR="00F011D7" w:rsidRPr="006E709F" w:rsidRDefault="00F011D7" w:rsidP="00A53AD1">
      <w:pPr>
        <w:pStyle w:val="paragraph"/>
        <w:keepNext/>
        <w:keepLines/>
        <w:rPr>
          <w:szCs w:val="22"/>
        </w:rPr>
      </w:pPr>
      <w:r w:rsidRPr="006E709F">
        <w:rPr>
          <w:szCs w:val="22"/>
        </w:rPr>
        <w:tab/>
        <w:t>(af)</w:t>
      </w:r>
      <w:r w:rsidRPr="006E709F">
        <w:rPr>
          <w:szCs w:val="22"/>
        </w:rPr>
        <w:tab/>
        <w:t>a person:</w:t>
      </w:r>
    </w:p>
    <w:p w:rsidR="00F011D7" w:rsidRPr="006E709F" w:rsidRDefault="00F011D7" w:rsidP="00F011D7">
      <w:pPr>
        <w:pStyle w:val="paragraphsub"/>
      </w:pPr>
      <w:r w:rsidRPr="006E709F">
        <w:tab/>
        <w:t>(i)</w:t>
      </w:r>
      <w:r w:rsidRPr="006E709F">
        <w:tab/>
        <w:t xml:space="preserve">is required to inform another person (the </w:t>
      </w:r>
      <w:r w:rsidRPr="006E709F">
        <w:rPr>
          <w:b/>
          <w:i/>
        </w:rPr>
        <w:t>client</w:t>
      </w:r>
      <w:r w:rsidRPr="006E709F">
        <w:t>) that the client should consider each statement about an eligible international emissions unit that is published on the website of the Clean Energy Regulator as mentioned in section</w:t>
      </w:r>
      <w:r w:rsidR="00DA13DE" w:rsidRPr="006E709F">
        <w:t> </w:t>
      </w:r>
      <w:r w:rsidRPr="006E709F">
        <w:t xml:space="preserve">61 of the </w:t>
      </w:r>
      <w:r w:rsidRPr="006E709F">
        <w:rPr>
          <w:i/>
        </w:rPr>
        <w:t>Australian National Registry of Emissions Units Act 2011</w:t>
      </w:r>
      <w:r w:rsidRPr="006E709F">
        <w:t>; and</w:t>
      </w:r>
    </w:p>
    <w:p w:rsidR="00F011D7" w:rsidRPr="006E709F" w:rsidRDefault="00F011D7" w:rsidP="00F011D7">
      <w:pPr>
        <w:pStyle w:val="paragraphsub"/>
      </w:pPr>
      <w:r w:rsidRPr="006E709F">
        <w:tab/>
        <w:t>(ii)</w:t>
      </w:r>
      <w:r w:rsidRPr="006E709F">
        <w:tab/>
        <w:t>does not inform the client by the time the person is required to do so; or</w:t>
      </w:r>
    </w:p>
    <w:p w:rsidR="00842F88" w:rsidRPr="006E709F" w:rsidRDefault="00A801D0" w:rsidP="00A801D0">
      <w:pPr>
        <w:pStyle w:val="ActHead1"/>
        <w:pageBreakBefore/>
      </w:pPr>
      <w:bookmarkStart w:id="130" w:name="_Toc160609817"/>
      <w:r w:rsidRPr="000C4237">
        <w:rPr>
          <w:rStyle w:val="CharChapNo"/>
        </w:rPr>
        <w:t>Schedule</w:t>
      </w:r>
      <w:r w:rsidR="00DA13DE" w:rsidRPr="000C4237">
        <w:rPr>
          <w:rStyle w:val="CharChapNo"/>
        </w:rPr>
        <w:t> </w:t>
      </w:r>
      <w:r w:rsidR="00842F88" w:rsidRPr="000C4237">
        <w:rPr>
          <w:rStyle w:val="CharChapNo"/>
        </w:rPr>
        <w:t>10AA</w:t>
      </w:r>
      <w:r w:rsidRPr="006E709F">
        <w:t>—</w:t>
      </w:r>
      <w:r w:rsidR="00842F88" w:rsidRPr="000C4237">
        <w:rPr>
          <w:rStyle w:val="CharChapText"/>
        </w:rPr>
        <w:t>Modifications of the Act in relation to their application in respect of a recognised offer or a proposed offer of securities that may become a recognised offer</w:t>
      </w:r>
      <w:bookmarkEnd w:id="130"/>
    </w:p>
    <w:p w:rsidR="00842F88" w:rsidRPr="006E709F" w:rsidRDefault="00842F88" w:rsidP="00A801D0">
      <w:pPr>
        <w:pStyle w:val="notemargin"/>
      </w:pPr>
      <w:r w:rsidRPr="006E709F">
        <w:t>(regulation</w:t>
      </w:r>
      <w:r w:rsidR="00DA13DE" w:rsidRPr="006E709F">
        <w:t> </w:t>
      </w:r>
      <w:r w:rsidRPr="006E709F">
        <w:t>8.4.02)</w:t>
      </w:r>
    </w:p>
    <w:p w:rsidR="00842F88" w:rsidRPr="006E709F" w:rsidRDefault="00A801D0" w:rsidP="00A801D0">
      <w:pPr>
        <w:pStyle w:val="ActHead2"/>
      </w:pPr>
      <w:bookmarkStart w:id="131" w:name="_Toc160609818"/>
      <w:r w:rsidRPr="000C4237">
        <w:rPr>
          <w:rStyle w:val="CharPartNo"/>
        </w:rPr>
        <w:t>Part</w:t>
      </w:r>
      <w:r w:rsidR="00DA13DE" w:rsidRPr="000C4237">
        <w:rPr>
          <w:rStyle w:val="CharPartNo"/>
        </w:rPr>
        <w:t> </w:t>
      </w:r>
      <w:r w:rsidR="00842F88" w:rsidRPr="000C4237">
        <w:rPr>
          <w:rStyle w:val="CharPartNo"/>
        </w:rPr>
        <w:t>1</w:t>
      </w:r>
      <w:r w:rsidRPr="006E709F">
        <w:t>—</w:t>
      </w:r>
      <w:r w:rsidR="00842F88" w:rsidRPr="000C4237">
        <w:rPr>
          <w:rStyle w:val="CharPartText"/>
        </w:rPr>
        <w:t>Modification of Part</w:t>
      </w:r>
      <w:r w:rsidR="00DA13DE" w:rsidRPr="000C4237">
        <w:rPr>
          <w:rStyle w:val="CharPartText"/>
        </w:rPr>
        <w:t> </w:t>
      </w:r>
      <w:r w:rsidR="00842F88" w:rsidRPr="000C4237">
        <w:rPr>
          <w:rStyle w:val="CharPartText"/>
        </w:rPr>
        <w:t>6D.2 of the Act</w:t>
      </w:r>
      <w:r w:rsidRPr="000C4237">
        <w:rPr>
          <w:rStyle w:val="CharPartText"/>
        </w:rPr>
        <w:t>—</w:t>
      </w:r>
      <w:r w:rsidR="00842F88" w:rsidRPr="000C4237">
        <w:rPr>
          <w:rStyle w:val="CharPartText"/>
        </w:rPr>
        <w:t xml:space="preserve">disclosure to investors not required for recognised offer under </w:t>
      </w:r>
      <w:r w:rsidRPr="000C4237">
        <w:rPr>
          <w:rStyle w:val="CharPartText"/>
        </w:rPr>
        <w:t>Chapter</w:t>
      </w:r>
      <w:r w:rsidR="00DA13DE" w:rsidRPr="000C4237">
        <w:rPr>
          <w:rStyle w:val="CharPartText"/>
        </w:rPr>
        <w:t> </w:t>
      </w:r>
      <w:r w:rsidR="00842F88" w:rsidRPr="000C4237">
        <w:rPr>
          <w:rStyle w:val="CharPartText"/>
        </w:rPr>
        <w:t>8</w:t>
      </w:r>
      <w:bookmarkEnd w:id="131"/>
    </w:p>
    <w:p w:rsidR="00E07D2E" w:rsidRPr="006E709F" w:rsidRDefault="00E07D2E" w:rsidP="00E07D2E">
      <w:pPr>
        <w:pStyle w:val="Header"/>
      </w:pPr>
      <w:r w:rsidRPr="000C4237">
        <w:rPr>
          <w:rStyle w:val="CharDivNo"/>
        </w:rPr>
        <w:t xml:space="preserve"> </w:t>
      </w:r>
      <w:r w:rsidRPr="000C4237">
        <w:rPr>
          <w:rStyle w:val="CharDivText"/>
        </w:rPr>
        <w:t xml:space="preserve"> </w:t>
      </w:r>
    </w:p>
    <w:p w:rsidR="00842F88" w:rsidRPr="006E709F" w:rsidRDefault="00CB45F0" w:rsidP="002F4113">
      <w:pPr>
        <w:pStyle w:val="ItemHead"/>
      </w:pPr>
      <w:r w:rsidRPr="006E709F">
        <w:t xml:space="preserve">1.1  </w:t>
      </w:r>
      <w:r w:rsidR="00842F88" w:rsidRPr="006E709F">
        <w:t>After subsection</w:t>
      </w:r>
      <w:r w:rsidR="00DA13DE" w:rsidRPr="006E709F">
        <w:t> </w:t>
      </w:r>
      <w:r w:rsidR="00842F88" w:rsidRPr="006E709F">
        <w:t>707(3)</w:t>
      </w:r>
    </w:p>
    <w:p w:rsidR="00A801D0" w:rsidRPr="006E709F" w:rsidRDefault="00A801D0" w:rsidP="00A801D0">
      <w:pPr>
        <w:pStyle w:val="Item"/>
        <w:rPr>
          <w:i/>
        </w:rPr>
      </w:pPr>
      <w:r w:rsidRPr="006E709F">
        <w:rPr>
          <w:i/>
        </w:rPr>
        <w:t>insert</w:t>
      </w:r>
    </w:p>
    <w:p w:rsidR="00842F88" w:rsidRPr="006E709F" w:rsidRDefault="00842F88" w:rsidP="00A801D0">
      <w:pPr>
        <w:pStyle w:val="subsection"/>
      </w:pPr>
      <w:r w:rsidRPr="006E709F">
        <w:tab/>
        <w:t>(3A)</w:t>
      </w:r>
      <w:r w:rsidRPr="006E709F">
        <w:tab/>
      </w:r>
      <w:r w:rsidR="00DA13DE" w:rsidRPr="006E709F">
        <w:t>Subsection (</w:t>
      </w:r>
      <w:r w:rsidRPr="006E709F">
        <w:t xml:space="preserve">3) does not apply to an offer of a body’s securities for sale if the body issued the securities as part of a recognised offer under </w:t>
      </w:r>
      <w:r w:rsidR="00A801D0" w:rsidRPr="006E709F">
        <w:t>Chapter</w:t>
      </w:r>
      <w:r w:rsidR="00DA13DE" w:rsidRPr="006E709F">
        <w:t> </w:t>
      </w:r>
      <w:r w:rsidRPr="006E709F">
        <w:t>8.</w:t>
      </w:r>
    </w:p>
    <w:p w:rsidR="00842F88" w:rsidRPr="006E709F" w:rsidRDefault="00842F88" w:rsidP="00A801D0">
      <w:pPr>
        <w:pStyle w:val="subsection"/>
      </w:pPr>
      <w:r w:rsidRPr="006E709F">
        <w:tab/>
        <w:t>(3B)</w:t>
      </w:r>
      <w:r w:rsidRPr="006E709F">
        <w:tab/>
      </w:r>
      <w:r w:rsidR="00DA13DE" w:rsidRPr="006E709F">
        <w:t>Subsection (</w:t>
      </w:r>
      <w:r w:rsidRPr="006E709F">
        <w:t>3) does not apply to an offer of a body’s securities for sale if:</w:t>
      </w:r>
    </w:p>
    <w:p w:rsidR="00842F88" w:rsidRPr="006E709F" w:rsidRDefault="00842F88" w:rsidP="00A801D0">
      <w:pPr>
        <w:pStyle w:val="paragraph"/>
      </w:pPr>
      <w:r w:rsidRPr="006E709F">
        <w:tab/>
        <w:t>(a)</w:t>
      </w:r>
      <w:r w:rsidRPr="006E709F">
        <w:tab/>
        <w:t>the securities were issued by reason of the exercise of options or the conversion of convertible or converting securities; and</w:t>
      </w:r>
    </w:p>
    <w:p w:rsidR="00842F88" w:rsidRPr="006E709F" w:rsidRDefault="00842F88" w:rsidP="00A801D0">
      <w:pPr>
        <w:pStyle w:val="paragraph"/>
      </w:pPr>
      <w:r w:rsidRPr="006E709F">
        <w:tab/>
        <w:t>(b)</w:t>
      </w:r>
      <w:r w:rsidRPr="006E709F">
        <w:tab/>
        <w:t xml:space="preserve">the options or other convertible or converting securities were issued as part of a recognised offer under </w:t>
      </w:r>
      <w:r w:rsidR="00A801D0" w:rsidRPr="006E709F">
        <w:t>Chapter</w:t>
      </w:r>
      <w:r w:rsidR="00DA13DE" w:rsidRPr="006E709F">
        <w:t> </w:t>
      </w:r>
      <w:r w:rsidRPr="006E709F">
        <w:t>8; and</w:t>
      </w:r>
    </w:p>
    <w:p w:rsidR="00842F88" w:rsidRPr="006E709F" w:rsidRDefault="00842F88" w:rsidP="00A801D0">
      <w:pPr>
        <w:pStyle w:val="paragraph"/>
      </w:pPr>
      <w:r w:rsidRPr="006E709F">
        <w:tab/>
        <w:t>(c)</w:t>
      </w:r>
      <w:r w:rsidRPr="006E709F">
        <w:tab/>
        <w:t>the exercise of the option, or the conversion of the security, did not involve any further offer.</w:t>
      </w:r>
    </w:p>
    <w:p w:rsidR="00842F88" w:rsidRPr="006E709F" w:rsidRDefault="00CB45F0" w:rsidP="002F4113">
      <w:pPr>
        <w:pStyle w:val="ItemHead"/>
      </w:pPr>
      <w:r w:rsidRPr="006E709F">
        <w:t xml:space="preserve">1.2  </w:t>
      </w:r>
      <w:r w:rsidR="00842F88" w:rsidRPr="006E709F">
        <w:t>After subsection</w:t>
      </w:r>
      <w:r w:rsidR="00DA13DE" w:rsidRPr="006E709F">
        <w:t> </w:t>
      </w:r>
      <w:r w:rsidR="00842F88" w:rsidRPr="006E709F">
        <w:t>707(5)</w:t>
      </w:r>
    </w:p>
    <w:p w:rsidR="00A801D0" w:rsidRPr="006E709F" w:rsidRDefault="00A801D0" w:rsidP="00A801D0">
      <w:pPr>
        <w:pStyle w:val="Item"/>
        <w:rPr>
          <w:i/>
        </w:rPr>
      </w:pPr>
      <w:r w:rsidRPr="006E709F">
        <w:rPr>
          <w:i/>
        </w:rPr>
        <w:t>insert</w:t>
      </w:r>
    </w:p>
    <w:p w:rsidR="00842F88" w:rsidRPr="006E709F" w:rsidRDefault="00842F88" w:rsidP="00A801D0">
      <w:pPr>
        <w:pStyle w:val="subsection"/>
      </w:pPr>
      <w:r w:rsidRPr="006E709F">
        <w:tab/>
        <w:t>(5A)</w:t>
      </w:r>
      <w:r w:rsidRPr="006E709F">
        <w:tab/>
      </w:r>
      <w:r w:rsidR="00DA13DE" w:rsidRPr="006E709F">
        <w:t>Subsection (</w:t>
      </w:r>
      <w:r w:rsidRPr="006E709F">
        <w:t xml:space="preserve">5) does not apply to an offer of a body’s securities for sale if the controller sold the securities as part of a recognised offer under </w:t>
      </w:r>
      <w:r w:rsidR="00A801D0" w:rsidRPr="006E709F">
        <w:t>Chapter</w:t>
      </w:r>
      <w:r w:rsidR="00DA13DE" w:rsidRPr="006E709F">
        <w:t> </w:t>
      </w:r>
      <w:r w:rsidRPr="006E709F">
        <w:t>8.</w:t>
      </w:r>
    </w:p>
    <w:p w:rsidR="00842F88" w:rsidRPr="006E709F" w:rsidRDefault="00A801D0" w:rsidP="00495B24">
      <w:pPr>
        <w:pStyle w:val="ActHead2"/>
        <w:pageBreakBefore/>
        <w:spacing w:before="240"/>
      </w:pPr>
      <w:bookmarkStart w:id="132" w:name="_Toc160609819"/>
      <w:r w:rsidRPr="000C4237">
        <w:rPr>
          <w:rStyle w:val="CharPartNo"/>
        </w:rPr>
        <w:t>Part</w:t>
      </w:r>
      <w:r w:rsidR="00DA13DE" w:rsidRPr="000C4237">
        <w:rPr>
          <w:rStyle w:val="CharPartNo"/>
        </w:rPr>
        <w:t> </w:t>
      </w:r>
      <w:r w:rsidR="00842F88" w:rsidRPr="000C4237">
        <w:rPr>
          <w:rStyle w:val="CharPartNo"/>
        </w:rPr>
        <w:t>2</w:t>
      </w:r>
      <w:r w:rsidRPr="006E709F">
        <w:t>—</w:t>
      </w:r>
      <w:r w:rsidR="00842F88" w:rsidRPr="000C4237">
        <w:rPr>
          <w:rStyle w:val="CharPartText"/>
        </w:rPr>
        <w:t>Modification of Part</w:t>
      </w:r>
      <w:r w:rsidR="00DA13DE" w:rsidRPr="000C4237">
        <w:rPr>
          <w:rStyle w:val="CharPartText"/>
        </w:rPr>
        <w:t> </w:t>
      </w:r>
      <w:r w:rsidR="00842F88" w:rsidRPr="000C4237">
        <w:rPr>
          <w:rStyle w:val="CharPartText"/>
        </w:rPr>
        <w:t>7.9 of the Act</w:t>
      </w:r>
      <w:r w:rsidRPr="000C4237">
        <w:rPr>
          <w:rStyle w:val="CharPartText"/>
        </w:rPr>
        <w:t>—</w:t>
      </w:r>
      <w:r w:rsidR="00842F88" w:rsidRPr="000C4237">
        <w:rPr>
          <w:rStyle w:val="CharPartText"/>
        </w:rPr>
        <w:t xml:space="preserve">disclosure to investors not required for recognised offer under </w:t>
      </w:r>
      <w:r w:rsidRPr="000C4237">
        <w:rPr>
          <w:rStyle w:val="CharPartText"/>
        </w:rPr>
        <w:t>Chapter</w:t>
      </w:r>
      <w:r w:rsidR="00DA13DE" w:rsidRPr="000C4237">
        <w:rPr>
          <w:rStyle w:val="CharPartText"/>
        </w:rPr>
        <w:t> </w:t>
      </w:r>
      <w:r w:rsidR="00842F88" w:rsidRPr="000C4237">
        <w:rPr>
          <w:rStyle w:val="CharPartText"/>
        </w:rPr>
        <w:t>8</w:t>
      </w:r>
      <w:bookmarkEnd w:id="132"/>
    </w:p>
    <w:p w:rsidR="00E07D2E" w:rsidRPr="006E709F" w:rsidRDefault="00E07D2E" w:rsidP="00E07D2E">
      <w:pPr>
        <w:pStyle w:val="Header"/>
      </w:pPr>
      <w:r w:rsidRPr="000C4237">
        <w:rPr>
          <w:rStyle w:val="CharDivNo"/>
        </w:rPr>
        <w:t xml:space="preserve"> </w:t>
      </w:r>
      <w:r w:rsidRPr="000C4237">
        <w:rPr>
          <w:rStyle w:val="CharDivText"/>
        </w:rPr>
        <w:t xml:space="preserve"> </w:t>
      </w:r>
    </w:p>
    <w:p w:rsidR="00842F88" w:rsidRPr="006E709F" w:rsidRDefault="000577C6" w:rsidP="002F4113">
      <w:pPr>
        <w:pStyle w:val="ItemHead"/>
      </w:pPr>
      <w:r w:rsidRPr="006E709F">
        <w:t xml:space="preserve">2.1  </w:t>
      </w:r>
      <w:r w:rsidR="00842F88" w:rsidRPr="006E709F">
        <w:t>After subsection</w:t>
      </w:r>
      <w:r w:rsidR="00DA13DE" w:rsidRPr="006E709F">
        <w:t> </w:t>
      </w:r>
      <w:r w:rsidR="00842F88" w:rsidRPr="006E709F">
        <w:t>1012C(6)</w:t>
      </w:r>
    </w:p>
    <w:p w:rsidR="00A801D0" w:rsidRPr="006E709F" w:rsidRDefault="00A801D0" w:rsidP="00A801D0">
      <w:pPr>
        <w:pStyle w:val="Item"/>
        <w:rPr>
          <w:i/>
        </w:rPr>
      </w:pPr>
      <w:r w:rsidRPr="006E709F">
        <w:rPr>
          <w:i/>
        </w:rPr>
        <w:t>insert</w:t>
      </w:r>
    </w:p>
    <w:p w:rsidR="00842F88" w:rsidRPr="006E709F" w:rsidRDefault="00842F88" w:rsidP="00A801D0">
      <w:pPr>
        <w:pStyle w:val="subsection"/>
      </w:pPr>
      <w:r w:rsidRPr="006E709F">
        <w:tab/>
        <w:t>(6A)</w:t>
      </w:r>
      <w:r w:rsidRPr="006E709F">
        <w:tab/>
      </w:r>
      <w:r w:rsidR="00DA13DE" w:rsidRPr="006E709F">
        <w:t>Subsection (</w:t>
      </w:r>
      <w:r w:rsidRPr="006E709F">
        <w:t xml:space="preserve">6) does not apply to an offer of a financial product for sale if the issuer issued the financial product as part of a recognised offer under </w:t>
      </w:r>
      <w:r w:rsidR="00A801D0" w:rsidRPr="006E709F">
        <w:t>Chapter</w:t>
      </w:r>
      <w:r w:rsidR="00DA13DE" w:rsidRPr="006E709F">
        <w:t> </w:t>
      </w:r>
      <w:r w:rsidRPr="006E709F">
        <w:t>8.</w:t>
      </w:r>
    </w:p>
    <w:p w:rsidR="00842F88" w:rsidRPr="006E709F" w:rsidRDefault="00842F88" w:rsidP="00A801D0">
      <w:pPr>
        <w:pStyle w:val="subsection"/>
      </w:pPr>
      <w:r w:rsidRPr="006E709F">
        <w:tab/>
        <w:t>(6B)</w:t>
      </w:r>
      <w:r w:rsidRPr="006E709F">
        <w:tab/>
      </w:r>
      <w:r w:rsidR="00DA13DE" w:rsidRPr="006E709F">
        <w:t>Subsection (</w:t>
      </w:r>
      <w:r w:rsidRPr="006E709F">
        <w:t>6) does not apply to an offer of a financial product for sale if:</w:t>
      </w:r>
    </w:p>
    <w:p w:rsidR="00842F88" w:rsidRPr="006E709F" w:rsidRDefault="00842F88" w:rsidP="00A801D0">
      <w:pPr>
        <w:pStyle w:val="paragraph"/>
      </w:pPr>
      <w:r w:rsidRPr="006E709F">
        <w:tab/>
        <w:t>(a)</w:t>
      </w:r>
      <w:r w:rsidRPr="006E709F">
        <w:tab/>
        <w:t>the financial product was issued by reason of the exercise of an option or the conversion of another convertible or converting security; and</w:t>
      </w:r>
    </w:p>
    <w:p w:rsidR="00842F88" w:rsidRPr="006E709F" w:rsidRDefault="00842F88" w:rsidP="00A801D0">
      <w:pPr>
        <w:pStyle w:val="paragraph"/>
      </w:pPr>
      <w:r w:rsidRPr="006E709F">
        <w:tab/>
        <w:t>(b)</w:t>
      </w:r>
      <w:r w:rsidRPr="006E709F">
        <w:tab/>
        <w:t xml:space="preserve">the option or convertible or converting security was issued as part of a recognised offer under </w:t>
      </w:r>
      <w:r w:rsidR="00A801D0" w:rsidRPr="006E709F">
        <w:t>Chapter</w:t>
      </w:r>
      <w:r w:rsidR="00DA13DE" w:rsidRPr="006E709F">
        <w:t> </w:t>
      </w:r>
      <w:r w:rsidRPr="006E709F">
        <w:t>8; and</w:t>
      </w:r>
    </w:p>
    <w:p w:rsidR="00842F88" w:rsidRPr="006E709F" w:rsidRDefault="00842F88" w:rsidP="00A801D0">
      <w:pPr>
        <w:pStyle w:val="paragraph"/>
      </w:pPr>
      <w:r w:rsidRPr="006E709F">
        <w:tab/>
        <w:t>(c)</w:t>
      </w:r>
      <w:r w:rsidRPr="006E709F">
        <w:tab/>
        <w:t>the exercise of the option, or the conversion of the security, did not involve a further offer.</w:t>
      </w:r>
    </w:p>
    <w:p w:rsidR="00842F88" w:rsidRPr="006E709F" w:rsidRDefault="000577C6" w:rsidP="002F4113">
      <w:pPr>
        <w:pStyle w:val="ItemHead"/>
      </w:pPr>
      <w:r w:rsidRPr="006E709F">
        <w:t xml:space="preserve">2.2  </w:t>
      </w:r>
      <w:r w:rsidR="00842F88" w:rsidRPr="006E709F">
        <w:t>After subsection</w:t>
      </w:r>
      <w:r w:rsidR="00DA13DE" w:rsidRPr="006E709F">
        <w:t> </w:t>
      </w:r>
      <w:r w:rsidR="00842F88" w:rsidRPr="006E709F">
        <w:t>1012C(8)</w:t>
      </w:r>
    </w:p>
    <w:p w:rsidR="00A801D0" w:rsidRPr="006E709F" w:rsidRDefault="00A801D0" w:rsidP="00A801D0">
      <w:pPr>
        <w:pStyle w:val="Item"/>
        <w:rPr>
          <w:i/>
        </w:rPr>
      </w:pPr>
      <w:r w:rsidRPr="006E709F">
        <w:rPr>
          <w:i/>
        </w:rPr>
        <w:t>insert</w:t>
      </w:r>
    </w:p>
    <w:p w:rsidR="00842F88" w:rsidRPr="006E709F" w:rsidRDefault="00842F88" w:rsidP="00A801D0">
      <w:pPr>
        <w:pStyle w:val="subsection"/>
      </w:pPr>
      <w:r w:rsidRPr="006E709F">
        <w:tab/>
        <w:t>(8A)</w:t>
      </w:r>
      <w:r w:rsidRPr="006E709F">
        <w:tab/>
      </w:r>
      <w:r w:rsidR="00DA13DE" w:rsidRPr="006E709F">
        <w:t>Subsection (</w:t>
      </w:r>
      <w:r w:rsidRPr="006E709F">
        <w:t xml:space="preserve">8) does not apply to the offer of a financial product for sale if the controller sold the financial product as part of a recognised offer under </w:t>
      </w:r>
      <w:r w:rsidR="00A801D0" w:rsidRPr="006E709F">
        <w:t>Chapter</w:t>
      </w:r>
      <w:r w:rsidR="00DA13DE" w:rsidRPr="006E709F">
        <w:t> </w:t>
      </w:r>
      <w:r w:rsidRPr="006E709F">
        <w:t>8.</w:t>
      </w:r>
    </w:p>
    <w:p w:rsidR="00842F88" w:rsidRPr="006E709F" w:rsidRDefault="000577C6" w:rsidP="002627AC">
      <w:pPr>
        <w:pStyle w:val="ItemHead"/>
      </w:pPr>
      <w:r w:rsidRPr="006E709F">
        <w:t xml:space="preserve">2.3  </w:t>
      </w:r>
      <w:r w:rsidR="00842F88" w:rsidRPr="006E709F">
        <w:t>After subsection</w:t>
      </w:r>
      <w:r w:rsidR="00DA13DE" w:rsidRPr="006E709F">
        <w:t> </w:t>
      </w:r>
      <w:r w:rsidR="00842F88" w:rsidRPr="006E709F">
        <w:t>1012IA(3)</w:t>
      </w:r>
    </w:p>
    <w:p w:rsidR="00A801D0" w:rsidRPr="006E709F" w:rsidRDefault="00A801D0" w:rsidP="00A801D0">
      <w:pPr>
        <w:pStyle w:val="Item"/>
        <w:rPr>
          <w:i/>
        </w:rPr>
      </w:pPr>
      <w:r w:rsidRPr="006E709F">
        <w:rPr>
          <w:i/>
        </w:rPr>
        <w:t>insert</w:t>
      </w:r>
    </w:p>
    <w:p w:rsidR="00842F88" w:rsidRPr="006E709F" w:rsidRDefault="00842F88" w:rsidP="00A801D0">
      <w:pPr>
        <w:pStyle w:val="subsection"/>
      </w:pPr>
      <w:r w:rsidRPr="006E709F">
        <w:tab/>
        <w:t>(3A)</w:t>
      </w:r>
      <w:r w:rsidRPr="006E709F">
        <w:tab/>
        <w:t xml:space="preserve">In determining whether this section requires a provider to give a client a Product Disclosure Statement, </w:t>
      </w:r>
      <w:r w:rsidR="00A801D0" w:rsidRPr="006E709F">
        <w:t>Chapter</w:t>
      </w:r>
      <w:r w:rsidR="00DA13DE" w:rsidRPr="006E709F">
        <w:t> </w:t>
      </w:r>
      <w:r w:rsidRPr="006E709F">
        <w:t>8 is to be disregarded.</w:t>
      </w:r>
    </w:p>
    <w:p w:rsidR="0048795D" w:rsidRPr="006E709F" w:rsidRDefault="00842F88" w:rsidP="00A801D0">
      <w:pPr>
        <w:pStyle w:val="subsection"/>
      </w:pPr>
      <w:r w:rsidRPr="006E709F">
        <w:tab/>
        <w:t>(3B)</w:t>
      </w:r>
      <w:r w:rsidRPr="006E709F">
        <w:tab/>
        <w:t>A provider is not required to give a client a Product Disclosure Statement for a financial product if:</w:t>
      </w:r>
    </w:p>
    <w:p w:rsidR="0048795D" w:rsidRPr="006E709F" w:rsidRDefault="00842F88" w:rsidP="00A801D0">
      <w:pPr>
        <w:pStyle w:val="paragraph"/>
      </w:pPr>
      <w:r w:rsidRPr="006E709F">
        <w:tab/>
        <w:t>(a)</w:t>
      </w:r>
      <w:r w:rsidRPr="006E709F">
        <w:tab/>
        <w:t xml:space="preserve">the provider reasonably believes there is a recognised offer under </w:t>
      </w:r>
      <w:r w:rsidR="00A801D0" w:rsidRPr="006E709F">
        <w:t>Chapter</w:t>
      </w:r>
      <w:r w:rsidR="00DA13DE" w:rsidRPr="006E709F">
        <w:t> </w:t>
      </w:r>
      <w:r w:rsidRPr="006E709F">
        <w:t>8 in relation to the financial product; and</w:t>
      </w:r>
    </w:p>
    <w:p w:rsidR="00842F88" w:rsidRPr="006E709F" w:rsidRDefault="00842F88" w:rsidP="00A801D0">
      <w:pPr>
        <w:pStyle w:val="paragraph"/>
      </w:pPr>
      <w:r w:rsidRPr="006E709F">
        <w:tab/>
        <w:t>(b)</w:t>
      </w:r>
      <w:r w:rsidRPr="006E709F">
        <w:tab/>
        <w:t>the financial product is an interest in a managed investment scheme governed by the laws of New Zealand; and</w:t>
      </w:r>
    </w:p>
    <w:p w:rsidR="001A51A7" w:rsidRPr="006E709F" w:rsidRDefault="00842F88" w:rsidP="003A3F2A">
      <w:pPr>
        <w:pStyle w:val="paragraph"/>
      </w:pPr>
      <w:r w:rsidRPr="006E709F">
        <w:tab/>
        <w:t>(c)</w:t>
      </w:r>
      <w:r w:rsidRPr="006E709F">
        <w:tab/>
        <w:t xml:space="preserve">the provider has provided the client the documents and information required to accompany that offer by </w:t>
      </w:r>
      <w:r w:rsidR="00C51C82" w:rsidRPr="006E709F">
        <w:t xml:space="preserve">the Financial Markets Conduct Act 2013 of New Zealand and the Financial Markets Conduct </w:t>
      </w:r>
      <w:r w:rsidR="000C4237">
        <w:t>Regulations 2</w:t>
      </w:r>
      <w:r w:rsidR="00C51C82" w:rsidRPr="006E709F">
        <w:t>014 of New Zealand; and</w:t>
      </w:r>
    </w:p>
    <w:p w:rsidR="00842F88" w:rsidRPr="006E709F" w:rsidRDefault="00842F88" w:rsidP="003A3F2A">
      <w:pPr>
        <w:pStyle w:val="paragraph"/>
      </w:pPr>
      <w:r w:rsidRPr="006E709F">
        <w:tab/>
        <w:t>(d)</w:t>
      </w:r>
      <w:r w:rsidRPr="006E709F">
        <w:tab/>
        <w:t>the provider has provided the client any warning statement or details prescribed under section</w:t>
      </w:r>
      <w:r w:rsidR="00DA13DE" w:rsidRPr="006E709F">
        <w:t> </w:t>
      </w:r>
      <w:r w:rsidRPr="006E709F">
        <w:t>1200E in relation to the offer.</w:t>
      </w:r>
    </w:p>
    <w:p w:rsidR="00842F88" w:rsidRPr="006E709F" w:rsidRDefault="00842F88" w:rsidP="00A801D0">
      <w:pPr>
        <w:pStyle w:val="subsection"/>
      </w:pPr>
      <w:r w:rsidRPr="006E709F">
        <w:tab/>
        <w:t>(3C)</w:t>
      </w:r>
      <w:r w:rsidRPr="006E709F">
        <w:tab/>
        <w:t xml:space="preserve">For </w:t>
      </w:r>
      <w:r w:rsidR="00DA13DE" w:rsidRPr="006E709F">
        <w:t>paragraph (</w:t>
      </w:r>
      <w:r w:rsidRPr="006E709F">
        <w:t>3B</w:t>
      </w:r>
      <w:r w:rsidR="00A801D0" w:rsidRPr="006E709F">
        <w:t>)(</w:t>
      </w:r>
      <w:r w:rsidRPr="006E709F">
        <w:t>c), section</w:t>
      </w:r>
      <w:r w:rsidR="00DA13DE" w:rsidRPr="006E709F">
        <w:t> </w:t>
      </w:r>
      <w:r w:rsidRPr="006E709F">
        <w:t>1015C applies to the providing of documents and information, as if the documents and information were a Statement.</w:t>
      </w:r>
    </w:p>
    <w:p w:rsidR="00842F88" w:rsidRPr="006E709F" w:rsidRDefault="00842F88" w:rsidP="00A801D0">
      <w:pPr>
        <w:pStyle w:val="subsection"/>
      </w:pPr>
      <w:r w:rsidRPr="006E709F">
        <w:tab/>
        <w:t>(3D)</w:t>
      </w:r>
      <w:r w:rsidRPr="006E709F">
        <w:tab/>
        <w:t xml:space="preserve">For </w:t>
      </w:r>
      <w:r w:rsidR="00DA13DE" w:rsidRPr="006E709F">
        <w:t>paragraph (</w:t>
      </w:r>
      <w:r w:rsidRPr="006E709F">
        <w:t>3B</w:t>
      </w:r>
      <w:r w:rsidR="00A801D0" w:rsidRPr="006E709F">
        <w:t>)(</w:t>
      </w:r>
      <w:r w:rsidRPr="006E709F">
        <w:t>d), section</w:t>
      </w:r>
      <w:r w:rsidR="00DA13DE" w:rsidRPr="006E709F">
        <w:t> </w:t>
      </w:r>
      <w:r w:rsidRPr="006E709F">
        <w:t>1015C applies to the providing of warning statement or details prescribed under section</w:t>
      </w:r>
      <w:r w:rsidR="00DA13DE" w:rsidRPr="006E709F">
        <w:t> </w:t>
      </w:r>
      <w:r w:rsidRPr="006E709F">
        <w:t>1200E, as if the warning statement or details were a Statement.</w:t>
      </w:r>
    </w:p>
    <w:p w:rsidR="00842F88" w:rsidRPr="006E709F" w:rsidRDefault="00A801D0" w:rsidP="00A801D0">
      <w:pPr>
        <w:pStyle w:val="notetext"/>
      </w:pPr>
      <w:r w:rsidRPr="006E709F">
        <w:t>Note:</w:t>
      </w:r>
      <w:r w:rsidRPr="006E709F">
        <w:tab/>
      </w:r>
      <w:r w:rsidR="00842F88" w:rsidRPr="006E709F">
        <w:t>Subsection</w:t>
      </w:r>
      <w:r w:rsidR="00DA13DE" w:rsidRPr="006E709F">
        <w:t> </w:t>
      </w:r>
      <w:r w:rsidR="00842F88" w:rsidRPr="006E709F">
        <w:t xml:space="preserve">1012D(9E) of the Act is a modification of the Act that relates to </w:t>
      </w:r>
      <w:r w:rsidRPr="006E709F">
        <w:t>Chapter</w:t>
      </w:r>
      <w:r w:rsidR="00DA13DE" w:rsidRPr="006E709F">
        <w:t> </w:t>
      </w:r>
      <w:r w:rsidR="00842F88" w:rsidRPr="006E709F">
        <w:t>8 of the Act. The modification applies by force of:</w:t>
      </w:r>
    </w:p>
    <w:p w:rsidR="00842F88" w:rsidRPr="006E709F" w:rsidRDefault="00842F88" w:rsidP="00A801D0">
      <w:pPr>
        <w:pStyle w:val="notepara"/>
      </w:pPr>
      <w:r w:rsidRPr="006E709F">
        <w:t>(a)</w:t>
      </w:r>
      <w:r w:rsidRPr="006E709F">
        <w:tab/>
        <w:t>regulation</w:t>
      </w:r>
      <w:r w:rsidR="00DA13DE" w:rsidRPr="006E709F">
        <w:t> </w:t>
      </w:r>
      <w:r w:rsidRPr="006E709F">
        <w:t xml:space="preserve">8.4.01 of the </w:t>
      </w:r>
      <w:r w:rsidRPr="006E709F">
        <w:rPr>
          <w:i/>
        </w:rPr>
        <w:t xml:space="preserve">Corporations </w:t>
      </w:r>
      <w:r w:rsidR="000C4237">
        <w:rPr>
          <w:i/>
        </w:rPr>
        <w:t>Regulations 2</w:t>
      </w:r>
      <w:r w:rsidRPr="006E709F">
        <w:rPr>
          <w:i/>
        </w:rPr>
        <w:t>001</w:t>
      </w:r>
      <w:r w:rsidRPr="006E709F">
        <w:t>; and</w:t>
      </w:r>
    </w:p>
    <w:p w:rsidR="00842F88" w:rsidRPr="006E709F" w:rsidRDefault="00842F88" w:rsidP="00A801D0">
      <w:pPr>
        <w:pStyle w:val="notepara"/>
      </w:pPr>
      <w:r w:rsidRPr="006E709F">
        <w:t>(b)</w:t>
      </w:r>
      <w:r w:rsidRPr="006E709F">
        <w:tab/>
        <w:t>item</w:t>
      </w:r>
      <w:r w:rsidR="00DA13DE" w:rsidRPr="006E709F">
        <w:t> </w:t>
      </w:r>
      <w:r w:rsidRPr="006E709F">
        <w:t xml:space="preserve">18.1 of </w:t>
      </w:r>
      <w:r w:rsidR="00A801D0" w:rsidRPr="006E709F">
        <w:t>Part</w:t>
      </w:r>
      <w:r w:rsidR="00DA13DE" w:rsidRPr="006E709F">
        <w:t> </w:t>
      </w:r>
      <w:r w:rsidRPr="006E709F">
        <w:t xml:space="preserve">18 of </w:t>
      </w:r>
      <w:r w:rsidR="00A801D0" w:rsidRPr="006E709F">
        <w:t>Schedule</w:t>
      </w:r>
      <w:r w:rsidR="00DA13DE" w:rsidRPr="006E709F">
        <w:t> </w:t>
      </w:r>
      <w:r w:rsidRPr="006E709F">
        <w:t>10A to those Regulations.</w:t>
      </w:r>
    </w:p>
    <w:p w:rsidR="002C7812" w:rsidRPr="006E709F" w:rsidRDefault="002C7812" w:rsidP="00695CE6">
      <w:pPr>
        <w:pStyle w:val="ActHead1"/>
        <w:pageBreakBefore/>
      </w:pPr>
      <w:bookmarkStart w:id="133" w:name="_Toc160609820"/>
      <w:r w:rsidRPr="000C4237">
        <w:rPr>
          <w:rStyle w:val="CharChapNo"/>
        </w:rPr>
        <w:t>Schedule</w:t>
      </w:r>
      <w:r w:rsidR="00DA13DE" w:rsidRPr="000C4237">
        <w:rPr>
          <w:rStyle w:val="CharChapNo"/>
        </w:rPr>
        <w:t> </w:t>
      </w:r>
      <w:r w:rsidRPr="000C4237">
        <w:rPr>
          <w:rStyle w:val="CharChapNo"/>
        </w:rPr>
        <w:t>10BA</w:t>
      </w:r>
      <w:r w:rsidR="006F2951" w:rsidRPr="006E709F">
        <w:t>—</w:t>
      </w:r>
      <w:r w:rsidR="006F2951" w:rsidRPr="000C4237">
        <w:rPr>
          <w:rStyle w:val="CharChapText"/>
        </w:rPr>
        <w:t>Modifications of the Act relating to Short</w:t>
      </w:r>
      <w:r w:rsidR="000C4237" w:rsidRPr="000C4237">
        <w:rPr>
          <w:rStyle w:val="CharChapText"/>
        </w:rPr>
        <w:noBreakHyphen/>
      </w:r>
      <w:r w:rsidR="006F2951" w:rsidRPr="000C4237">
        <w:rPr>
          <w:rStyle w:val="CharChapText"/>
        </w:rPr>
        <w:t>Form Product Disclosure Statements</w:t>
      </w:r>
      <w:bookmarkEnd w:id="133"/>
    </w:p>
    <w:p w:rsidR="001871F5" w:rsidRPr="006E709F" w:rsidRDefault="001871F5" w:rsidP="00695CE6">
      <w:pPr>
        <w:pStyle w:val="notemargin"/>
      </w:pPr>
      <w:r w:rsidRPr="006E709F">
        <w:t>(</w:t>
      </w:r>
      <w:r w:rsidR="005378CE" w:rsidRPr="006E709F">
        <w:t>regulation 7</w:t>
      </w:r>
      <w:r w:rsidRPr="006E709F">
        <w:t>.9.61AA)</w:t>
      </w:r>
    </w:p>
    <w:p w:rsidR="002C7812" w:rsidRPr="006E709F" w:rsidRDefault="002C7812" w:rsidP="002C7812">
      <w:pPr>
        <w:pStyle w:val="ActHead2"/>
      </w:pPr>
      <w:bookmarkStart w:id="134" w:name="_Toc160609821"/>
      <w:r w:rsidRPr="000C4237">
        <w:rPr>
          <w:rStyle w:val="CharPartNo"/>
        </w:rPr>
        <w:t>Part</w:t>
      </w:r>
      <w:r w:rsidR="00DA13DE" w:rsidRPr="000C4237">
        <w:rPr>
          <w:rStyle w:val="CharPartNo"/>
        </w:rPr>
        <w:t> </w:t>
      </w:r>
      <w:r w:rsidRPr="000C4237">
        <w:rPr>
          <w:rStyle w:val="CharPartNo"/>
        </w:rPr>
        <w:t>1</w:t>
      </w:r>
      <w:r w:rsidRPr="006E709F">
        <w:t>—</w:t>
      </w:r>
      <w:r w:rsidRPr="000C4237">
        <w:rPr>
          <w:rStyle w:val="CharPartText"/>
        </w:rPr>
        <w:t>Modifications of Part</w:t>
      </w:r>
      <w:r w:rsidR="00DA13DE" w:rsidRPr="000C4237">
        <w:rPr>
          <w:rStyle w:val="CharPartText"/>
        </w:rPr>
        <w:t> </w:t>
      </w:r>
      <w:r w:rsidRPr="000C4237">
        <w:rPr>
          <w:rStyle w:val="CharPartText"/>
        </w:rPr>
        <w:t>7.7 of the Act</w:t>
      </w:r>
      <w:bookmarkEnd w:id="134"/>
    </w:p>
    <w:p w:rsidR="00E07D2E" w:rsidRPr="006E709F" w:rsidRDefault="00E07D2E" w:rsidP="00E07D2E">
      <w:pPr>
        <w:pStyle w:val="Header"/>
      </w:pPr>
      <w:r w:rsidRPr="000C4237">
        <w:rPr>
          <w:rStyle w:val="CharDivNo"/>
        </w:rPr>
        <w:t xml:space="preserve"> </w:t>
      </w:r>
      <w:r w:rsidRPr="000C4237">
        <w:rPr>
          <w:rStyle w:val="CharDivText"/>
        </w:rPr>
        <w:t xml:space="preserve"> </w:t>
      </w:r>
    </w:p>
    <w:p w:rsidR="002C7812" w:rsidRPr="006E709F" w:rsidRDefault="002C7812" w:rsidP="002C7812">
      <w:pPr>
        <w:pStyle w:val="ItemHead"/>
      </w:pPr>
      <w:r w:rsidRPr="006E709F">
        <w:t xml:space="preserve">1.1  </w:t>
      </w:r>
      <w:r w:rsidR="00FF4176" w:rsidRPr="006E709F">
        <w:t>Paragraph 9</w:t>
      </w:r>
      <w:r w:rsidRPr="006E709F">
        <w:t>49A(2)(c)</w:t>
      </w:r>
    </w:p>
    <w:p w:rsidR="002C7812" w:rsidRPr="006E709F" w:rsidRDefault="002C7812" w:rsidP="00F925D9">
      <w:pPr>
        <w:pStyle w:val="Item"/>
        <w:keepLines w:val="0"/>
        <w:rPr>
          <w:i/>
        </w:rPr>
      </w:pPr>
      <w:r w:rsidRPr="006E709F">
        <w:rPr>
          <w:i/>
        </w:rPr>
        <w:t>after</w:t>
      </w:r>
    </w:p>
    <w:p w:rsidR="002C7812" w:rsidRPr="006E709F" w:rsidRDefault="002C7812" w:rsidP="00F925D9">
      <w:pPr>
        <w:pStyle w:val="Item"/>
        <w:keepLines w:val="0"/>
      </w:pPr>
      <w:r w:rsidRPr="006E709F">
        <w:t>Part</w:t>
      </w:r>
      <w:r w:rsidR="00DA13DE" w:rsidRPr="006E709F">
        <w:t> </w:t>
      </w:r>
      <w:r w:rsidRPr="006E709F">
        <w:t>7.9)</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or a Short</w:t>
      </w:r>
      <w:r w:rsidR="000C4237">
        <w:noBreakHyphen/>
      </w:r>
      <w:r w:rsidRPr="006E709F">
        <w:t>Form PDS (see Division</w:t>
      </w:r>
      <w:r w:rsidR="00DA13DE" w:rsidRPr="006E709F">
        <w:t> </w:t>
      </w:r>
      <w:r w:rsidRPr="006E709F">
        <w:t>3A of Part</w:t>
      </w:r>
      <w:r w:rsidR="00DA13DE" w:rsidRPr="006E709F">
        <w:t> </w:t>
      </w:r>
      <w:r w:rsidRPr="006E709F">
        <w:t>7.9)</w:t>
      </w:r>
    </w:p>
    <w:p w:rsidR="002C7812" w:rsidRPr="006E709F" w:rsidRDefault="002C7812" w:rsidP="00695CE6">
      <w:pPr>
        <w:pStyle w:val="ActHead2"/>
        <w:pageBreakBefore/>
      </w:pPr>
      <w:bookmarkStart w:id="135" w:name="_Toc160609822"/>
      <w:r w:rsidRPr="000C4237">
        <w:rPr>
          <w:rStyle w:val="CharPartNo"/>
        </w:rPr>
        <w:t>Part</w:t>
      </w:r>
      <w:r w:rsidR="00DA13DE" w:rsidRPr="000C4237">
        <w:rPr>
          <w:rStyle w:val="CharPartNo"/>
        </w:rPr>
        <w:t> </w:t>
      </w:r>
      <w:r w:rsidRPr="000C4237">
        <w:rPr>
          <w:rStyle w:val="CharPartNo"/>
        </w:rPr>
        <w:t>3</w:t>
      </w:r>
      <w:r w:rsidRPr="006E709F">
        <w:t>—</w:t>
      </w:r>
      <w:r w:rsidRPr="000C4237">
        <w:rPr>
          <w:rStyle w:val="CharPartText"/>
        </w:rPr>
        <w:t>Modifications of Part</w:t>
      </w:r>
      <w:r w:rsidR="00DA13DE" w:rsidRPr="000C4237">
        <w:rPr>
          <w:rStyle w:val="CharPartText"/>
        </w:rPr>
        <w:t> </w:t>
      </w:r>
      <w:r w:rsidRPr="000C4237">
        <w:rPr>
          <w:rStyle w:val="CharPartText"/>
        </w:rPr>
        <w:t>7.9 of the Act</w:t>
      </w:r>
      <w:bookmarkEnd w:id="135"/>
    </w:p>
    <w:p w:rsidR="00E07D2E" w:rsidRPr="006E709F" w:rsidRDefault="00E07D2E" w:rsidP="00E07D2E">
      <w:pPr>
        <w:pStyle w:val="Header"/>
      </w:pPr>
      <w:r w:rsidRPr="000C4237">
        <w:rPr>
          <w:rStyle w:val="CharDivNo"/>
        </w:rPr>
        <w:t xml:space="preserve"> </w:t>
      </w:r>
      <w:r w:rsidRPr="000C4237">
        <w:rPr>
          <w:rStyle w:val="CharDivText"/>
        </w:rPr>
        <w:t xml:space="preserve"> </w:t>
      </w:r>
    </w:p>
    <w:p w:rsidR="002C7812" w:rsidRPr="006E709F" w:rsidRDefault="002C7812" w:rsidP="00DB2E9E">
      <w:pPr>
        <w:pStyle w:val="ItemHead"/>
      </w:pPr>
      <w:r w:rsidRPr="006E709F">
        <w:t>3.1  After Division</w:t>
      </w:r>
      <w:r w:rsidR="00DA13DE" w:rsidRPr="006E709F">
        <w:t> </w:t>
      </w:r>
      <w:r w:rsidRPr="006E709F">
        <w:t>3 of Part</w:t>
      </w:r>
      <w:r w:rsidR="00DA13DE" w:rsidRPr="006E709F">
        <w:t> </w:t>
      </w:r>
      <w:r w:rsidRPr="006E709F">
        <w:t>7.9</w:t>
      </w:r>
    </w:p>
    <w:p w:rsidR="002C7812" w:rsidRPr="006E709F" w:rsidRDefault="002C7812" w:rsidP="00DB2E9E">
      <w:pPr>
        <w:pStyle w:val="Item"/>
        <w:keepNext/>
        <w:rPr>
          <w:i/>
        </w:rPr>
      </w:pPr>
      <w:r w:rsidRPr="006E709F">
        <w:rPr>
          <w:i/>
        </w:rPr>
        <w:t>insert</w:t>
      </w:r>
    </w:p>
    <w:p w:rsidR="002C7812" w:rsidRPr="006E709F" w:rsidRDefault="002C7812" w:rsidP="00DB2E9E">
      <w:pPr>
        <w:pStyle w:val="Speciald"/>
      </w:pPr>
      <w:r w:rsidRPr="006E709F">
        <w:t>Division</w:t>
      </w:r>
      <w:r w:rsidR="00DA13DE" w:rsidRPr="006E709F">
        <w:t> </w:t>
      </w:r>
      <w:r w:rsidRPr="006E709F">
        <w:t>3A—Short</w:t>
      </w:r>
      <w:r w:rsidR="000C4237">
        <w:noBreakHyphen/>
      </w:r>
      <w:r w:rsidRPr="006E709F">
        <w:t>Form Product Disclosure Statements</w:t>
      </w:r>
    </w:p>
    <w:p w:rsidR="002C7812" w:rsidRPr="006E709F" w:rsidRDefault="002C7812" w:rsidP="00DB2E9E">
      <w:pPr>
        <w:pStyle w:val="Specials"/>
      </w:pPr>
      <w:r w:rsidRPr="006E709F">
        <w:t>1017H  Short</w:t>
      </w:r>
      <w:r w:rsidR="000C4237">
        <w:noBreakHyphen/>
      </w:r>
      <w:r w:rsidRPr="006E709F">
        <w:t>Form PDS</w:t>
      </w:r>
    </w:p>
    <w:p w:rsidR="002C7812" w:rsidRPr="006E709F" w:rsidRDefault="002C7812" w:rsidP="00DB2E9E">
      <w:pPr>
        <w:pStyle w:val="SubsectionHead"/>
      </w:pPr>
      <w:r w:rsidRPr="006E709F">
        <w:t>Short</w:t>
      </w:r>
      <w:r w:rsidR="000C4237">
        <w:noBreakHyphen/>
      </w:r>
      <w:r w:rsidRPr="006E709F">
        <w:t>Form PDS may be given instead of a Product Disclosure Statement in most cases</w:t>
      </w:r>
    </w:p>
    <w:p w:rsidR="002C7812" w:rsidRPr="006E709F" w:rsidRDefault="002C7812" w:rsidP="00F925D9">
      <w:pPr>
        <w:pStyle w:val="subsection"/>
      </w:pPr>
      <w:r w:rsidRPr="006E709F">
        <w:tab/>
        <w:t>(1)</w:t>
      </w:r>
      <w:r w:rsidRPr="006E709F">
        <w:tab/>
        <w:t xml:space="preserve">If a regulated person is required or obliged by this Act to give a Product Disclosure Statement for a financial product (but see </w:t>
      </w:r>
      <w:r w:rsidR="00DA13DE" w:rsidRPr="006E709F">
        <w:t>subsection (</w:t>
      </w:r>
      <w:r w:rsidRPr="006E709F">
        <w:t>4)) to another person, the regulated person may instead provide a Short</w:t>
      </w:r>
      <w:r w:rsidR="000C4237">
        <w:noBreakHyphen/>
      </w:r>
      <w:r w:rsidRPr="006E709F">
        <w:t>Form PDS for the product.</w:t>
      </w:r>
    </w:p>
    <w:p w:rsidR="002C7812" w:rsidRPr="006E709F" w:rsidRDefault="002C7812" w:rsidP="00DB2E9E">
      <w:pPr>
        <w:pStyle w:val="SubsectionHead"/>
      </w:pPr>
      <w:r w:rsidRPr="006E709F">
        <w:t>Product Disclosure Statement must be given in certain circumstances</w:t>
      </w:r>
    </w:p>
    <w:p w:rsidR="002C7812" w:rsidRPr="006E709F" w:rsidRDefault="002C7812" w:rsidP="00F925D9">
      <w:pPr>
        <w:pStyle w:val="subsection"/>
      </w:pPr>
      <w:r w:rsidRPr="006E709F">
        <w:tab/>
        <w:t>(2)</w:t>
      </w:r>
      <w:r w:rsidRPr="006E709F">
        <w:tab/>
        <w:t>However, if the regulated person is requested by the other person to provide the Product Disclosure Statement the regulated person must provide the Product Disclosure Statement.</w:t>
      </w:r>
    </w:p>
    <w:p w:rsidR="002C7812" w:rsidRPr="006E709F" w:rsidRDefault="002C7812" w:rsidP="00DB2E9E">
      <w:pPr>
        <w:pStyle w:val="SubsectionHead"/>
      </w:pPr>
      <w:r w:rsidRPr="006E709F">
        <w:t>Responsible person</w:t>
      </w:r>
    </w:p>
    <w:p w:rsidR="002C7812" w:rsidRPr="006E709F" w:rsidRDefault="002C7812" w:rsidP="00F925D9">
      <w:pPr>
        <w:pStyle w:val="subsection"/>
      </w:pPr>
      <w:r w:rsidRPr="006E709F">
        <w:tab/>
        <w:t>(3)</w:t>
      </w:r>
      <w:r w:rsidRPr="006E709F">
        <w:tab/>
        <w:t xml:space="preserve">The </w:t>
      </w:r>
      <w:r w:rsidRPr="006E709F">
        <w:rPr>
          <w:b/>
          <w:i/>
        </w:rPr>
        <w:t>responsible person</w:t>
      </w:r>
      <w:r w:rsidRPr="006E709F">
        <w:t xml:space="preserve"> for a Short</w:t>
      </w:r>
      <w:r w:rsidR="000C4237">
        <w:noBreakHyphen/>
      </w:r>
      <w:r w:rsidRPr="006E709F">
        <w:t>Form PDS for a financial product is the person who is the responsible person for the Product Disclosure Statement for the product.</w:t>
      </w:r>
    </w:p>
    <w:p w:rsidR="00333B75" w:rsidRPr="006E709F" w:rsidRDefault="00333B75" w:rsidP="00DB2E9E">
      <w:pPr>
        <w:pStyle w:val="SubsectionHead"/>
      </w:pPr>
      <w:r w:rsidRPr="006E709F">
        <w:t>Short</w:t>
      </w:r>
      <w:r w:rsidR="000C4237">
        <w:noBreakHyphen/>
      </w:r>
      <w:r w:rsidRPr="006E709F">
        <w:t>Form PDS not to be given for certain products</w:t>
      </w:r>
    </w:p>
    <w:p w:rsidR="00333B75" w:rsidRPr="006E709F" w:rsidRDefault="00333B75" w:rsidP="00F925D9">
      <w:pPr>
        <w:pStyle w:val="subsection"/>
      </w:pPr>
      <w:r w:rsidRPr="006E709F">
        <w:tab/>
        <w:t>(4)</w:t>
      </w:r>
      <w:r w:rsidRPr="006E709F">
        <w:tab/>
      </w:r>
      <w:r w:rsidR="00DA13DE" w:rsidRPr="006E709F">
        <w:t>Subsection (</w:t>
      </w:r>
      <w:r w:rsidRPr="006E709F">
        <w:t>1) does not apply in relation to the following:</w:t>
      </w:r>
    </w:p>
    <w:p w:rsidR="00333B75" w:rsidRPr="006E709F" w:rsidRDefault="00333B75" w:rsidP="00F925D9">
      <w:pPr>
        <w:pStyle w:val="paragraph"/>
      </w:pPr>
      <w:r w:rsidRPr="006E709F">
        <w:tab/>
        <w:t>(a)</w:t>
      </w:r>
      <w:r w:rsidRPr="006E709F">
        <w:tab/>
        <w:t>a general insurance product;</w:t>
      </w:r>
    </w:p>
    <w:p w:rsidR="00333B75" w:rsidRPr="006E709F" w:rsidRDefault="00333B75" w:rsidP="00F925D9">
      <w:pPr>
        <w:pStyle w:val="paragraph"/>
      </w:pPr>
      <w:r w:rsidRPr="006E709F">
        <w:tab/>
        <w:t>(b)</w:t>
      </w:r>
      <w:r w:rsidRPr="006E709F">
        <w:tab/>
        <w:t>a managed investment product in relation to an Australian passport fund;</w:t>
      </w:r>
    </w:p>
    <w:p w:rsidR="00761295" w:rsidRPr="006E709F" w:rsidRDefault="00761295" w:rsidP="00761295">
      <w:pPr>
        <w:pStyle w:val="paragraph"/>
        <w:rPr>
          <w:rFonts w:cs="Arial"/>
          <w:bCs/>
          <w:color w:val="000000"/>
          <w:szCs w:val="24"/>
        </w:rPr>
      </w:pPr>
      <w:r w:rsidRPr="006E709F">
        <w:tab/>
        <w:t>(ba)</w:t>
      </w:r>
      <w:r w:rsidRPr="006E709F">
        <w:tab/>
      </w:r>
      <w:r w:rsidRPr="006E709F">
        <w:rPr>
          <w:rFonts w:cs="Arial"/>
          <w:bCs/>
          <w:color w:val="000000"/>
          <w:szCs w:val="24"/>
        </w:rPr>
        <w:t>a security in a retail CCIV that is referable to a sub</w:t>
      </w:r>
      <w:r w:rsidR="000C4237">
        <w:rPr>
          <w:rFonts w:cs="Arial"/>
          <w:bCs/>
          <w:color w:val="000000"/>
          <w:szCs w:val="24"/>
        </w:rPr>
        <w:noBreakHyphen/>
      </w:r>
      <w:r w:rsidRPr="006E709F">
        <w:rPr>
          <w:rFonts w:cs="Arial"/>
          <w:bCs/>
          <w:color w:val="000000"/>
          <w:szCs w:val="24"/>
        </w:rPr>
        <w:t>fund of the CCIV that is an Australian passport fund;</w:t>
      </w:r>
    </w:p>
    <w:p w:rsidR="00333B75" w:rsidRPr="006E709F" w:rsidRDefault="00333B75" w:rsidP="00F925D9">
      <w:pPr>
        <w:pStyle w:val="paragraph"/>
      </w:pPr>
      <w:r w:rsidRPr="006E709F">
        <w:tab/>
        <w:t>(c)</w:t>
      </w:r>
      <w:r w:rsidRPr="006E709F">
        <w:tab/>
        <w:t>a foreign passport fund product.</w:t>
      </w:r>
    </w:p>
    <w:p w:rsidR="00333B75" w:rsidRPr="006E709F" w:rsidRDefault="00333B75" w:rsidP="00F925D9">
      <w:pPr>
        <w:pStyle w:val="subsection"/>
      </w:pPr>
      <w:r w:rsidRPr="006E709F">
        <w:tab/>
        <w:t>(5)</w:t>
      </w:r>
      <w:r w:rsidRPr="006E709F">
        <w:tab/>
        <w:t>To avoid doubt, nothing in Division</w:t>
      </w:r>
      <w:r w:rsidR="00DA13DE" w:rsidRPr="006E709F">
        <w:t> </w:t>
      </w:r>
      <w:r w:rsidRPr="006E709F">
        <w:t>5AB of Part</w:t>
      </w:r>
      <w:r w:rsidR="00DA13DE" w:rsidRPr="006E709F">
        <w:t> </w:t>
      </w:r>
      <w:r w:rsidRPr="006E709F">
        <w:t>7.9 of the regulations or in Part</w:t>
      </w:r>
      <w:r w:rsidR="00DA13DE" w:rsidRPr="006E709F">
        <w:t> </w:t>
      </w:r>
      <w:r w:rsidRPr="006E709F">
        <w:t>3 of Schedule</w:t>
      </w:r>
      <w:r w:rsidR="00DA13DE" w:rsidRPr="006E709F">
        <w:t> </w:t>
      </w:r>
      <w:r w:rsidRPr="006E709F">
        <w:t>10BA to the regulations permits a regulated person to give a Short</w:t>
      </w:r>
      <w:r w:rsidR="000C4237">
        <w:noBreakHyphen/>
      </w:r>
      <w:r w:rsidRPr="006E709F">
        <w:t>Form PDS or a Supplementary Short</w:t>
      </w:r>
      <w:r w:rsidR="000C4237">
        <w:noBreakHyphen/>
      </w:r>
      <w:r w:rsidRPr="006E709F">
        <w:t xml:space="preserve">Form PDS in relation to a financial product mentioned in </w:t>
      </w:r>
      <w:r w:rsidR="00DA13DE" w:rsidRPr="006E709F">
        <w:t>subsection (</w:t>
      </w:r>
      <w:r w:rsidRPr="006E709F">
        <w:t>4).</w:t>
      </w:r>
    </w:p>
    <w:p w:rsidR="002C7812" w:rsidRPr="006E709F" w:rsidRDefault="002C7812" w:rsidP="00DB2E9E">
      <w:pPr>
        <w:pStyle w:val="Specials"/>
      </w:pPr>
      <w:r w:rsidRPr="006E709F">
        <w:t>1017I  Contents of a Short</w:t>
      </w:r>
      <w:r w:rsidR="000C4237">
        <w:noBreakHyphen/>
      </w:r>
      <w:r w:rsidRPr="006E709F">
        <w:t>Form PDS</w:t>
      </w:r>
    </w:p>
    <w:p w:rsidR="002C7812" w:rsidRPr="006E709F" w:rsidRDefault="002C7812" w:rsidP="00DB2E9E">
      <w:pPr>
        <w:pStyle w:val="SubsectionHead"/>
      </w:pPr>
      <w:r w:rsidRPr="006E709F">
        <w:t>Contents</w:t>
      </w:r>
    </w:p>
    <w:p w:rsidR="002C7812" w:rsidRPr="006E709F" w:rsidRDefault="002C7812" w:rsidP="00F925D9">
      <w:pPr>
        <w:pStyle w:val="subsection"/>
      </w:pPr>
      <w:r w:rsidRPr="006E709F">
        <w:tab/>
        <w:t>(1)</w:t>
      </w:r>
      <w:r w:rsidRPr="006E709F">
        <w:tab/>
        <w:t>The Short</w:t>
      </w:r>
      <w:r w:rsidR="000C4237">
        <w:noBreakHyphen/>
      </w:r>
      <w:r w:rsidRPr="006E709F">
        <w:t>Form PDS for a financial product must contain the following:</w:t>
      </w:r>
    </w:p>
    <w:p w:rsidR="002C7812" w:rsidRPr="006E709F" w:rsidRDefault="002C7812" w:rsidP="00F925D9">
      <w:pPr>
        <w:pStyle w:val="paragraph"/>
      </w:pPr>
      <w:r w:rsidRPr="006E709F">
        <w:tab/>
        <w:t>(a)</w:t>
      </w:r>
      <w:r w:rsidRPr="006E709F">
        <w:tab/>
        <w:t>a summary of the statements and information referred to in paragraphs 1013D(1)(a), (b), (c), (d), (e), (g) and (i) that were included in a Product Disclosure Statement for the product;</w:t>
      </w:r>
    </w:p>
    <w:p w:rsidR="002C7812" w:rsidRPr="006E709F" w:rsidRDefault="002C7812" w:rsidP="00F925D9">
      <w:pPr>
        <w:pStyle w:val="paragraph"/>
      </w:pPr>
      <w:r w:rsidRPr="006E709F">
        <w:tab/>
        <w:t>(b)</w:t>
      </w:r>
      <w:r w:rsidRPr="006E709F">
        <w:tab/>
        <w:t>a statement:</w:t>
      </w:r>
    </w:p>
    <w:p w:rsidR="002C7812" w:rsidRPr="006E709F" w:rsidRDefault="002C7812" w:rsidP="00F925D9">
      <w:pPr>
        <w:pStyle w:val="paragraphsub"/>
      </w:pPr>
      <w:r w:rsidRPr="006E709F">
        <w:tab/>
        <w:t>(i)</w:t>
      </w:r>
      <w:r w:rsidRPr="006E709F">
        <w:tab/>
        <w:t>notifying the retail client in relation to the product that the client may ask for the Product Disclosure Statement for the product; and</w:t>
      </w:r>
    </w:p>
    <w:p w:rsidR="002C7812" w:rsidRPr="006E709F" w:rsidRDefault="002C7812" w:rsidP="00F925D9">
      <w:pPr>
        <w:pStyle w:val="paragraphsub"/>
      </w:pPr>
      <w:r w:rsidRPr="006E709F">
        <w:tab/>
        <w:t>(ii)</w:t>
      </w:r>
      <w:r w:rsidRPr="006E709F">
        <w:tab/>
        <w:t>setting out the means by which the client may ask for the Product Disclosure Statement.</w:t>
      </w:r>
    </w:p>
    <w:p w:rsidR="002C7812" w:rsidRPr="006E709F" w:rsidRDefault="002C7812" w:rsidP="00DB2E9E">
      <w:pPr>
        <w:pStyle w:val="SubsectionHead"/>
      </w:pPr>
      <w:r w:rsidRPr="006E709F">
        <w:t>Extra contents for certain products</w:t>
      </w:r>
    </w:p>
    <w:p w:rsidR="002C7812" w:rsidRPr="006E709F" w:rsidRDefault="002C7812" w:rsidP="00F925D9">
      <w:pPr>
        <w:pStyle w:val="subsection"/>
      </w:pPr>
      <w:r w:rsidRPr="006E709F">
        <w:tab/>
        <w:t>(2)</w:t>
      </w:r>
      <w:r w:rsidRPr="006E709F">
        <w:tab/>
        <w:t>If the Short</w:t>
      </w:r>
      <w:r w:rsidR="000C4237">
        <w:noBreakHyphen/>
      </w:r>
      <w:r w:rsidRPr="006E709F">
        <w:t>Form PDS is for a superannuation product</w:t>
      </w:r>
      <w:r w:rsidR="00761295" w:rsidRPr="006E709F">
        <w:t>, managed investment product or a security in a retail CCIV</w:t>
      </w:r>
      <w:r w:rsidRPr="006E709F">
        <w:t xml:space="preserve"> the Short</w:t>
      </w:r>
      <w:r w:rsidR="000C4237">
        <w:noBreakHyphen/>
      </w:r>
      <w:r w:rsidRPr="006E709F">
        <w:t>Form PDS must also set out in full the information in:</w:t>
      </w:r>
    </w:p>
    <w:p w:rsidR="002C7812" w:rsidRPr="006E709F" w:rsidRDefault="002C7812" w:rsidP="00F925D9">
      <w:pPr>
        <w:pStyle w:val="paragraph"/>
      </w:pPr>
      <w:r w:rsidRPr="006E709F">
        <w:tab/>
        <w:t>(a)</w:t>
      </w:r>
      <w:r w:rsidRPr="006E709F">
        <w:tab/>
        <w:t>any regulations made for the purposes of paragraph</w:t>
      </w:r>
      <w:r w:rsidR="00DA13DE" w:rsidRPr="006E709F">
        <w:t> </w:t>
      </w:r>
      <w:r w:rsidRPr="006E709F">
        <w:t>1013D(4)(c) relating to the details of fees and costs; and</w:t>
      </w:r>
    </w:p>
    <w:p w:rsidR="002C7812" w:rsidRPr="006E709F" w:rsidRDefault="002C7812" w:rsidP="00F925D9">
      <w:pPr>
        <w:pStyle w:val="paragraph"/>
      </w:pPr>
      <w:r w:rsidRPr="006E709F">
        <w:tab/>
        <w:t>(b)</w:t>
      </w:r>
      <w:r w:rsidRPr="006E709F">
        <w:tab/>
        <w:t>any regulations made for the purposes of paragraph</w:t>
      </w:r>
      <w:r w:rsidR="00DA13DE" w:rsidRPr="006E709F">
        <w:t> </w:t>
      </w:r>
      <w:r w:rsidRPr="006E709F">
        <w:t>1015C(5)(b) that relate to the presentation, structure and format of information required by paragraphs 1013D(1)(d) and (e).</w:t>
      </w:r>
    </w:p>
    <w:p w:rsidR="002C7812" w:rsidRPr="006E709F" w:rsidRDefault="002C7812" w:rsidP="00DB2E9E">
      <w:pPr>
        <w:pStyle w:val="SubsectionHead"/>
      </w:pPr>
      <w:r w:rsidRPr="006E709F">
        <w:t>Other information may be included in Short</w:t>
      </w:r>
      <w:r w:rsidR="000C4237">
        <w:noBreakHyphen/>
      </w:r>
      <w:r w:rsidRPr="006E709F">
        <w:t>Form PDS</w:t>
      </w:r>
    </w:p>
    <w:p w:rsidR="002C7812" w:rsidRPr="006E709F" w:rsidRDefault="002C7812" w:rsidP="00F925D9">
      <w:pPr>
        <w:pStyle w:val="subsection"/>
      </w:pPr>
      <w:r w:rsidRPr="006E709F">
        <w:tab/>
        <w:t>(3)</w:t>
      </w:r>
      <w:r w:rsidRPr="006E709F">
        <w:tab/>
        <w:t>The Short</w:t>
      </w:r>
      <w:r w:rsidR="000C4237">
        <w:noBreakHyphen/>
      </w:r>
      <w:r w:rsidRPr="006E709F">
        <w:t>Form PDS may also:</w:t>
      </w:r>
    </w:p>
    <w:p w:rsidR="002C7812" w:rsidRPr="006E709F" w:rsidRDefault="002C7812" w:rsidP="00F925D9">
      <w:pPr>
        <w:pStyle w:val="paragraph"/>
      </w:pPr>
      <w:r w:rsidRPr="006E709F">
        <w:tab/>
        <w:t>(a)</w:t>
      </w:r>
      <w:r w:rsidRPr="006E709F">
        <w:tab/>
        <w:t>include other information; and</w:t>
      </w:r>
    </w:p>
    <w:p w:rsidR="002C7812" w:rsidRPr="006E709F" w:rsidRDefault="002C7812" w:rsidP="00F925D9">
      <w:pPr>
        <w:pStyle w:val="paragraph"/>
      </w:pPr>
      <w:r w:rsidRPr="006E709F">
        <w:tab/>
        <w:t>(b)</w:t>
      </w:r>
      <w:r w:rsidRPr="006E709F">
        <w:tab/>
        <w:t>refer to other information that is set out in the Product Disclosure Statement or Financial Services Guide for the product.</w:t>
      </w:r>
    </w:p>
    <w:p w:rsidR="002C7812" w:rsidRPr="006E709F" w:rsidRDefault="002C7812" w:rsidP="00DB2E9E">
      <w:pPr>
        <w:pStyle w:val="SubsectionHead"/>
      </w:pPr>
      <w:r w:rsidRPr="006E709F">
        <w:t>Reference to identify incorporated information</w:t>
      </w:r>
    </w:p>
    <w:p w:rsidR="002C7812" w:rsidRPr="006E709F" w:rsidRDefault="002C7812" w:rsidP="00F925D9">
      <w:pPr>
        <w:pStyle w:val="subsection"/>
      </w:pPr>
      <w:r w:rsidRPr="006E709F">
        <w:tab/>
        <w:t>(4)</w:t>
      </w:r>
      <w:r w:rsidRPr="006E709F">
        <w:tab/>
        <w:t xml:space="preserve">If under </w:t>
      </w:r>
      <w:r w:rsidR="00DA13DE" w:rsidRPr="006E709F">
        <w:t>paragraph (</w:t>
      </w:r>
      <w:r w:rsidRPr="006E709F">
        <w:t>3)(b) information is referred to in the Short</w:t>
      </w:r>
      <w:r w:rsidR="000C4237">
        <w:noBreakHyphen/>
      </w:r>
      <w:r w:rsidRPr="006E709F">
        <w:t>Form PDS, the reference must identify the document or the part of the document that contains the information.</w:t>
      </w:r>
    </w:p>
    <w:p w:rsidR="002C7812" w:rsidRPr="006E709F" w:rsidRDefault="002C7812" w:rsidP="00DB2E9E">
      <w:pPr>
        <w:pStyle w:val="SubsectionHead"/>
      </w:pPr>
      <w:r w:rsidRPr="006E709F">
        <w:t>Incorporated document forms part of Short</w:t>
      </w:r>
      <w:r w:rsidR="000C4237">
        <w:noBreakHyphen/>
      </w:r>
      <w:r w:rsidRPr="006E709F">
        <w:t>Form PDS</w:t>
      </w:r>
    </w:p>
    <w:p w:rsidR="002C7812" w:rsidRPr="006E709F" w:rsidRDefault="002C7812" w:rsidP="00F925D9">
      <w:pPr>
        <w:pStyle w:val="subsection"/>
      </w:pPr>
      <w:r w:rsidRPr="006E709F">
        <w:tab/>
        <w:t>(5)</w:t>
      </w:r>
      <w:r w:rsidRPr="006E709F">
        <w:tab/>
        <w:t xml:space="preserve">The document or part referred to in </w:t>
      </w:r>
      <w:r w:rsidR="00DA13DE" w:rsidRPr="006E709F">
        <w:t>subsection (</w:t>
      </w:r>
      <w:r w:rsidRPr="006E709F">
        <w:t>4) is taken to be included in the Short</w:t>
      </w:r>
      <w:r w:rsidR="000C4237">
        <w:noBreakHyphen/>
      </w:r>
      <w:r w:rsidRPr="006E709F">
        <w:t>Form PDS.</w:t>
      </w:r>
    </w:p>
    <w:p w:rsidR="002C7812" w:rsidRPr="006E709F" w:rsidRDefault="002C7812" w:rsidP="00DB2E9E">
      <w:pPr>
        <w:pStyle w:val="SubsectionHead"/>
      </w:pPr>
      <w:r w:rsidRPr="006E709F">
        <w:t>Rule as to statements in a Short</w:t>
      </w:r>
      <w:r w:rsidR="000C4237">
        <w:noBreakHyphen/>
      </w:r>
      <w:r w:rsidRPr="006E709F">
        <w:t>Form PDS</w:t>
      </w:r>
    </w:p>
    <w:p w:rsidR="002C7812" w:rsidRPr="006E709F" w:rsidRDefault="002C7812" w:rsidP="00F925D9">
      <w:pPr>
        <w:pStyle w:val="subsection"/>
      </w:pPr>
      <w:r w:rsidRPr="006E709F">
        <w:tab/>
        <w:t>(6)</w:t>
      </w:r>
      <w:r w:rsidRPr="006E709F">
        <w:tab/>
        <w:t>If a Product Disclosure Statement for a financial product may include a statement made by a person (see section</w:t>
      </w:r>
      <w:r w:rsidR="00DA13DE" w:rsidRPr="006E709F">
        <w:t> </w:t>
      </w:r>
      <w:r w:rsidRPr="006E709F">
        <w:t>1013K), the statement may also be included in the Short</w:t>
      </w:r>
      <w:r w:rsidR="000C4237">
        <w:noBreakHyphen/>
      </w:r>
      <w:r w:rsidRPr="006E709F">
        <w:t>Form PDS for the product.</w:t>
      </w:r>
    </w:p>
    <w:p w:rsidR="002C7812" w:rsidRPr="006E709F" w:rsidRDefault="002C7812" w:rsidP="00DB2E9E">
      <w:pPr>
        <w:pStyle w:val="Specials"/>
      </w:pPr>
      <w:r w:rsidRPr="006E709F">
        <w:t>1017J  Title of Short</w:t>
      </w:r>
      <w:r w:rsidR="000C4237">
        <w:noBreakHyphen/>
      </w:r>
      <w:r w:rsidRPr="006E709F">
        <w:t>Form Product Disclosure Statement</w:t>
      </w:r>
    </w:p>
    <w:p w:rsidR="002C7812" w:rsidRPr="006E709F" w:rsidRDefault="002C7812" w:rsidP="00F925D9">
      <w:pPr>
        <w:pStyle w:val="subsection"/>
      </w:pPr>
      <w:r w:rsidRPr="006E709F">
        <w:tab/>
        <w:t>(1)</w:t>
      </w:r>
      <w:r w:rsidRPr="006E709F">
        <w:tab/>
        <w:t>The title “Short</w:t>
      </w:r>
      <w:r w:rsidR="000C4237">
        <w:noBreakHyphen/>
      </w:r>
      <w:r w:rsidRPr="006E709F">
        <w:t>Form Product Disclosure Statement” must be used on the cover of, or at or near the front of, a Short</w:t>
      </w:r>
      <w:r w:rsidR="000C4237">
        <w:noBreakHyphen/>
      </w:r>
      <w:r w:rsidRPr="006E709F">
        <w:t>Form PDS.</w:t>
      </w:r>
    </w:p>
    <w:p w:rsidR="002C7812" w:rsidRPr="006E709F" w:rsidRDefault="002C7812" w:rsidP="00F925D9">
      <w:pPr>
        <w:pStyle w:val="subsection"/>
      </w:pPr>
      <w:r w:rsidRPr="006E709F">
        <w:tab/>
        <w:t>(2)</w:t>
      </w:r>
      <w:r w:rsidRPr="006E709F">
        <w:tab/>
        <w:t>In any other part of a Short</w:t>
      </w:r>
      <w:r w:rsidR="000C4237">
        <w:noBreakHyphen/>
      </w:r>
      <w:r w:rsidRPr="006E709F">
        <w:t>Form PDS, “Short</w:t>
      </w:r>
      <w:r w:rsidR="000C4237">
        <w:noBreakHyphen/>
      </w:r>
      <w:r w:rsidRPr="006E709F">
        <w:t>Form Product Disclosure Statement” may be abbreviated to “Short</w:t>
      </w:r>
      <w:r w:rsidR="000C4237">
        <w:noBreakHyphen/>
      </w:r>
      <w:r w:rsidRPr="006E709F">
        <w:t>Form PDS”.</w:t>
      </w:r>
    </w:p>
    <w:p w:rsidR="002C7812" w:rsidRPr="006E709F" w:rsidRDefault="002C7812" w:rsidP="00DB2E9E">
      <w:pPr>
        <w:pStyle w:val="Specials"/>
      </w:pPr>
      <w:r w:rsidRPr="006E709F">
        <w:t>1017K  References in sections to Product Disclosure Statement to include references to Short</w:t>
      </w:r>
      <w:r w:rsidR="000C4237">
        <w:noBreakHyphen/>
      </w:r>
      <w:r w:rsidRPr="006E709F">
        <w:t>Form PDS</w:t>
      </w:r>
    </w:p>
    <w:p w:rsidR="002C7812" w:rsidRPr="006E709F" w:rsidRDefault="002C7812" w:rsidP="00F925D9">
      <w:pPr>
        <w:pStyle w:val="subsection"/>
      </w:pPr>
      <w:r w:rsidRPr="006E709F">
        <w:tab/>
      </w:r>
      <w:r w:rsidRPr="006E709F">
        <w:tab/>
        <w:t>The following provisions apply to a Short</w:t>
      </w:r>
      <w:r w:rsidR="000C4237">
        <w:noBreakHyphen/>
      </w:r>
      <w:r w:rsidRPr="006E709F">
        <w:t>Form PDS and so apply as if a reference to a Product Disclosure Statement in the provisions included a reference to a Short</w:t>
      </w:r>
      <w:r w:rsidR="000C4237">
        <w:noBreakHyphen/>
      </w:r>
      <w:r w:rsidRPr="006E709F">
        <w:t>Form PDS:</w:t>
      </w:r>
    </w:p>
    <w:p w:rsidR="002C7812" w:rsidRPr="006E709F" w:rsidRDefault="002C7812" w:rsidP="00F925D9">
      <w:pPr>
        <w:pStyle w:val="paragraph"/>
      </w:pPr>
      <w:r w:rsidRPr="006E709F">
        <w:tab/>
        <w:t>(a)</w:t>
      </w:r>
      <w:r w:rsidRPr="006E709F">
        <w:tab/>
        <w:t>sections</w:t>
      </w:r>
      <w:r w:rsidR="00DA13DE" w:rsidRPr="006E709F">
        <w:t> </w:t>
      </w:r>
      <w:r w:rsidRPr="006E709F">
        <w:t>942DA, 947E, 1012F, 1012G, 1012H, 1012J, 1013A, 1013G, 1013H, 1013I, 1013L 1013M, 1016A, 1016B, 1016C, 1016D, 1016E and 1017A and subsections</w:t>
      </w:r>
      <w:r w:rsidR="00DA13DE" w:rsidRPr="006E709F">
        <w:t> </w:t>
      </w:r>
      <w:r w:rsidRPr="006E709F">
        <w:t>1013C(3) and 1013C(4) to (7);</w:t>
      </w:r>
    </w:p>
    <w:p w:rsidR="002C7812" w:rsidRPr="006E709F" w:rsidRDefault="002C7812" w:rsidP="00F925D9">
      <w:pPr>
        <w:pStyle w:val="paragraph"/>
      </w:pPr>
      <w:r w:rsidRPr="006E709F">
        <w:tab/>
        <w:t>(b)</w:t>
      </w:r>
      <w:r w:rsidRPr="006E709F">
        <w:tab/>
        <w:t>any regulations made under those sections or subsections;</w:t>
      </w:r>
    </w:p>
    <w:p w:rsidR="002C7812" w:rsidRPr="006E709F" w:rsidRDefault="002C7812" w:rsidP="00F925D9">
      <w:pPr>
        <w:pStyle w:val="paragraph"/>
      </w:pPr>
      <w:r w:rsidRPr="006E709F">
        <w:tab/>
        <w:t>(c)</w:t>
      </w:r>
      <w:r w:rsidRPr="006E709F">
        <w:tab/>
        <w:t>any regulations that modify those sections or subsections.</w:t>
      </w:r>
    </w:p>
    <w:p w:rsidR="002C7812" w:rsidRPr="006E709F" w:rsidRDefault="002C7812" w:rsidP="00DB2E9E">
      <w:pPr>
        <w:pStyle w:val="Speciald"/>
      </w:pPr>
      <w:r w:rsidRPr="006E709F">
        <w:t>Division</w:t>
      </w:r>
      <w:r w:rsidR="00DA13DE" w:rsidRPr="006E709F">
        <w:t> </w:t>
      </w:r>
      <w:r w:rsidRPr="006E709F">
        <w:t>3B—Supplementary Short</w:t>
      </w:r>
      <w:r w:rsidR="000C4237">
        <w:noBreakHyphen/>
      </w:r>
      <w:r w:rsidRPr="006E709F">
        <w:t>Form Product Disclosure Statements</w:t>
      </w:r>
    </w:p>
    <w:p w:rsidR="002C7812" w:rsidRPr="006E709F" w:rsidRDefault="002C7812" w:rsidP="00DB2E9E">
      <w:pPr>
        <w:pStyle w:val="Specials"/>
      </w:pPr>
      <w:r w:rsidRPr="006E709F">
        <w:t>1017L  What a Supplementary Short</w:t>
      </w:r>
      <w:r w:rsidR="000C4237">
        <w:noBreakHyphen/>
      </w:r>
      <w:r w:rsidRPr="006E709F">
        <w:t>Form Product Disclosure Statement is</w:t>
      </w:r>
    </w:p>
    <w:p w:rsidR="002C7812" w:rsidRPr="006E709F" w:rsidRDefault="002C7812" w:rsidP="00F925D9">
      <w:pPr>
        <w:pStyle w:val="subsection"/>
      </w:pPr>
      <w:r w:rsidRPr="006E709F">
        <w:tab/>
      </w:r>
      <w:r w:rsidRPr="006E709F">
        <w:tab/>
        <w:t xml:space="preserve">A </w:t>
      </w:r>
      <w:r w:rsidRPr="006E709F">
        <w:rPr>
          <w:b/>
          <w:i/>
          <w:iCs/>
        </w:rPr>
        <w:t>Supplementary Short</w:t>
      </w:r>
      <w:r w:rsidR="000C4237">
        <w:rPr>
          <w:b/>
          <w:i/>
          <w:iCs/>
        </w:rPr>
        <w:noBreakHyphen/>
      </w:r>
      <w:r w:rsidRPr="006E709F">
        <w:rPr>
          <w:b/>
          <w:i/>
          <w:iCs/>
        </w:rPr>
        <w:t>Form PDS</w:t>
      </w:r>
      <w:r w:rsidRPr="006E709F">
        <w:rPr>
          <w:b/>
          <w:iCs/>
        </w:rPr>
        <w:t xml:space="preserve"> </w:t>
      </w:r>
      <w:r w:rsidRPr="006E709F">
        <w:t>is a document by which a person who has prepared a Short</w:t>
      </w:r>
      <w:r w:rsidR="000C4237">
        <w:noBreakHyphen/>
      </w:r>
      <w:r w:rsidRPr="006E709F">
        <w:t>Form PDS can:</w:t>
      </w:r>
    </w:p>
    <w:p w:rsidR="002C7812" w:rsidRPr="006E709F" w:rsidRDefault="002C7812" w:rsidP="00F925D9">
      <w:pPr>
        <w:pStyle w:val="paragraph"/>
      </w:pPr>
      <w:r w:rsidRPr="006E709F">
        <w:tab/>
        <w:t>(a)</w:t>
      </w:r>
      <w:r w:rsidRPr="006E709F">
        <w:tab/>
        <w:t>correct a misleading or deceptive statement in the Short</w:t>
      </w:r>
      <w:r w:rsidR="000C4237">
        <w:noBreakHyphen/>
      </w:r>
      <w:r w:rsidRPr="006E709F">
        <w:t>Form PDS; or</w:t>
      </w:r>
    </w:p>
    <w:p w:rsidR="002C7812" w:rsidRPr="006E709F" w:rsidRDefault="002C7812" w:rsidP="00F925D9">
      <w:pPr>
        <w:pStyle w:val="paragraph"/>
      </w:pPr>
      <w:r w:rsidRPr="006E709F">
        <w:tab/>
        <w:t>(b)</w:t>
      </w:r>
      <w:r w:rsidRPr="006E709F">
        <w:tab/>
        <w:t>correct an omission from the Short</w:t>
      </w:r>
      <w:r w:rsidR="000C4237">
        <w:noBreakHyphen/>
      </w:r>
      <w:r w:rsidRPr="006E709F">
        <w:t>Form PDS of information it is required to contain; or</w:t>
      </w:r>
    </w:p>
    <w:p w:rsidR="002C7812" w:rsidRPr="006E709F" w:rsidRDefault="002C7812" w:rsidP="00F925D9">
      <w:pPr>
        <w:pStyle w:val="paragraph"/>
      </w:pPr>
      <w:r w:rsidRPr="006E709F">
        <w:tab/>
        <w:t>(c)</w:t>
      </w:r>
      <w:r w:rsidRPr="006E709F">
        <w:tab/>
        <w:t>update, or add to, the information contained in the Short</w:t>
      </w:r>
      <w:r w:rsidR="000C4237">
        <w:noBreakHyphen/>
      </w:r>
      <w:r w:rsidRPr="006E709F">
        <w:t>Form PDS; or</w:t>
      </w:r>
    </w:p>
    <w:p w:rsidR="002C7812" w:rsidRPr="006E709F" w:rsidRDefault="002C7812" w:rsidP="00F925D9">
      <w:pPr>
        <w:pStyle w:val="paragraph"/>
      </w:pPr>
      <w:r w:rsidRPr="006E709F">
        <w:tab/>
        <w:t>(d)</w:t>
      </w:r>
      <w:r w:rsidRPr="006E709F">
        <w:tab/>
        <w:t>change a statement of a kind referred to in paragraph</w:t>
      </w:r>
      <w:r w:rsidR="00DA13DE" w:rsidRPr="006E709F">
        <w:t> </w:t>
      </w:r>
      <w:r w:rsidRPr="006E709F">
        <w:t>1016E(1)(a) or (b) (as applied by section</w:t>
      </w:r>
      <w:r w:rsidR="00DA13DE" w:rsidRPr="006E709F">
        <w:t> </w:t>
      </w:r>
      <w:r w:rsidRPr="006E709F">
        <w:t>1017K).</w:t>
      </w:r>
    </w:p>
    <w:p w:rsidR="002C7812" w:rsidRPr="006E709F" w:rsidRDefault="002C7812" w:rsidP="00DB2E9E">
      <w:pPr>
        <w:pStyle w:val="Specials"/>
      </w:pPr>
      <w:r w:rsidRPr="006E709F">
        <w:t>1017M  Title of Supplementary Short</w:t>
      </w:r>
      <w:r w:rsidR="000C4237">
        <w:noBreakHyphen/>
      </w:r>
      <w:r w:rsidRPr="006E709F">
        <w:t>Form Product Disclosure Statement</w:t>
      </w:r>
    </w:p>
    <w:p w:rsidR="002C7812" w:rsidRPr="006E709F" w:rsidRDefault="002C7812" w:rsidP="00F925D9">
      <w:pPr>
        <w:pStyle w:val="subsection"/>
      </w:pPr>
      <w:r w:rsidRPr="006E709F">
        <w:tab/>
        <w:t>(1)</w:t>
      </w:r>
      <w:r w:rsidRPr="006E709F">
        <w:tab/>
        <w:t>The title “Supplementary Short</w:t>
      </w:r>
      <w:r w:rsidR="000C4237">
        <w:noBreakHyphen/>
      </w:r>
      <w:r w:rsidRPr="006E709F">
        <w:t>Form Product Disclosure Statement” must be used on the cover of, or at or near the front of, a Supplementary Short</w:t>
      </w:r>
      <w:r w:rsidR="000C4237">
        <w:noBreakHyphen/>
      </w:r>
      <w:r w:rsidRPr="006E709F">
        <w:t>Form PDS.</w:t>
      </w:r>
    </w:p>
    <w:p w:rsidR="002C7812" w:rsidRPr="006E709F" w:rsidRDefault="002C7812" w:rsidP="00F925D9">
      <w:pPr>
        <w:pStyle w:val="subsection"/>
      </w:pPr>
      <w:r w:rsidRPr="006E709F">
        <w:tab/>
        <w:t>(2)</w:t>
      </w:r>
      <w:r w:rsidRPr="006E709F">
        <w:tab/>
        <w:t>In any other part of a Supplementary Short</w:t>
      </w:r>
      <w:r w:rsidR="000C4237">
        <w:noBreakHyphen/>
      </w:r>
      <w:r w:rsidRPr="006E709F">
        <w:t>Form PDS, “Supplementary Short</w:t>
      </w:r>
      <w:r w:rsidR="000C4237">
        <w:noBreakHyphen/>
      </w:r>
      <w:r w:rsidRPr="006E709F">
        <w:t>Form Product Disclosure Statement” may be abbreviated to “Supplementary Short</w:t>
      </w:r>
      <w:r w:rsidR="000C4237">
        <w:noBreakHyphen/>
      </w:r>
      <w:r w:rsidRPr="006E709F">
        <w:t>Form PDS”.</w:t>
      </w:r>
    </w:p>
    <w:p w:rsidR="002C7812" w:rsidRPr="006E709F" w:rsidRDefault="002C7812" w:rsidP="00DB2E9E">
      <w:pPr>
        <w:pStyle w:val="Specials"/>
      </w:pPr>
      <w:r w:rsidRPr="006E709F">
        <w:t>1017N  Form of Supplementary Short</w:t>
      </w:r>
      <w:r w:rsidR="000C4237">
        <w:noBreakHyphen/>
      </w:r>
      <w:r w:rsidRPr="006E709F">
        <w:t>Form Product Disclosure Statement</w:t>
      </w:r>
    </w:p>
    <w:p w:rsidR="002C7812" w:rsidRPr="006E709F" w:rsidRDefault="002C7812" w:rsidP="00F925D9">
      <w:pPr>
        <w:pStyle w:val="subsection"/>
      </w:pPr>
      <w:r w:rsidRPr="006E709F">
        <w:tab/>
      </w:r>
      <w:r w:rsidRPr="006E709F">
        <w:tab/>
        <w:t>At the beginning of a Supplementary Short</w:t>
      </w:r>
      <w:r w:rsidR="000C4237">
        <w:noBreakHyphen/>
      </w:r>
      <w:r w:rsidRPr="006E709F">
        <w:t>Form PDS there must be:</w:t>
      </w:r>
    </w:p>
    <w:p w:rsidR="002C7812" w:rsidRPr="006E709F" w:rsidRDefault="002C7812" w:rsidP="00F925D9">
      <w:pPr>
        <w:pStyle w:val="paragraph"/>
      </w:pPr>
      <w:r w:rsidRPr="006E709F">
        <w:tab/>
        <w:t>(a)</w:t>
      </w:r>
      <w:r w:rsidRPr="006E709F">
        <w:tab/>
        <w:t>a statement that it is a Supplementary Short</w:t>
      </w:r>
      <w:r w:rsidR="000C4237">
        <w:noBreakHyphen/>
      </w:r>
      <w:r w:rsidRPr="006E709F">
        <w:t>Form PDS; and</w:t>
      </w:r>
    </w:p>
    <w:p w:rsidR="002C7812" w:rsidRPr="006E709F" w:rsidRDefault="002C7812" w:rsidP="00F925D9">
      <w:pPr>
        <w:pStyle w:val="paragraph"/>
      </w:pPr>
      <w:r w:rsidRPr="006E709F">
        <w:tab/>
        <w:t>(b)</w:t>
      </w:r>
      <w:r w:rsidRPr="006E709F">
        <w:tab/>
        <w:t>an identification of the Short</w:t>
      </w:r>
      <w:r w:rsidR="000C4237">
        <w:noBreakHyphen/>
      </w:r>
      <w:r w:rsidRPr="006E709F">
        <w:t>Form PDS that it supplements; and</w:t>
      </w:r>
    </w:p>
    <w:p w:rsidR="002C7812" w:rsidRPr="006E709F" w:rsidRDefault="002C7812" w:rsidP="00F925D9">
      <w:pPr>
        <w:pStyle w:val="paragraph"/>
      </w:pPr>
      <w:r w:rsidRPr="006E709F">
        <w:tab/>
        <w:t>(c)</w:t>
      </w:r>
      <w:r w:rsidRPr="006E709F">
        <w:tab/>
        <w:t>a statement that it is to be read together with that Short</w:t>
      </w:r>
      <w:r w:rsidR="000C4237">
        <w:noBreakHyphen/>
      </w:r>
      <w:r w:rsidRPr="006E709F">
        <w:t>Form PDS and any other specified Supplementary Short</w:t>
      </w:r>
      <w:r w:rsidR="000C4237">
        <w:noBreakHyphen/>
      </w:r>
      <w:r w:rsidRPr="006E709F">
        <w:t>Form PDS.</w:t>
      </w:r>
    </w:p>
    <w:p w:rsidR="002C7812" w:rsidRPr="006E709F" w:rsidRDefault="002C7812" w:rsidP="00DB2E9E">
      <w:pPr>
        <w:pStyle w:val="Specials"/>
      </w:pPr>
      <w:r w:rsidRPr="006E709F">
        <w:t>1017O  Effect of giving person a Supplementary Short</w:t>
      </w:r>
      <w:r w:rsidR="000C4237">
        <w:noBreakHyphen/>
      </w:r>
      <w:r w:rsidRPr="006E709F">
        <w:t>Form Product Disclosure Statement</w:t>
      </w:r>
    </w:p>
    <w:p w:rsidR="002C7812" w:rsidRPr="006E709F" w:rsidRDefault="002C7812" w:rsidP="00F925D9">
      <w:pPr>
        <w:pStyle w:val="subsection"/>
      </w:pPr>
      <w:r w:rsidRPr="006E709F">
        <w:tab/>
      </w:r>
      <w:r w:rsidRPr="006E709F">
        <w:tab/>
        <w:t>If:</w:t>
      </w:r>
    </w:p>
    <w:p w:rsidR="002C7812" w:rsidRPr="006E709F" w:rsidRDefault="002C7812" w:rsidP="00F925D9">
      <w:pPr>
        <w:pStyle w:val="paragraph"/>
      </w:pPr>
      <w:r w:rsidRPr="006E709F">
        <w:tab/>
        <w:t>(a)</w:t>
      </w:r>
      <w:r w:rsidRPr="006E709F">
        <w:tab/>
        <w:t>a person is given a Short</w:t>
      </w:r>
      <w:r w:rsidR="000C4237">
        <w:noBreakHyphen/>
      </w:r>
      <w:r w:rsidRPr="006E709F">
        <w:t>Form PDS; and</w:t>
      </w:r>
    </w:p>
    <w:p w:rsidR="002C7812" w:rsidRPr="006E709F" w:rsidRDefault="002C7812" w:rsidP="00F925D9">
      <w:pPr>
        <w:pStyle w:val="paragraph"/>
      </w:pPr>
      <w:r w:rsidRPr="006E709F">
        <w:tab/>
        <w:t>(b)</w:t>
      </w:r>
      <w:r w:rsidRPr="006E709F">
        <w:tab/>
        <w:t>at the same time, or later, they are given a Supplementary Short</w:t>
      </w:r>
      <w:r w:rsidR="000C4237">
        <w:noBreakHyphen/>
      </w:r>
      <w:r w:rsidRPr="006E709F">
        <w:t>Form PDS that supplements the Short</w:t>
      </w:r>
      <w:r w:rsidR="000C4237">
        <w:noBreakHyphen/>
      </w:r>
      <w:r w:rsidRPr="006E709F">
        <w:t>Form PDS;</w:t>
      </w:r>
    </w:p>
    <w:p w:rsidR="002C7812" w:rsidRPr="006E709F" w:rsidRDefault="002C7812" w:rsidP="00F925D9">
      <w:pPr>
        <w:pStyle w:val="subsection2"/>
      </w:pPr>
      <w:r w:rsidRPr="006E709F">
        <w:t>the Short</w:t>
      </w:r>
      <w:r w:rsidR="000C4237">
        <w:noBreakHyphen/>
      </w:r>
      <w:r w:rsidRPr="006E709F">
        <w:t>Form PDS is taken, from when the Supplementary Short</w:t>
      </w:r>
      <w:r w:rsidR="000C4237">
        <w:noBreakHyphen/>
      </w:r>
      <w:r w:rsidRPr="006E709F">
        <w:t>Form PDS is given to the person, to include the information and statements contained in the Supplementary Short</w:t>
      </w:r>
      <w:r w:rsidR="000C4237">
        <w:noBreakHyphen/>
      </w:r>
      <w:r w:rsidRPr="006E709F">
        <w:t>Form PDS.</w:t>
      </w:r>
    </w:p>
    <w:p w:rsidR="002C7812" w:rsidRPr="006E709F" w:rsidRDefault="002C7812" w:rsidP="00695CE6">
      <w:pPr>
        <w:pStyle w:val="Specials"/>
      </w:pPr>
      <w:r w:rsidRPr="006E709F">
        <w:t>1017P  Situation in which only a Supplementary Short</w:t>
      </w:r>
      <w:r w:rsidR="000C4237">
        <w:noBreakHyphen/>
      </w:r>
      <w:r w:rsidRPr="006E709F">
        <w:t>Form Product Disclosure Statement need be given</w:t>
      </w:r>
    </w:p>
    <w:p w:rsidR="002C7812" w:rsidRPr="006E709F" w:rsidRDefault="002C7812" w:rsidP="002C7812">
      <w:pPr>
        <w:pStyle w:val="subsection"/>
      </w:pPr>
      <w:r w:rsidRPr="006E709F">
        <w:tab/>
      </w:r>
      <w:r w:rsidRPr="006E709F">
        <w:tab/>
        <w:t>If:</w:t>
      </w:r>
    </w:p>
    <w:p w:rsidR="002C7812" w:rsidRPr="006E709F" w:rsidRDefault="002C7812" w:rsidP="002C7812">
      <w:pPr>
        <w:pStyle w:val="paragraph"/>
      </w:pPr>
      <w:r w:rsidRPr="006E709F">
        <w:tab/>
        <w:t>(a)</w:t>
      </w:r>
      <w:r w:rsidRPr="006E709F">
        <w:tab/>
        <w:t xml:space="preserve">apart from this section, a person would be required to give another person (the </w:t>
      </w:r>
      <w:r w:rsidRPr="006E709F">
        <w:rPr>
          <w:b/>
          <w:i/>
          <w:iCs/>
        </w:rPr>
        <w:t>client</w:t>
      </w:r>
      <w:r w:rsidRPr="006E709F">
        <w:t xml:space="preserve">) a Product Disclosure Statement (the </w:t>
      </w:r>
      <w:r w:rsidRPr="006E709F">
        <w:rPr>
          <w:b/>
          <w:i/>
          <w:iCs/>
        </w:rPr>
        <w:t>new PDS</w:t>
      </w:r>
      <w:r w:rsidRPr="006E709F">
        <w:t>) relating to a financial product; and</w:t>
      </w:r>
    </w:p>
    <w:p w:rsidR="002C7812" w:rsidRPr="006E709F" w:rsidRDefault="002C7812" w:rsidP="002C7812">
      <w:pPr>
        <w:pStyle w:val="paragraph"/>
      </w:pPr>
      <w:r w:rsidRPr="006E709F">
        <w:tab/>
        <w:t>(b)</w:t>
      </w:r>
      <w:r w:rsidRPr="006E709F">
        <w:tab/>
        <w:t>the client has, because of some previous conduct, already received a Short</w:t>
      </w:r>
      <w:r w:rsidR="000C4237">
        <w:noBreakHyphen/>
      </w:r>
      <w:r w:rsidRPr="006E709F">
        <w:t xml:space="preserve">Form PDS (the </w:t>
      </w:r>
      <w:r w:rsidRPr="006E709F">
        <w:rPr>
          <w:b/>
          <w:i/>
          <w:iCs/>
        </w:rPr>
        <w:t>earlier Short</w:t>
      </w:r>
      <w:r w:rsidR="000C4237">
        <w:rPr>
          <w:b/>
          <w:i/>
          <w:iCs/>
        </w:rPr>
        <w:noBreakHyphen/>
      </w:r>
      <w:r w:rsidRPr="006E709F">
        <w:rPr>
          <w:b/>
          <w:i/>
          <w:iCs/>
        </w:rPr>
        <w:t>Form PDS</w:t>
      </w:r>
      <w:r w:rsidRPr="006E709F">
        <w:t>) relating to the financial product; and</w:t>
      </w:r>
    </w:p>
    <w:p w:rsidR="002C7812" w:rsidRPr="006E709F" w:rsidRDefault="002C7812" w:rsidP="002C7812">
      <w:pPr>
        <w:pStyle w:val="paragraph"/>
      </w:pPr>
      <w:r w:rsidRPr="006E709F">
        <w:tab/>
        <w:t>(c)</w:t>
      </w:r>
      <w:r w:rsidRPr="006E709F">
        <w:tab/>
        <w:t xml:space="preserve">the earlier </w:t>
      </w:r>
      <w:r w:rsidRPr="006E709F">
        <w:rPr>
          <w:iCs/>
        </w:rPr>
        <w:t>Short</w:t>
      </w:r>
      <w:r w:rsidR="000C4237">
        <w:rPr>
          <w:iCs/>
        </w:rPr>
        <w:noBreakHyphen/>
      </w:r>
      <w:r w:rsidRPr="006E709F">
        <w:rPr>
          <w:iCs/>
        </w:rPr>
        <w:t xml:space="preserve">Form </w:t>
      </w:r>
      <w:r w:rsidRPr="006E709F">
        <w:t>PDS contains summaries of some, but not all, of the information that the new PDS is required to contain (see paragraph</w:t>
      </w:r>
      <w:r w:rsidR="00DA13DE" w:rsidRPr="006E709F">
        <w:t> </w:t>
      </w:r>
      <w:r w:rsidRPr="006E709F">
        <w:t>1017I(1)(a));</w:t>
      </w:r>
    </w:p>
    <w:p w:rsidR="002C7812" w:rsidRPr="006E709F" w:rsidRDefault="002C7812" w:rsidP="002C7812">
      <w:pPr>
        <w:pStyle w:val="subsection2"/>
      </w:pPr>
      <w:r w:rsidRPr="006E709F">
        <w:t xml:space="preserve">the person may, instead of giving the client the new PDS, give the client a Supplementary </w:t>
      </w:r>
      <w:r w:rsidRPr="006E709F">
        <w:rPr>
          <w:iCs/>
        </w:rPr>
        <w:t>Short</w:t>
      </w:r>
      <w:r w:rsidR="000C4237">
        <w:rPr>
          <w:iCs/>
        </w:rPr>
        <w:noBreakHyphen/>
      </w:r>
      <w:r w:rsidRPr="006E709F">
        <w:rPr>
          <w:iCs/>
        </w:rPr>
        <w:t xml:space="preserve">Form </w:t>
      </w:r>
      <w:r w:rsidRPr="006E709F">
        <w:t>PDS that contains summaries of the additional information.</w:t>
      </w:r>
    </w:p>
    <w:p w:rsidR="002C7812" w:rsidRPr="006E709F" w:rsidRDefault="002C7812" w:rsidP="00695CE6">
      <w:pPr>
        <w:pStyle w:val="Specials"/>
      </w:pPr>
      <w:r w:rsidRPr="006E709F">
        <w:t>1017Q  Application of other provisions in relation to Supplementary Short</w:t>
      </w:r>
      <w:r w:rsidR="000C4237">
        <w:noBreakHyphen/>
      </w:r>
      <w:r w:rsidRPr="006E709F">
        <w:t>Form Product Disclosure Statements</w:t>
      </w:r>
    </w:p>
    <w:p w:rsidR="002C7812" w:rsidRPr="006E709F" w:rsidRDefault="002C7812" w:rsidP="002C7812">
      <w:pPr>
        <w:pStyle w:val="subsection"/>
      </w:pPr>
      <w:r w:rsidRPr="006E709F">
        <w:tab/>
      </w:r>
      <w:r w:rsidRPr="006E709F">
        <w:tab/>
        <w:t>The following provisions apply in relation to a Supplementary Short</w:t>
      </w:r>
      <w:r w:rsidR="000C4237">
        <w:noBreakHyphen/>
      </w:r>
      <w:r w:rsidRPr="006E709F">
        <w:t>Form PDS in the same way as those provisions apply to a Product Disclosure Statement:</w:t>
      </w:r>
    </w:p>
    <w:p w:rsidR="002C7812" w:rsidRPr="006E709F" w:rsidRDefault="002C7812" w:rsidP="002C7812">
      <w:pPr>
        <w:pStyle w:val="paragraph"/>
      </w:pPr>
      <w:r w:rsidRPr="006E709F">
        <w:tab/>
        <w:t>(a)</w:t>
      </w:r>
      <w:r w:rsidRPr="006E709F">
        <w:tab/>
        <w:t>sections</w:t>
      </w:r>
      <w:r w:rsidR="00DA13DE" w:rsidRPr="006E709F">
        <w:t> </w:t>
      </w:r>
      <w:r w:rsidRPr="006E709F">
        <w:t>1013A, 1013G, 1013H, 1013K and subsections</w:t>
      </w:r>
      <w:r w:rsidR="00DA13DE" w:rsidRPr="006E709F">
        <w:t> </w:t>
      </w:r>
      <w:r w:rsidRPr="006E709F">
        <w:t>1013C(3) and 1013C(4) to (7);</w:t>
      </w:r>
    </w:p>
    <w:p w:rsidR="002C7812" w:rsidRPr="006E709F" w:rsidRDefault="002C7812" w:rsidP="002C7812">
      <w:pPr>
        <w:pStyle w:val="paragraph"/>
      </w:pPr>
      <w:r w:rsidRPr="006E709F">
        <w:tab/>
        <w:t>(b)</w:t>
      </w:r>
      <w:r w:rsidRPr="006E709F">
        <w:tab/>
        <w:t>any regulations made under those sections or subsections;</w:t>
      </w:r>
    </w:p>
    <w:p w:rsidR="002C7812" w:rsidRPr="006E709F" w:rsidRDefault="002C7812" w:rsidP="002C7812">
      <w:pPr>
        <w:pStyle w:val="paragraph"/>
      </w:pPr>
      <w:r w:rsidRPr="006E709F">
        <w:tab/>
        <w:t>(c)</w:t>
      </w:r>
      <w:r w:rsidRPr="006E709F">
        <w:tab/>
        <w:t>any regulations that modify those sections or subsections.</w:t>
      </w:r>
    </w:p>
    <w:p w:rsidR="002C7812" w:rsidRPr="006E709F" w:rsidRDefault="002C7812" w:rsidP="002C7812">
      <w:pPr>
        <w:pStyle w:val="ItemHead"/>
      </w:pPr>
      <w:r w:rsidRPr="006E709F">
        <w:t>3.2  Section</w:t>
      </w:r>
      <w:r w:rsidR="00DA13DE" w:rsidRPr="006E709F">
        <w:t> </w:t>
      </w:r>
      <w:r w:rsidRPr="006E709F">
        <w:t>1015A</w:t>
      </w:r>
    </w:p>
    <w:p w:rsidR="002C7812" w:rsidRPr="006E709F" w:rsidRDefault="002C7812" w:rsidP="002C7812">
      <w:pPr>
        <w:pStyle w:val="Item"/>
        <w:rPr>
          <w:i/>
        </w:rPr>
      </w:pPr>
      <w:r w:rsidRPr="006E709F">
        <w:rPr>
          <w:i/>
        </w:rPr>
        <w:t>substitute</w:t>
      </w:r>
    </w:p>
    <w:p w:rsidR="002C7812" w:rsidRPr="006E709F" w:rsidRDefault="002C7812" w:rsidP="00695CE6">
      <w:pPr>
        <w:pStyle w:val="Specials"/>
      </w:pPr>
      <w:r w:rsidRPr="006E709F">
        <w:t>1015A  Subdivision applies to certain Disclosure Statements</w:t>
      </w:r>
    </w:p>
    <w:p w:rsidR="002C7812" w:rsidRPr="006E709F" w:rsidRDefault="002C7812" w:rsidP="002C7812">
      <w:pPr>
        <w:pStyle w:val="subsection"/>
      </w:pPr>
      <w:r w:rsidRPr="006E709F">
        <w:tab/>
        <w:t>(1)</w:t>
      </w:r>
      <w:r w:rsidRPr="006E709F">
        <w:tab/>
        <w:t xml:space="preserve">Subject to </w:t>
      </w:r>
      <w:r w:rsidR="00DA13DE" w:rsidRPr="006E709F">
        <w:t>subsection (</w:t>
      </w:r>
      <w:r w:rsidRPr="006E709F">
        <w:t>2):</w:t>
      </w:r>
    </w:p>
    <w:p w:rsidR="002C7812" w:rsidRPr="006E709F" w:rsidRDefault="002C7812" w:rsidP="002C7812">
      <w:pPr>
        <w:pStyle w:val="paragraph"/>
      </w:pPr>
      <w:r w:rsidRPr="006E709F">
        <w:tab/>
        <w:t>(a)</w:t>
      </w:r>
      <w:r w:rsidRPr="006E709F">
        <w:tab/>
        <w:t>this Subdivision applies to:</w:t>
      </w:r>
    </w:p>
    <w:p w:rsidR="002C7812" w:rsidRPr="006E709F" w:rsidRDefault="002C7812" w:rsidP="002C7812">
      <w:pPr>
        <w:pStyle w:val="paragraphsub"/>
      </w:pPr>
      <w:r w:rsidRPr="006E709F">
        <w:tab/>
        <w:t>(i)</w:t>
      </w:r>
      <w:r w:rsidRPr="006E709F">
        <w:tab/>
        <w:t>a Product Disclosure Statement; or</w:t>
      </w:r>
    </w:p>
    <w:p w:rsidR="002C7812" w:rsidRPr="006E709F" w:rsidRDefault="002C7812" w:rsidP="002C7812">
      <w:pPr>
        <w:pStyle w:val="paragraphsub"/>
      </w:pPr>
      <w:r w:rsidRPr="006E709F">
        <w:tab/>
        <w:t>(ii)</w:t>
      </w:r>
      <w:r w:rsidRPr="006E709F">
        <w:tab/>
        <w:t>a Short</w:t>
      </w:r>
      <w:r w:rsidR="000C4237">
        <w:noBreakHyphen/>
      </w:r>
      <w:r w:rsidRPr="006E709F">
        <w:t>Form PDS; or</w:t>
      </w:r>
    </w:p>
    <w:p w:rsidR="002C7812" w:rsidRPr="006E709F" w:rsidRDefault="002C7812" w:rsidP="002C7812">
      <w:pPr>
        <w:pStyle w:val="paragraphsub"/>
      </w:pPr>
      <w:r w:rsidRPr="006E709F">
        <w:tab/>
        <w:t>(iii)</w:t>
      </w:r>
      <w:r w:rsidRPr="006E709F">
        <w:tab/>
        <w:t>a Supplementary PDS; or</w:t>
      </w:r>
    </w:p>
    <w:p w:rsidR="002C7812" w:rsidRPr="006E709F" w:rsidRDefault="002C7812" w:rsidP="002C7812">
      <w:pPr>
        <w:pStyle w:val="paragraphsub"/>
      </w:pPr>
      <w:r w:rsidRPr="006E709F">
        <w:tab/>
        <w:t>(iv)</w:t>
      </w:r>
      <w:r w:rsidRPr="006E709F">
        <w:tab/>
        <w:t>a Supplementary Short</w:t>
      </w:r>
      <w:r w:rsidR="000C4237">
        <w:noBreakHyphen/>
      </w:r>
      <w:r w:rsidRPr="006E709F">
        <w:t>Form PDS; and</w:t>
      </w:r>
    </w:p>
    <w:p w:rsidR="002C7812" w:rsidRPr="006E709F" w:rsidRDefault="002C7812" w:rsidP="002C7812">
      <w:pPr>
        <w:pStyle w:val="paragraph"/>
      </w:pPr>
      <w:r w:rsidRPr="006E709F">
        <w:tab/>
        <w:t>(b)</w:t>
      </w:r>
      <w:r w:rsidRPr="006E709F">
        <w:tab/>
        <w:t xml:space="preserve">each of those kinds of documents is referred to in this Subdivision as a </w:t>
      </w:r>
      <w:r w:rsidRPr="006E709F">
        <w:rPr>
          <w:b/>
          <w:i/>
        </w:rPr>
        <w:t>Statement</w:t>
      </w:r>
      <w:r w:rsidRPr="006E709F">
        <w:t>.</w:t>
      </w:r>
    </w:p>
    <w:p w:rsidR="002C7812" w:rsidRPr="006E709F" w:rsidRDefault="002C7812" w:rsidP="002C7812">
      <w:pPr>
        <w:pStyle w:val="subsection"/>
      </w:pPr>
      <w:r w:rsidRPr="006E709F">
        <w:tab/>
        <w:t>(2)</w:t>
      </w:r>
      <w:r w:rsidRPr="006E709F">
        <w:tab/>
        <w:t>However:</w:t>
      </w:r>
    </w:p>
    <w:p w:rsidR="002C7812" w:rsidRPr="006E709F" w:rsidRDefault="002C7812" w:rsidP="002C7812">
      <w:pPr>
        <w:pStyle w:val="paragraph"/>
      </w:pPr>
      <w:r w:rsidRPr="006E709F">
        <w:tab/>
        <w:t>(a)</w:t>
      </w:r>
      <w:r w:rsidRPr="006E709F">
        <w:tab/>
        <w:t>section</w:t>
      </w:r>
      <w:r w:rsidR="00DA13DE" w:rsidRPr="006E709F">
        <w:t> </w:t>
      </w:r>
      <w:r w:rsidRPr="006E709F">
        <w:t>1015B does not apply to a Short</w:t>
      </w:r>
      <w:r w:rsidR="000C4237">
        <w:noBreakHyphen/>
      </w:r>
      <w:r w:rsidRPr="006E709F">
        <w:t>Form PDS or a Supplementary Short</w:t>
      </w:r>
      <w:r w:rsidR="000C4237">
        <w:noBreakHyphen/>
      </w:r>
      <w:r w:rsidRPr="006E709F">
        <w:t>Form PDS; and</w:t>
      </w:r>
    </w:p>
    <w:p w:rsidR="002C7812" w:rsidRPr="006E709F" w:rsidRDefault="002C7812" w:rsidP="002C7812">
      <w:pPr>
        <w:pStyle w:val="paragraph"/>
      </w:pPr>
      <w:r w:rsidRPr="006E709F">
        <w:tab/>
        <w:t>(b)</w:t>
      </w:r>
      <w:r w:rsidRPr="006E709F">
        <w:tab/>
        <w:t xml:space="preserve">in that section, </w:t>
      </w:r>
      <w:r w:rsidRPr="006E709F">
        <w:rPr>
          <w:b/>
          <w:i/>
        </w:rPr>
        <w:t xml:space="preserve">Statement </w:t>
      </w:r>
      <w:r w:rsidRPr="006E709F">
        <w:t>does not include a Short</w:t>
      </w:r>
      <w:r w:rsidR="000C4237">
        <w:noBreakHyphen/>
      </w:r>
      <w:r w:rsidRPr="006E709F">
        <w:t>Form PDS or a Supplementary Short</w:t>
      </w:r>
      <w:r w:rsidR="000C4237">
        <w:noBreakHyphen/>
      </w:r>
      <w:r w:rsidRPr="006E709F">
        <w:t>Form PDS.</w:t>
      </w:r>
    </w:p>
    <w:p w:rsidR="002C7812" w:rsidRPr="006E709F" w:rsidRDefault="002C7812" w:rsidP="002C7812">
      <w:pPr>
        <w:pStyle w:val="ItemHead"/>
      </w:pPr>
      <w:r w:rsidRPr="006E709F">
        <w:t>3.3  Subsection</w:t>
      </w:r>
      <w:r w:rsidR="00DA13DE" w:rsidRPr="006E709F">
        <w:t> </w:t>
      </w:r>
      <w:r w:rsidRPr="006E709F">
        <w:t>1015B(1) (after the note)</w:t>
      </w:r>
    </w:p>
    <w:p w:rsidR="002C7812" w:rsidRPr="006E709F" w:rsidRDefault="002C7812" w:rsidP="002C7812">
      <w:pPr>
        <w:pStyle w:val="Item"/>
        <w:rPr>
          <w:i/>
        </w:rPr>
      </w:pPr>
      <w:r w:rsidRPr="006E709F">
        <w:rPr>
          <w:i/>
        </w:rPr>
        <w:t>insert</w:t>
      </w:r>
    </w:p>
    <w:p w:rsidR="002C7812" w:rsidRPr="006E709F" w:rsidRDefault="002C7812" w:rsidP="002C7812">
      <w:pPr>
        <w:pStyle w:val="notetext"/>
      </w:pPr>
      <w:r w:rsidRPr="006E709F">
        <w:t>Note 2:</w:t>
      </w:r>
      <w:r w:rsidRPr="006E709F">
        <w:tab/>
        <w:t>Subsection</w:t>
      </w:r>
      <w:r w:rsidR="00DA13DE" w:rsidRPr="006E709F">
        <w:t> </w:t>
      </w:r>
      <w:r w:rsidRPr="006E709F">
        <w:t xml:space="preserve">1015A(2) provides that </w:t>
      </w:r>
      <w:r w:rsidRPr="006E709F">
        <w:rPr>
          <w:b/>
          <w:i/>
        </w:rPr>
        <w:t>Statement</w:t>
      </w:r>
      <w:r w:rsidRPr="006E709F">
        <w:t xml:space="preserve"> in this section does not include a Short</w:t>
      </w:r>
      <w:r w:rsidR="000C4237">
        <w:noBreakHyphen/>
      </w:r>
      <w:r w:rsidRPr="006E709F">
        <w:t>Form PDS or a Supplementary Short</w:t>
      </w:r>
      <w:r w:rsidR="000C4237">
        <w:noBreakHyphen/>
      </w:r>
      <w:r w:rsidRPr="006E709F">
        <w:t>Form PDS.</w:t>
      </w:r>
    </w:p>
    <w:p w:rsidR="002C7812" w:rsidRPr="006E709F" w:rsidRDefault="002C7812" w:rsidP="002C7812">
      <w:pPr>
        <w:pStyle w:val="ItemHead"/>
      </w:pPr>
      <w:r w:rsidRPr="006E709F">
        <w:t xml:space="preserve">3.4  </w:t>
      </w:r>
      <w:r w:rsidR="00FF4176" w:rsidRPr="006E709F">
        <w:t>Paragraph 1</w:t>
      </w:r>
      <w:r w:rsidRPr="006E709F">
        <w:t>018A(1)(e)</w:t>
      </w:r>
    </w:p>
    <w:p w:rsidR="002C7812" w:rsidRPr="006E709F" w:rsidRDefault="002C7812" w:rsidP="00F925D9">
      <w:pPr>
        <w:pStyle w:val="Item"/>
        <w:keepLines w:val="0"/>
        <w:rPr>
          <w:i/>
        </w:rPr>
      </w:pPr>
      <w:r w:rsidRPr="006E709F">
        <w:rPr>
          <w:i/>
        </w:rPr>
        <w:t>after</w:t>
      </w:r>
    </w:p>
    <w:p w:rsidR="002C7812" w:rsidRPr="006E709F" w:rsidRDefault="002C7812" w:rsidP="00F925D9">
      <w:pPr>
        <w:pStyle w:val="Item"/>
        <w:keepLines w:val="0"/>
      </w:pPr>
      <w:r w:rsidRPr="006E709F">
        <w:t>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or Short</w:t>
      </w:r>
      <w:r w:rsidR="000C4237">
        <w:noBreakHyphen/>
      </w:r>
      <w:r w:rsidRPr="006E709F">
        <w:t>Form PDS, if available,</w:t>
      </w:r>
    </w:p>
    <w:p w:rsidR="002C7812" w:rsidRPr="006E709F" w:rsidRDefault="002C7812" w:rsidP="002C7812">
      <w:pPr>
        <w:pStyle w:val="ItemHead"/>
      </w:pPr>
      <w:r w:rsidRPr="006E709F">
        <w:t xml:space="preserve">3.5  </w:t>
      </w:r>
      <w:r w:rsidR="00FF4176" w:rsidRPr="006E709F">
        <w:t>Paragraph 1</w:t>
      </w:r>
      <w:r w:rsidRPr="006E709F">
        <w:t>018A(2)(f)</w:t>
      </w:r>
    </w:p>
    <w:p w:rsidR="002C7812" w:rsidRPr="006E709F" w:rsidRDefault="002C7812" w:rsidP="00F925D9">
      <w:pPr>
        <w:pStyle w:val="Item"/>
        <w:keepLines w:val="0"/>
        <w:rPr>
          <w:i/>
        </w:rPr>
      </w:pPr>
      <w:r w:rsidRPr="006E709F">
        <w:rPr>
          <w:i/>
        </w:rPr>
        <w:t>after</w:t>
      </w:r>
    </w:p>
    <w:p w:rsidR="002C7812" w:rsidRPr="006E709F" w:rsidRDefault="002C7812" w:rsidP="00F925D9">
      <w:pPr>
        <w:pStyle w:val="Item"/>
        <w:keepLines w:val="0"/>
      </w:pPr>
      <w:r w:rsidRPr="006E709F">
        <w:t>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or Short</w:t>
      </w:r>
      <w:r w:rsidR="000C4237">
        <w:noBreakHyphen/>
      </w:r>
      <w:r w:rsidRPr="006E709F">
        <w:t>Form PDS, if available,</w:t>
      </w:r>
    </w:p>
    <w:p w:rsidR="002C7812" w:rsidRPr="006E709F" w:rsidRDefault="002C7812" w:rsidP="002C7812">
      <w:pPr>
        <w:pStyle w:val="ItemHead"/>
      </w:pPr>
      <w:r w:rsidRPr="006E709F">
        <w:t>3.6  Subsection</w:t>
      </w:r>
      <w:r w:rsidR="00DA13DE" w:rsidRPr="006E709F">
        <w:t> </w:t>
      </w:r>
      <w:r w:rsidRPr="006E709F">
        <w:t>1018A(3)</w:t>
      </w:r>
    </w:p>
    <w:p w:rsidR="002C7812" w:rsidRPr="006E709F" w:rsidRDefault="002C7812" w:rsidP="00F925D9">
      <w:pPr>
        <w:pStyle w:val="Item"/>
        <w:keepLines w:val="0"/>
        <w:rPr>
          <w:i/>
        </w:rPr>
      </w:pPr>
      <w:r w:rsidRPr="006E709F">
        <w:rPr>
          <w:i/>
        </w:rPr>
        <w:t>after</w:t>
      </w:r>
    </w:p>
    <w:p w:rsidR="002C7812" w:rsidRPr="006E709F" w:rsidRDefault="002C7812" w:rsidP="00F925D9">
      <w:pPr>
        <w:pStyle w:val="Item"/>
        <w:keepLines w:val="0"/>
      </w:pPr>
      <w:r w:rsidRPr="006E709F">
        <w:t>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or Short</w:t>
      </w:r>
      <w:r w:rsidR="000C4237">
        <w:noBreakHyphen/>
      </w:r>
      <w:r w:rsidRPr="006E709F">
        <w:t>Form PDS</w:t>
      </w:r>
    </w:p>
    <w:p w:rsidR="002C7812" w:rsidRPr="006E709F" w:rsidRDefault="002C7812" w:rsidP="002C7812">
      <w:pPr>
        <w:pStyle w:val="ItemHead"/>
      </w:pPr>
      <w:r w:rsidRPr="006E709F">
        <w:t xml:space="preserve">3.7  </w:t>
      </w:r>
      <w:r w:rsidR="00FF4176" w:rsidRPr="006E709F">
        <w:t>Subparagraph 1</w:t>
      </w:r>
      <w:r w:rsidRPr="006E709F">
        <w:t>018A(4)(d)(i)</w:t>
      </w:r>
    </w:p>
    <w:p w:rsidR="002C7812" w:rsidRPr="006E709F" w:rsidRDefault="002C7812" w:rsidP="00F925D9">
      <w:pPr>
        <w:pStyle w:val="Item"/>
        <w:keepLines w:val="0"/>
        <w:rPr>
          <w:i/>
        </w:rPr>
      </w:pPr>
      <w:r w:rsidRPr="006E709F">
        <w:rPr>
          <w:i/>
        </w:rPr>
        <w:t>after</w:t>
      </w:r>
    </w:p>
    <w:p w:rsidR="002C7812" w:rsidRPr="006E709F" w:rsidRDefault="002C7812" w:rsidP="00F925D9">
      <w:pPr>
        <w:pStyle w:val="Item"/>
        <w:keepLines w:val="0"/>
      </w:pPr>
      <w:r w:rsidRPr="006E709F">
        <w:t>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or Short</w:t>
      </w:r>
      <w:r w:rsidR="000C4237">
        <w:noBreakHyphen/>
      </w:r>
      <w:r w:rsidRPr="006E709F">
        <w:t>Form PDS</w:t>
      </w:r>
    </w:p>
    <w:p w:rsidR="002C7812" w:rsidRPr="006E709F" w:rsidRDefault="002C7812" w:rsidP="002C7812">
      <w:pPr>
        <w:pStyle w:val="ItemHead"/>
      </w:pPr>
      <w:r w:rsidRPr="006E709F">
        <w:t xml:space="preserve">3.8  </w:t>
      </w:r>
      <w:r w:rsidR="00FF4176" w:rsidRPr="006E709F">
        <w:t>Paragraph 1</w:t>
      </w:r>
      <w:r w:rsidRPr="006E709F">
        <w:t>020D(b)</w:t>
      </w:r>
    </w:p>
    <w:p w:rsidR="002C7812" w:rsidRPr="006E709F" w:rsidRDefault="002C7812" w:rsidP="00F925D9">
      <w:pPr>
        <w:pStyle w:val="Item"/>
        <w:keepLines w:val="0"/>
        <w:rPr>
          <w:i/>
        </w:rPr>
      </w:pPr>
      <w:r w:rsidRPr="006E709F">
        <w:rPr>
          <w:i/>
        </w:rPr>
        <w:t>omit</w:t>
      </w:r>
    </w:p>
    <w:p w:rsidR="002C7812" w:rsidRPr="006E709F" w:rsidRDefault="002C7812" w:rsidP="00F925D9">
      <w:pPr>
        <w:pStyle w:val="Item"/>
        <w:keepLines w:val="0"/>
      </w:pPr>
      <w:r w:rsidRPr="006E709F">
        <w:t>or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 Supplementary Product Disclosure Statement, Short</w:t>
      </w:r>
      <w:r w:rsidR="000C4237">
        <w:noBreakHyphen/>
      </w:r>
      <w:r w:rsidRPr="006E709F">
        <w:t>Form PDS or Supplementary Short</w:t>
      </w:r>
      <w:r w:rsidR="000C4237">
        <w:noBreakHyphen/>
      </w:r>
      <w:r w:rsidRPr="006E709F">
        <w:t>Form PDS</w:t>
      </w:r>
    </w:p>
    <w:p w:rsidR="002C7812" w:rsidRPr="006E709F" w:rsidRDefault="002C7812" w:rsidP="002C7812">
      <w:pPr>
        <w:pStyle w:val="ItemHead"/>
      </w:pPr>
      <w:r w:rsidRPr="006E709F">
        <w:t>3.9  After paragraph</w:t>
      </w:r>
      <w:r w:rsidR="00DA13DE" w:rsidRPr="006E709F">
        <w:t> </w:t>
      </w:r>
      <w:r w:rsidRPr="006E709F">
        <w:t xml:space="preserve">1021B(1)(b) (definition of </w:t>
      </w:r>
      <w:r w:rsidRPr="006E709F">
        <w:rPr>
          <w:i/>
        </w:rPr>
        <w:t>defective</w:t>
      </w:r>
      <w:r w:rsidRPr="006E709F">
        <w:t>)</w:t>
      </w:r>
    </w:p>
    <w:p w:rsidR="002C7812" w:rsidRPr="006E709F" w:rsidRDefault="002C7812" w:rsidP="002C7812">
      <w:pPr>
        <w:pStyle w:val="Item"/>
        <w:rPr>
          <w:i/>
        </w:rPr>
      </w:pPr>
      <w:r w:rsidRPr="006E709F">
        <w:rPr>
          <w:i/>
        </w:rPr>
        <w:t>insert</w:t>
      </w:r>
    </w:p>
    <w:p w:rsidR="002C7812" w:rsidRPr="006E709F" w:rsidRDefault="002C7812" w:rsidP="002C7812">
      <w:pPr>
        <w:pStyle w:val="paragraph"/>
      </w:pPr>
      <w:r w:rsidRPr="006E709F">
        <w:tab/>
        <w:t>(ba)</w:t>
      </w:r>
      <w:r w:rsidRPr="006E709F">
        <w:tab/>
        <w:t>if it is a Short</w:t>
      </w:r>
      <w:r w:rsidR="000C4237">
        <w:noBreakHyphen/>
      </w:r>
      <w:r w:rsidRPr="006E709F">
        <w:t>Form PDS—there is an omission from the Short</w:t>
      </w:r>
      <w:r w:rsidR="000C4237">
        <w:noBreakHyphen/>
      </w:r>
      <w:r w:rsidRPr="006E709F">
        <w:t>Form PDS of material required by section</w:t>
      </w:r>
      <w:r w:rsidR="00DA13DE" w:rsidRPr="006E709F">
        <w:t> </w:t>
      </w:r>
      <w:r w:rsidRPr="006E709F">
        <w:t>1017I; or</w:t>
      </w:r>
    </w:p>
    <w:p w:rsidR="002C7812" w:rsidRPr="006E709F" w:rsidRDefault="002C7812" w:rsidP="002C7812">
      <w:pPr>
        <w:pStyle w:val="ItemHead"/>
      </w:pPr>
      <w:r w:rsidRPr="006E709F">
        <w:t>3.10  After paragraph</w:t>
      </w:r>
      <w:r w:rsidR="00DA13DE" w:rsidRPr="006E709F">
        <w:t> </w:t>
      </w:r>
      <w:r w:rsidRPr="006E709F">
        <w:t xml:space="preserve">1021B(1)(c) (definition of </w:t>
      </w:r>
      <w:r w:rsidRPr="006E709F">
        <w:rPr>
          <w:i/>
        </w:rPr>
        <w:t>defective</w:t>
      </w:r>
      <w:r w:rsidRPr="006E709F">
        <w:t>)</w:t>
      </w:r>
    </w:p>
    <w:p w:rsidR="002C7812" w:rsidRPr="006E709F" w:rsidRDefault="002C7812" w:rsidP="002C7812">
      <w:pPr>
        <w:pStyle w:val="Item"/>
        <w:rPr>
          <w:i/>
        </w:rPr>
      </w:pPr>
      <w:r w:rsidRPr="006E709F">
        <w:rPr>
          <w:i/>
        </w:rPr>
        <w:t>insert</w:t>
      </w:r>
    </w:p>
    <w:p w:rsidR="002C7812" w:rsidRPr="006E709F" w:rsidRDefault="002C7812" w:rsidP="002C7812">
      <w:pPr>
        <w:pStyle w:val="paragraph"/>
      </w:pPr>
      <w:r w:rsidRPr="006E709F">
        <w:tab/>
        <w:t>(ca)</w:t>
      </w:r>
      <w:r w:rsidRPr="006E709F">
        <w:tab/>
        <w:t>if it is a Supplementary Short</w:t>
      </w:r>
      <w:r w:rsidR="000C4237">
        <w:noBreakHyphen/>
      </w:r>
      <w:r w:rsidRPr="006E709F">
        <w:t>Form PDS that is given for the purposes of section</w:t>
      </w:r>
      <w:r w:rsidR="00DA13DE" w:rsidRPr="006E709F">
        <w:t> </w:t>
      </w:r>
      <w:r w:rsidRPr="006E709F">
        <w:t>1017P—there is an omission from the Short</w:t>
      </w:r>
      <w:r w:rsidR="000C4237">
        <w:noBreakHyphen/>
      </w:r>
      <w:r w:rsidRPr="006E709F">
        <w:t>Form PDS of material required by that section; or</w:t>
      </w:r>
    </w:p>
    <w:p w:rsidR="002C7812" w:rsidRPr="006E709F" w:rsidRDefault="002C7812" w:rsidP="002C7812">
      <w:pPr>
        <w:pStyle w:val="ItemHead"/>
      </w:pPr>
      <w:r w:rsidRPr="006E709F">
        <w:t>3.11  Subsection</w:t>
      </w:r>
      <w:r w:rsidR="00DA13DE" w:rsidRPr="006E709F">
        <w:t> </w:t>
      </w:r>
      <w:r w:rsidRPr="006E709F">
        <w:t xml:space="preserve">1021B(1), definition of </w:t>
      </w:r>
      <w:r w:rsidRPr="006E709F">
        <w:rPr>
          <w:i/>
        </w:rPr>
        <w:t>disclosure document or statement</w:t>
      </w:r>
      <w:r w:rsidRPr="006E709F">
        <w:t xml:space="preserve">, after </w:t>
      </w:r>
      <w:r w:rsidR="00DA13DE" w:rsidRPr="006E709F">
        <w:t>paragraph (</w:t>
      </w:r>
      <w:r w:rsidRPr="006E709F">
        <w:t>b)</w:t>
      </w:r>
    </w:p>
    <w:p w:rsidR="002C7812" w:rsidRPr="006E709F" w:rsidRDefault="002C7812" w:rsidP="002C7812">
      <w:pPr>
        <w:pStyle w:val="Item"/>
        <w:rPr>
          <w:i/>
        </w:rPr>
      </w:pPr>
      <w:r w:rsidRPr="006E709F">
        <w:rPr>
          <w:i/>
        </w:rPr>
        <w:t>insert</w:t>
      </w:r>
    </w:p>
    <w:p w:rsidR="002C7812" w:rsidRPr="006E709F" w:rsidRDefault="002C7812" w:rsidP="002C7812">
      <w:pPr>
        <w:pStyle w:val="paragraph"/>
      </w:pPr>
      <w:r w:rsidRPr="006E709F">
        <w:tab/>
        <w:t>(ba)</w:t>
      </w:r>
      <w:r w:rsidRPr="006E709F">
        <w:tab/>
        <w:t>a Short</w:t>
      </w:r>
      <w:r w:rsidR="000C4237">
        <w:noBreakHyphen/>
      </w:r>
      <w:r w:rsidRPr="006E709F">
        <w:t>Form PDS; or</w:t>
      </w:r>
    </w:p>
    <w:p w:rsidR="002C7812" w:rsidRPr="006E709F" w:rsidRDefault="002C7812" w:rsidP="002C7812">
      <w:pPr>
        <w:pStyle w:val="paragraph"/>
      </w:pPr>
      <w:r w:rsidRPr="006E709F">
        <w:tab/>
        <w:t>(bb)</w:t>
      </w:r>
      <w:r w:rsidRPr="006E709F">
        <w:tab/>
        <w:t>a Supplementary Short</w:t>
      </w:r>
      <w:r w:rsidR="000C4237">
        <w:noBreakHyphen/>
      </w:r>
      <w:r w:rsidRPr="006E709F">
        <w:t>Form PDS; or</w:t>
      </w:r>
    </w:p>
    <w:p w:rsidR="002C7812" w:rsidRPr="006E709F" w:rsidRDefault="002C7812" w:rsidP="002C7812">
      <w:pPr>
        <w:pStyle w:val="ItemHead"/>
      </w:pPr>
      <w:r w:rsidRPr="006E709F">
        <w:t>3.12  After subsection</w:t>
      </w:r>
      <w:r w:rsidR="00DA13DE" w:rsidRPr="006E709F">
        <w:t> </w:t>
      </w:r>
      <w:r w:rsidRPr="006E709F">
        <w:t>1021C(5)</w:t>
      </w:r>
    </w:p>
    <w:p w:rsidR="002C7812" w:rsidRPr="006E709F" w:rsidRDefault="002C7812" w:rsidP="002C7812">
      <w:pPr>
        <w:pStyle w:val="Item"/>
        <w:rPr>
          <w:i/>
        </w:rPr>
      </w:pPr>
      <w:r w:rsidRPr="006E709F">
        <w:rPr>
          <w:i/>
        </w:rPr>
        <w:t>insert</w:t>
      </w:r>
    </w:p>
    <w:p w:rsidR="002C7812" w:rsidRPr="006E709F" w:rsidRDefault="002C7812" w:rsidP="002C7812">
      <w:pPr>
        <w:pStyle w:val="subsection"/>
      </w:pPr>
      <w:r w:rsidRPr="006E709F">
        <w:tab/>
        <w:t>(6)</w:t>
      </w:r>
      <w:r w:rsidRPr="006E709F">
        <w:tab/>
        <w:t>If a person does not give a Product Disclosure Statement for a financial product because the person has given a Short</w:t>
      </w:r>
      <w:r w:rsidR="000C4237">
        <w:noBreakHyphen/>
      </w:r>
      <w:r w:rsidRPr="006E709F">
        <w:t>Form PDS for the product, the person is taken not to contravene this section.</w:t>
      </w:r>
    </w:p>
    <w:p w:rsidR="002C7812" w:rsidRPr="006E709F" w:rsidRDefault="002C7812" w:rsidP="002C7812">
      <w:pPr>
        <w:pStyle w:val="ItemHead"/>
      </w:pPr>
      <w:r w:rsidRPr="006E709F">
        <w:t xml:space="preserve">3.13  </w:t>
      </w:r>
      <w:r w:rsidR="00FF4176" w:rsidRPr="006E709F">
        <w:t>Paragraph 1</w:t>
      </w:r>
      <w:r w:rsidRPr="006E709F">
        <w:t>021H(1)(a)</w:t>
      </w:r>
    </w:p>
    <w:p w:rsidR="002C7812" w:rsidRPr="006E709F" w:rsidRDefault="002C7812" w:rsidP="00F925D9">
      <w:pPr>
        <w:pStyle w:val="Item"/>
        <w:keepLines w:val="0"/>
        <w:rPr>
          <w:i/>
        </w:rPr>
      </w:pPr>
      <w:r w:rsidRPr="006E709F">
        <w:rPr>
          <w:i/>
        </w:rPr>
        <w:t>omit</w:t>
      </w:r>
    </w:p>
    <w:p w:rsidR="002C7812" w:rsidRPr="006E709F" w:rsidRDefault="002C7812" w:rsidP="00F925D9">
      <w:pPr>
        <w:pStyle w:val="Item"/>
        <w:keepLines w:val="0"/>
      </w:pPr>
      <w:r w:rsidRPr="006E709F">
        <w:t>or a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 a Supplementary Product Disclosure Statement, a Short</w:t>
      </w:r>
      <w:r w:rsidR="000C4237">
        <w:noBreakHyphen/>
      </w:r>
      <w:r w:rsidRPr="006E709F">
        <w:t>Form PDS or a Supplementary Short</w:t>
      </w:r>
      <w:r w:rsidR="000C4237">
        <w:noBreakHyphen/>
      </w:r>
      <w:r w:rsidRPr="006E709F">
        <w:t>Form PDS</w:t>
      </w:r>
    </w:p>
    <w:p w:rsidR="002C7812" w:rsidRPr="006E709F" w:rsidRDefault="002C7812" w:rsidP="002C7812">
      <w:pPr>
        <w:pStyle w:val="ItemHead"/>
      </w:pPr>
      <w:r w:rsidRPr="006E709F">
        <w:t xml:space="preserve">3.14  </w:t>
      </w:r>
      <w:r w:rsidR="00FF4176" w:rsidRPr="006E709F">
        <w:t>Subparagraph 1</w:t>
      </w:r>
      <w:r w:rsidRPr="006E709F">
        <w:t>021H(1)(b)(i)</w:t>
      </w:r>
    </w:p>
    <w:p w:rsidR="002C7812" w:rsidRPr="006E709F" w:rsidRDefault="002C7812" w:rsidP="00F925D9">
      <w:pPr>
        <w:pStyle w:val="Item"/>
        <w:keepLines w:val="0"/>
        <w:rPr>
          <w:i/>
        </w:rPr>
      </w:pPr>
      <w:r w:rsidRPr="006E709F">
        <w:rPr>
          <w:i/>
        </w:rPr>
        <w:t>after</w:t>
      </w:r>
    </w:p>
    <w:p w:rsidR="002C7812" w:rsidRPr="006E709F" w:rsidRDefault="002C7812" w:rsidP="00F925D9">
      <w:pPr>
        <w:pStyle w:val="Item"/>
        <w:keepLines w:val="0"/>
      </w:pPr>
      <w:r w:rsidRPr="006E709F">
        <w:t>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or Short</w:t>
      </w:r>
      <w:r w:rsidR="000C4237">
        <w:noBreakHyphen/>
      </w:r>
      <w:r w:rsidRPr="006E709F">
        <w:t>Form PDS</w:t>
      </w:r>
    </w:p>
    <w:p w:rsidR="002C7812" w:rsidRPr="006E709F" w:rsidRDefault="002C7812" w:rsidP="002C7812">
      <w:pPr>
        <w:pStyle w:val="ItemHead"/>
      </w:pPr>
      <w:r w:rsidRPr="006E709F">
        <w:t xml:space="preserve">3.15  </w:t>
      </w:r>
      <w:r w:rsidR="00FF4176" w:rsidRPr="006E709F">
        <w:t>Subparagraph 1</w:t>
      </w:r>
      <w:r w:rsidRPr="006E709F">
        <w:t>021H(1)(b)(ii)</w:t>
      </w:r>
    </w:p>
    <w:p w:rsidR="002C7812" w:rsidRPr="006E709F" w:rsidRDefault="002C7812" w:rsidP="00F925D9">
      <w:pPr>
        <w:pStyle w:val="Item"/>
        <w:keepLines w:val="0"/>
        <w:rPr>
          <w:i/>
        </w:rPr>
      </w:pPr>
      <w:r w:rsidRPr="006E709F">
        <w:rPr>
          <w:i/>
        </w:rPr>
        <w:t>omit</w:t>
      </w:r>
    </w:p>
    <w:p w:rsidR="002C7812" w:rsidRPr="006E709F" w:rsidRDefault="002C7812" w:rsidP="00F925D9">
      <w:pPr>
        <w:pStyle w:val="Item"/>
        <w:keepLines w:val="0"/>
      </w:pPr>
      <w:r w:rsidRPr="006E709F">
        <w:t>; and</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 or</w:t>
      </w:r>
    </w:p>
    <w:p w:rsidR="002C7812" w:rsidRPr="006E709F" w:rsidRDefault="002C7812" w:rsidP="002C7812">
      <w:pPr>
        <w:pStyle w:val="ItemHead"/>
        <w:rPr>
          <w:rFonts w:cs="Arial"/>
        </w:rPr>
      </w:pPr>
      <w:r w:rsidRPr="006E709F">
        <w:rPr>
          <w:rFonts w:cs="Arial"/>
        </w:rPr>
        <w:t>3.16  After subparagraph</w:t>
      </w:r>
      <w:r w:rsidR="00DA13DE" w:rsidRPr="006E709F">
        <w:rPr>
          <w:rFonts w:cs="Arial"/>
        </w:rPr>
        <w:t> </w:t>
      </w:r>
      <w:r w:rsidRPr="006E709F">
        <w:rPr>
          <w:rFonts w:cs="Arial"/>
        </w:rPr>
        <w:t>1021H(1)(b)(ii)</w:t>
      </w:r>
    </w:p>
    <w:p w:rsidR="002C7812" w:rsidRPr="006E709F" w:rsidRDefault="002C7812" w:rsidP="002C7812">
      <w:pPr>
        <w:pStyle w:val="Item"/>
        <w:rPr>
          <w:i/>
        </w:rPr>
      </w:pPr>
      <w:r w:rsidRPr="006E709F">
        <w:rPr>
          <w:i/>
        </w:rPr>
        <w:t>insert</w:t>
      </w:r>
    </w:p>
    <w:p w:rsidR="002C7812" w:rsidRPr="006E709F" w:rsidRDefault="002C7812" w:rsidP="002C7812">
      <w:pPr>
        <w:pStyle w:val="paragraphsub"/>
      </w:pPr>
      <w:r w:rsidRPr="006E709F">
        <w:tab/>
        <w:t>(iii)</w:t>
      </w:r>
      <w:r w:rsidRPr="006E709F">
        <w:tab/>
        <w:t>if it is a Supplementary Short</w:t>
      </w:r>
      <w:r w:rsidR="000C4237">
        <w:noBreakHyphen/>
      </w:r>
      <w:r w:rsidRPr="006E709F">
        <w:t>Form PDS—section</w:t>
      </w:r>
      <w:r w:rsidR="00DA13DE" w:rsidRPr="006E709F">
        <w:t> </w:t>
      </w:r>
      <w:r w:rsidRPr="006E709F">
        <w:t>1013G, 1017M or 1017N; and</w:t>
      </w:r>
    </w:p>
    <w:p w:rsidR="002C7812" w:rsidRPr="006E709F" w:rsidRDefault="002C7812" w:rsidP="002C7812">
      <w:pPr>
        <w:pStyle w:val="ItemHead"/>
      </w:pPr>
      <w:r w:rsidRPr="006E709F">
        <w:t>3.17  After subparagraph</w:t>
      </w:r>
      <w:r w:rsidR="00DA13DE" w:rsidRPr="006E709F">
        <w:t> </w:t>
      </w:r>
      <w:r w:rsidRPr="006E709F">
        <w:t>1021J(1)(c)(ii)</w:t>
      </w:r>
    </w:p>
    <w:p w:rsidR="002C7812" w:rsidRPr="006E709F" w:rsidRDefault="002C7812" w:rsidP="002C7812">
      <w:pPr>
        <w:pStyle w:val="Item"/>
        <w:rPr>
          <w:i/>
        </w:rPr>
      </w:pPr>
      <w:r w:rsidRPr="006E709F">
        <w:rPr>
          <w:i/>
        </w:rPr>
        <w:t>insert</w:t>
      </w:r>
    </w:p>
    <w:p w:rsidR="002C7812" w:rsidRPr="006E709F" w:rsidRDefault="002C7812" w:rsidP="002C7812">
      <w:pPr>
        <w:pStyle w:val="paragraphsub"/>
      </w:pPr>
      <w:r w:rsidRPr="006E709F">
        <w:tab/>
        <w:t>(iia)</w:t>
      </w:r>
      <w:r w:rsidRPr="006E709F">
        <w:tab/>
        <w:t>if it is a Short</w:t>
      </w:r>
      <w:r w:rsidR="000C4237">
        <w:noBreakHyphen/>
      </w:r>
      <w:r w:rsidRPr="006E709F">
        <w:t>Form PDS—a direction not to distribute the Short</w:t>
      </w:r>
      <w:r w:rsidR="000C4237">
        <w:noBreakHyphen/>
      </w:r>
      <w:r w:rsidRPr="006E709F">
        <w:t>Form PDS unless it is accompanied by a Supplementary Short</w:t>
      </w:r>
      <w:r w:rsidR="000C4237">
        <w:noBreakHyphen/>
      </w:r>
      <w:r w:rsidRPr="006E709F">
        <w:t>Form PDS that corrects the deficiency;</w:t>
      </w:r>
    </w:p>
    <w:p w:rsidR="002C7812" w:rsidRPr="006E709F" w:rsidRDefault="002C7812" w:rsidP="002C7812">
      <w:pPr>
        <w:pStyle w:val="ItemHead"/>
      </w:pPr>
      <w:r w:rsidRPr="006E709F">
        <w:t>3.18  After subparagraph</w:t>
      </w:r>
      <w:r w:rsidR="00DA13DE" w:rsidRPr="006E709F">
        <w:t> </w:t>
      </w:r>
      <w:r w:rsidRPr="006E709F">
        <w:t>1021J(1)(c)(iii)</w:t>
      </w:r>
    </w:p>
    <w:p w:rsidR="002C7812" w:rsidRPr="006E709F" w:rsidRDefault="002C7812" w:rsidP="002C7812">
      <w:pPr>
        <w:pStyle w:val="Item"/>
        <w:rPr>
          <w:i/>
        </w:rPr>
      </w:pPr>
      <w:r w:rsidRPr="006E709F">
        <w:rPr>
          <w:i/>
        </w:rPr>
        <w:t>insert</w:t>
      </w:r>
    </w:p>
    <w:p w:rsidR="002C7812" w:rsidRPr="006E709F" w:rsidRDefault="002C7812" w:rsidP="002C7812">
      <w:pPr>
        <w:pStyle w:val="paragraphsub"/>
      </w:pPr>
      <w:r w:rsidRPr="006E709F">
        <w:tab/>
        <w:t>(iiia)</w:t>
      </w:r>
      <w:r w:rsidRPr="006E709F">
        <w:tab/>
        <w:t>if it is a Short</w:t>
      </w:r>
      <w:r w:rsidR="000C4237">
        <w:noBreakHyphen/>
      </w:r>
      <w:r w:rsidRPr="006E709F">
        <w:t>Form PDS or a Supplementary Short</w:t>
      </w:r>
      <w:r w:rsidR="000C4237">
        <w:noBreakHyphen/>
      </w:r>
      <w:r w:rsidRPr="006E709F">
        <w:t>Form PDS—a direction not to distribute the Short</w:t>
      </w:r>
      <w:r w:rsidR="000C4237">
        <w:noBreakHyphen/>
      </w:r>
      <w:r w:rsidRPr="006E709F">
        <w:t>Form PDS or Supplementary Short</w:t>
      </w:r>
      <w:r w:rsidR="000C4237">
        <w:noBreakHyphen/>
      </w:r>
      <w:r w:rsidRPr="006E709F">
        <w:t>Form PDS without first altering it in a way that is specified in the direction, being a way that corrects the deficiency and that complies with section</w:t>
      </w:r>
      <w:r w:rsidR="00DA13DE" w:rsidRPr="006E709F">
        <w:t> </w:t>
      </w:r>
      <w:r w:rsidRPr="006E709F">
        <w:t>1015E.</w:t>
      </w:r>
    </w:p>
    <w:p w:rsidR="002C7812" w:rsidRPr="006E709F" w:rsidRDefault="002C7812" w:rsidP="002C7812">
      <w:pPr>
        <w:pStyle w:val="ItemHead"/>
      </w:pPr>
      <w:r w:rsidRPr="006E709F">
        <w:t xml:space="preserve">3.19  </w:t>
      </w:r>
      <w:r w:rsidR="00FF4176" w:rsidRPr="006E709F">
        <w:t>Paragraph 1</w:t>
      </w:r>
      <w:r w:rsidRPr="006E709F">
        <w:t>021K(1)(a)</w:t>
      </w:r>
    </w:p>
    <w:p w:rsidR="002C7812" w:rsidRPr="006E709F" w:rsidRDefault="002C7812" w:rsidP="002C7812">
      <w:pPr>
        <w:pStyle w:val="Item"/>
        <w:rPr>
          <w:i/>
        </w:rPr>
      </w:pPr>
      <w:r w:rsidRPr="006E709F">
        <w:rPr>
          <w:i/>
        </w:rPr>
        <w:t>omit</w:t>
      </w:r>
    </w:p>
    <w:p w:rsidR="002C7812" w:rsidRPr="006E709F" w:rsidRDefault="002C7812" w:rsidP="00F925D9">
      <w:pPr>
        <w:pStyle w:val="Item"/>
        <w:keepLines w:val="0"/>
      </w:pPr>
      <w:r w:rsidRPr="006E709F">
        <w:t>or a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 a Supplementary Product Disclosure Statement, a Short</w:t>
      </w:r>
      <w:r w:rsidR="000C4237">
        <w:noBreakHyphen/>
      </w:r>
      <w:r w:rsidRPr="006E709F">
        <w:t>Form PDS or a Supplementary Short</w:t>
      </w:r>
      <w:r w:rsidR="000C4237">
        <w:noBreakHyphen/>
      </w:r>
      <w:r w:rsidRPr="006E709F">
        <w:t xml:space="preserve">Form PDS (the </w:t>
      </w:r>
      <w:r w:rsidRPr="006E709F">
        <w:rPr>
          <w:b/>
          <w:i/>
        </w:rPr>
        <w:t>disclosure statement</w:t>
      </w:r>
      <w:r w:rsidRPr="006E709F">
        <w:t>)</w:t>
      </w:r>
    </w:p>
    <w:p w:rsidR="002C7812" w:rsidRPr="006E709F" w:rsidRDefault="002C7812" w:rsidP="002C7812">
      <w:pPr>
        <w:pStyle w:val="ItemHead"/>
      </w:pPr>
      <w:r w:rsidRPr="006E709F">
        <w:t>3.</w:t>
      </w:r>
      <w:r w:rsidRPr="006E709F">
        <w:rPr>
          <w:rFonts w:cs="Arial"/>
        </w:rPr>
        <w:t>20</w:t>
      </w:r>
      <w:r w:rsidRPr="006E709F">
        <w:t xml:space="preserve">  </w:t>
      </w:r>
      <w:r w:rsidR="00FF4176" w:rsidRPr="006E709F">
        <w:t>Paragraph 1</w:t>
      </w:r>
      <w:r w:rsidRPr="006E709F">
        <w:t>021K(1)(b)</w:t>
      </w:r>
    </w:p>
    <w:p w:rsidR="002C7812" w:rsidRPr="006E709F" w:rsidRDefault="002C7812" w:rsidP="002C7812">
      <w:pPr>
        <w:pStyle w:val="Item"/>
        <w:rPr>
          <w:i/>
        </w:rPr>
      </w:pPr>
      <w:r w:rsidRPr="006E709F">
        <w:rPr>
          <w:i/>
        </w:rPr>
        <w:t>omit</w:t>
      </w:r>
    </w:p>
    <w:p w:rsidR="002C7812" w:rsidRPr="006E709F" w:rsidRDefault="002C7812" w:rsidP="00F925D9">
      <w:pPr>
        <w:pStyle w:val="Item"/>
        <w:keepLines w:val="0"/>
      </w:pPr>
      <w:r w:rsidRPr="006E709F">
        <w:t>Product Disclosure Statement or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disclosure statement</w:t>
      </w:r>
    </w:p>
    <w:p w:rsidR="002C7812" w:rsidRPr="006E709F" w:rsidRDefault="002C7812" w:rsidP="002C7812">
      <w:pPr>
        <w:pStyle w:val="ItemHead"/>
      </w:pPr>
      <w:r w:rsidRPr="006E709F">
        <w:t>3.</w:t>
      </w:r>
      <w:r w:rsidRPr="006E709F">
        <w:rPr>
          <w:rFonts w:cs="Arial"/>
        </w:rPr>
        <w:t>21</w:t>
      </w:r>
      <w:r w:rsidRPr="006E709F">
        <w:t xml:space="preserve">  Subparagraphs</w:t>
      </w:r>
      <w:r w:rsidR="00DA13DE" w:rsidRPr="006E709F">
        <w:t> </w:t>
      </w:r>
      <w:r w:rsidRPr="006E709F">
        <w:t>1021K(1)(d)(i), (ii) and (iii)</w:t>
      </w:r>
    </w:p>
    <w:p w:rsidR="002C7812" w:rsidRPr="006E709F" w:rsidRDefault="002C7812" w:rsidP="002C7812">
      <w:pPr>
        <w:pStyle w:val="Item"/>
        <w:rPr>
          <w:i/>
        </w:rPr>
      </w:pPr>
      <w:r w:rsidRPr="006E709F">
        <w:rPr>
          <w:i/>
        </w:rPr>
        <w:t>omit</w:t>
      </w:r>
    </w:p>
    <w:p w:rsidR="002C7812" w:rsidRPr="006E709F" w:rsidRDefault="002C7812" w:rsidP="00F925D9">
      <w:pPr>
        <w:pStyle w:val="Item"/>
        <w:keepLines w:val="0"/>
      </w:pPr>
      <w:r w:rsidRPr="006E709F">
        <w:t>Product Disclosure Statement or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disclosure statement</w:t>
      </w:r>
    </w:p>
    <w:p w:rsidR="002C7812" w:rsidRPr="006E709F" w:rsidRDefault="002C7812" w:rsidP="002C7812">
      <w:pPr>
        <w:pStyle w:val="ItemHead"/>
      </w:pPr>
      <w:r w:rsidRPr="006E709F">
        <w:t xml:space="preserve">3.22  </w:t>
      </w:r>
      <w:r w:rsidR="00FF4176" w:rsidRPr="006E709F">
        <w:t>Paragraph 1</w:t>
      </w:r>
      <w:r w:rsidRPr="006E709F">
        <w:t>021L(1)(a)</w:t>
      </w:r>
    </w:p>
    <w:p w:rsidR="002C7812" w:rsidRPr="006E709F" w:rsidRDefault="002C7812" w:rsidP="002C7812">
      <w:pPr>
        <w:pStyle w:val="Item"/>
        <w:rPr>
          <w:i/>
        </w:rPr>
      </w:pPr>
      <w:r w:rsidRPr="006E709F">
        <w:rPr>
          <w:i/>
        </w:rPr>
        <w:t>omit</w:t>
      </w:r>
    </w:p>
    <w:p w:rsidR="002C7812" w:rsidRPr="006E709F" w:rsidRDefault="002C7812" w:rsidP="00F925D9">
      <w:pPr>
        <w:pStyle w:val="Item"/>
        <w:keepLines w:val="0"/>
      </w:pPr>
      <w:r w:rsidRPr="006E709F">
        <w:t>or a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 a Supplementary Product Disclosure Statement, a Short</w:t>
      </w:r>
      <w:r w:rsidR="000C4237">
        <w:noBreakHyphen/>
      </w:r>
      <w:r w:rsidRPr="006E709F">
        <w:t>Form PDS or a Supplementary Short</w:t>
      </w:r>
      <w:r w:rsidR="000C4237">
        <w:noBreakHyphen/>
      </w:r>
      <w:r w:rsidRPr="006E709F">
        <w:t>Form PDS</w:t>
      </w:r>
    </w:p>
    <w:p w:rsidR="002C7812" w:rsidRPr="006E709F" w:rsidRDefault="002C7812" w:rsidP="002C7812">
      <w:pPr>
        <w:pStyle w:val="ItemHead"/>
      </w:pPr>
      <w:r w:rsidRPr="006E709F">
        <w:t xml:space="preserve">3.23  </w:t>
      </w:r>
      <w:r w:rsidR="00FF4176" w:rsidRPr="006E709F">
        <w:t>Paragraph 1</w:t>
      </w:r>
      <w:r w:rsidRPr="006E709F">
        <w:t>021L(2)(a)</w:t>
      </w:r>
    </w:p>
    <w:p w:rsidR="002C7812" w:rsidRPr="006E709F" w:rsidRDefault="002C7812" w:rsidP="002C7812">
      <w:pPr>
        <w:pStyle w:val="Item"/>
        <w:rPr>
          <w:i/>
        </w:rPr>
      </w:pPr>
      <w:r w:rsidRPr="006E709F">
        <w:rPr>
          <w:i/>
        </w:rPr>
        <w:t>omit</w:t>
      </w:r>
    </w:p>
    <w:p w:rsidR="002C7812" w:rsidRPr="006E709F" w:rsidRDefault="002C7812" w:rsidP="00F925D9">
      <w:pPr>
        <w:pStyle w:val="Item"/>
        <w:keepLines w:val="0"/>
      </w:pPr>
      <w:r w:rsidRPr="006E709F">
        <w:t>or a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 a Supplementary Product Disclosure Statement, a Short</w:t>
      </w:r>
      <w:r w:rsidR="000C4237">
        <w:noBreakHyphen/>
      </w:r>
      <w:r w:rsidRPr="006E709F">
        <w:t>Form PDS or a Supplementary Short</w:t>
      </w:r>
      <w:r w:rsidR="000C4237">
        <w:noBreakHyphen/>
      </w:r>
      <w:r w:rsidRPr="006E709F">
        <w:t xml:space="preserve">Form PDS (the </w:t>
      </w:r>
      <w:r w:rsidRPr="006E709F">
        <w:rPr>
          <w:b/>
          <w:i/>
        </w:rPr>
        <w:t>disclosure statement</w:t>
      </w:r>
      <w:r w:rsidRPr="006E709F">
        <w:t>)</w:t>
      </w:r>
    </w:p>
    <w:p w:rsidR="002C7812" w:rsidRPr="006E709F" w:rsidRDefault="002C7812" w:rsidP="002C7812">
      <w:pPr>
        <w:pStyle w:val="ItemHead"/>
      </w:pPr>
      <w:r w:rsidRPr="006E709F">
        <w:t xml:space="preserve">3.24  </w:t>
      </w:r>
      <w:r w:rsidR="00FF4176" w:rsidRPr="006E709F">
        <w:t>Subparagraph 1</w:t>
      </w:r>
      <w:r w:rsidRPr="006E709F">
        <w:t>021L(2)(b)(iv)</w:t>
      </w:r>
    </w:p>
    <w:p w:rsidR="002C7812" w:rsidRPr="006E709F" w:rsidRDefault="002C7812" w:rsidP="002C7812">
      <w:pPr>
        <w:pStyle w:val="Item"/>
        <w:rPr>
          <w:i/>
        </w:rPr>
      </w:pPr>
      <w:r w:rsidRPr="006E709F">
        <w:rPr>
          <w:i/>
        </w:rPr>
        <w:t>omit</w:t>
      </w:r>
    </w:p>
    <w:p w:rsidR="002C7812" w:rsidRPr="006E709F" w:rsidRDefault="002C7812" w:rsidP="00F925D9">
      <w:pPr>
        <w:pStyle w:val="Item"/>
        <w:keepLines w:val="0"/>
      </w:pPr>
      <w:r w:rsidRPr="006E709F">
        <w:t>Product Disclosure Statement or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disclosure statement</w:t>
      </w:r>
    </w:p>
    <w:p w:rsidR="002C7812" w:rsidRPr="006E709F" w:rsidRDefault="002C7812" w:rsidP="002C7812">
      <w:pPr>
        <w:pStyle w:val="ItemHead"/>
      </w:pPr>
      <w:r w:rsidRPr="006E709F">
        <w:t>3.25  Subparagraphs</w:t>
      </w:r>
      <w:r w:rsidR="00DA13DE" w:rsidRPr="006E709F">
        <w:t> </w:t>
      </w:r>
      <w:r w:rsidRPr="006E709F">
        <w:t>1021M(1)(a)(i), (ii), (iii) and (iv)</w:t>
      </w:r>
    </w:p>
    <w:p w:rsidR="002C7812" w:rsidRPr="006E709F" w:rsidRDefault="002C7812" w:rsidP="002C7812">
      <w:pPr>
        <w:pStyle w:val="Item"/>
        <w:rPr>
          <w:i/>
        </w:rPr>
      </w:pPr>
      <w:r w:rsidRPr="006E709F">
        <w:rPr>
          <w:i/>
        </w:rPr>
        <w:t>omit</w:t>
      </w:r>
    </w:p>
    <w:p w:rsidR="002C7812" w:rsidRPr="006E709F" w:rsidRDefault="002C7812" w:rsidP="00F925D9">
      <w:pPr>
        <w:pStyle w:val="Item"/>
        <w:keepLines w:val="0"/>
      </w:pPr>
      <w:r w:rsidRPr="006E709F">
        <w:t>or a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 a Supplementary Product Disclosure Statement, a Short</w:t>
      </w:r>
      <w:r w:rsidR="000C4237">
        <w:noBreakHyphen/>
      </w:r>
      <w:r w:rsidRPr="006E709F">
        <w:t>Form PDS or a Supplementary Short</w:t>
      </w:r>
      <w:r w:rsidR="000C4237">
        <w:noBreakHyphen/>
      </w:r>
      <w:r w:rsidRPr="006E709F">
        <w:t>Form PDS</w:t>
      </w:r>
    </w:p>
    <w:p w:rsidR="002C7812" w:rsidRPr="006E709F" w:rsidRDefault="002C7812" w:rsidP="002C7812">
      <w:pPr>
        <w:pStyle w:val="ItemHead"/>
      </w:pPr>
      <w:r w:rsidRPr="006E709F">
        <w:t>3.26  Subparagraphs</w:t>
      </w:r>
      <w:r w:rsidR="00DA13DE" w:rsidRPr="006E709F">
        <w:t> </w:t>
      </w:r>
      <w:r w:rsidRPr="006E709F">
        <w:t>1021M(3)(a)(i), (ii), (iii) and (iv)</w:t>
      </w:r>
    </w:p>
    <w:p w:rsidR="002C7812" w:rsidRPr="006E709F" w:rsidRDefault="002C7812" w:rsidP="002C7812">
      <w:pPr>
        <w:pStyle w:val="Item"/>
        <w:rPr>
          <w:i/>
        </w:rPr>
      </w:pPr>
      <w:r w:rsidRPr="006E709F">
        <w:rPr>
          <w:i/>
        </w:rPr>
        <w:t>omit</w:t>
      </w:r>
    </w:p>
    <w:p w:rsidR="002C7812" w:rsidRPr="006E709F" w:rsidRDefault="002C7812" w:rsidP="00F925D9">
      <w:pPr>
        <w:pStyle w:val="Item"/>
        <w:keepLines w:val="0"/>
      </w:pPr>
      <w:r w:rsidRPr="006E709F">
        <w:t>or a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 a Supplementary Product Disclosure Statement, a Short</w:t>
      </w:r>
      <w:r w:rsidR="000C4237">
        <w:noBreakHyphen/>
      </w:r>
      <w:r w:rsidRPr="006E709F">
        <w:t>Form PDS or a Supplementary Short</w:t>
      </w:r>
      <w:r w:rsidR="000C4237">
        <w:noBreakHyphen/>
      </w:r>
      <w:r w:rsidRPr="006E709F">
        <w:t>Form PDS</w:t>
      </w:r>
    </w:p>
    <w:p w:rsidR="002C7812" w:rsidRPr="006E709F" w:rsidRDefault="002C7812" w:rsidP="002C7812">
      <w:pPr>
        <w:pStyle w:val="ItemHead"/>
        <w:rPr>
          <w:b w:val="0"/>
        </w:rPr>
      </w:pPr>
      <w:r w:rsidRPr="006E709F">
        <w:t>3.27  After paragraph</w:t>
      </w:r>
      <w:r w:rsidR="00DA13DE" w:rsidRPr="006E709F">
        <w:t> </w:t>
      </w:r>
      <w:r w:rsidRPr="006E709F">
        <w:t xml:space="preserve">1022A(1)(b) (definition of </w:t>
      </w:r>
      <w:r w:rsidRPr="006E709F">
        <w:rPr>
          <w:i/>
        </w:rPr>
        <w:t>defective</w:t>
      </w:r>
      <w:r w:rsidRPr="006E709F">
        <w:t>)</w:t>
      </w:r>
    </w:p>
    <w:p w:rsidR="002C7812" w:rsidRPr="006E709F" w:rsidRDefault="002C7812" w:rsidP="002C7812">
      <w:pPr>
        <w:pStyle w:val="Item"/>
        <w:rPr>
          <w:i/>
        </w:rPr>
      </w:pPr>
      <w:r w:rsidRPr="006E709F">
        <w:rPr>
          <w:i/>
        </w:rPr>
        <w:t>insert</w:t>
      </w:r>
    </w:p>
    <w:p w:rsidR="002C7812" w:rsidRPr="006E709F" w:rsidRDefault="002C7812" w:rsidP="002C7812">
      <w:pPr>
        <w:pStyle w:val="paragraph"/>
      </w:pPr>
      <w:r w:rsidRPr="006E709F">
        <w:tab/>
        <w:t>(ba)</w:t>
      </w:r>
      <w:r w:rsidRPr="006E709F">
        <w:tab/>
        <w:t>if it is a Short</w:t>
      </w:r>
      <w:r w:rsidR="000C4237">
        <w:noBreakHyphen/>
      </w:r>
      <w:r w:rsidRPr="006E709F">
        <w:t>Form PDS—there is an omission from the Short</w:t>
      </w:r>
      <w:r w:rsidR="000C4237">
        <w:noBreakHyphen/>
      </w:r>
      <w:r w:rsidRPr="006E709F">
        <w:t>Form PDS of material required by section</w:t>
      </w:r>
      <w:r w:rsidR="00DA13DE" w:rsidRPr="006E709F">
        <w:t> </w:t>
      </w:r>
      <w:r w:rsidRPr="006E709F">
        <w:t>1017I; or</w:t>
      </w:r>
    </w:p>
    <w:p w:rsidR="002C7812" w:rsidRPr="006E709F" w:rsidRDefault="002C7812" w:rsidP="002C7812">
      <w:pPr>
        <w:pStyle w:val="ItemHead"/>
      </w:pPr>
      <w:r w:rsidRPr="006E709F">
        <w:t>3.28  After paragraph</w:t>
      </w:r>
      <w:r w:rsidR="00DA13DE" w:rsidRPr="006E709F">
        <w:t> </w:t>
      </w:r>
      <w:r w:rsidRPr="006E709F">
        <w:t xml:space="preserve">1022A(1)(c) (definition of </w:t>
      </w:r>
      <w:r w:rsidRPr="006E709F">
        <w:rPr>
          <w:i/>
        </w:rPr>
        <w:t>defective</w:t>
      </w:r>
      <w:r w:rsidRPr="006E709F">
        <w:t>)</w:t>
      </w:r>
    </w:p>
    <w:p w:rsidR="002C7812" w:rsidRPr="006E709F" w:rsidRDefault="002C7812" w:rsidP="002C7812">
      <w:pPr>
        <w:pStyle w:val="Item"/>
        <w:rPr>
          <w:i/>
        </w:rPr>
      </w:pPr>
      <w:r w:rsidRPr="006E709F">
        <w:rPr>
          <w:i/>
        </w:rPr>
        <w:t>insert</w:t>
      </w:r>
    </w:p>
    <w:p w:rsidR="002C7812" w:rsidRPr="006E709F" w:rsidRDefault="002C7812" w:rsidP="002C7812">
      <w:pPr>
        <w:pStyle w:val="paragraph"/>
      </w:pPr>
      <w:r w:rsidRPr="006E709F">
        <w:tab/>
        <w:t>(ca)</w:t>
      </w:r>
      <w:r w:rsidRPr="006E709F">
        <w:tab/>
        <w:t>if it is a Supplementary Short</w:t>
      </w:r>
      <w:r w:rsidR="000C4237">
        <w:noBreakHyphen/>
      </w:r>
      <w:r w:rsidRPr="006E709F">
        <w:t>Form PDS that is given for the purposes of section</w:t>
      </w:r>
      <w:r w:rsidR="00DA13DE" w:rsidRPr="006E709F">
        <w:t> </w:t>
      </w:r>
      <w:r w:rsidRPr="006E709F">
        <w:t>1017P—there is an omission from the Short</w:t>
      </w:r>
      <w:r w:rsidR="000C4237">
        <w:noBreakHyphen/>
      </w:r>
      <w:r w:rsidRPr="006E709F">
        <w:t>Form PDS of material required by that section; or</w:t>
      </w:r>
    </w:p>
    <w:p w:rsidR="002C7812" w:rsidRPr="006E709F" w:rsidRDefault="002C7812" w:rsidP="002C7812">
      <w:pPr>
        <w:pStyle w:val="ItemHead"/>
      </w:pPr>
      <w:r w:rsidRPr="006E709F">
        <w:t>3.29  Subsection</w:t>
      </w:r>
      <w:r w:rsidR="00DA13DE" w:rsidRPr="006E709F">
        <w:t> </w:t>
      </w:r>
      <w:r w:rsidRPr="006E709F">
        <w:t xml:space="preserve">1022A(1), definition of </w:t>
      </w:r>
      <w:r w:rsidRPr="006E709F">
        <w:rPr>
          <w:i/>
        </w:rPr>
        <w:t>disclosure document or statement</w:t>
      </w:r>
      <w:r w:rsidRPr="006E709F">
        <w:t xml:space="preserve">, after </w:t>
      </w:r>
      <w:r w:rsidR="00DA13DE" w:rsidRPr="006E709F">
        <w:t>paragraph (</w:t>
      </w:r>
      <w:r w:rsidRPr="006E709F">
        <w:t>b)</w:t>
      </w:r>
    </w:p>
    <w:p w:rsidR="002C7812" w:rsidRPr="006E709F" w:rsidRDefault="002C7812" w:rsidP="002C7812">
      <w:pPr>
        <w:pStyle w:val="Item"/>
        <w:rPr>
          <w:i/>
        </w:rPr>
      </w:pPr>
      <w:r w:rsidRPr="006E709F">
        <w:rPr>
          <w:i/>
        </w:rPr>
        <w:t>insert</w:t>
      </w:r>
    </w:p>
    <w:p w:rsidR="002C7812" w:rsidRPr="006E709F" w:rsidRDefault="002C7812" w:rsidP="002C7812">
      <w:pPr>
        <w:pStyle w:val="paragraph"/>
      </w:pPr>
      <w:r w:rsidRPr="006E709F">
        <w:tab/>
        <w:t>(ba)</w:t>
      </w:r>
      <w:r w:rsidRPr="006E709F">
        <w:tab/>
        <w:t>a Short</w:t>
      </w:r>
      <w:r w:rsidR="000C4237">
        <w:noBreakHyphen/>
      </w:r>
      <w:r w:rsidRPr="006E709F">
        <w:t>Form PDS; or</w:t>
      </w:r>
    </w:p>
    <w:p w:rsidR="002C7812" w:rsidRPr="006E709F" w:rsidRDefault="002C7812" w:rsidP="002C7812">
      <w:pPr>
        <w:pStyle w:val="paragraph"/>
      </w:pPr>
      <w:r w:rsidRPr="006E709F">
        <w:tab/>
        <w:t>(bb)</w:t>
      </w:r>
      <w:r w:rsidRPr="006E709F">
        <w:tab/>
        <w:t>a Supplementary Short</w:t>
      </w:r>
      <w:r w:rsidR="000C4237">
        <w:noBreakHyphen/>
      </w:r>
      <w:r w:rsidRPr="006E709F">
        <w:t>Form PDS; or</w:t>
      </w:r>
    </w:p>
    <w:p w:rsidR="002C7812" w:rsidRPr="006E709F" w:rsidRDefault="002C7812" w:rsidP="002C7812">
      <w:pPr>
        <w:pStyle w:val="ItemHead"/>
      </w:pPr>
      <w:r w:rsidRPr="006E709F">
        <w:t xml:space="preserve">3.30  </w:t>
      </w:r>
      <w:r w:rsidR="00FF4176" w:rsidRPr="006E709F">
        <w:t>Subparagraph 1</w:t>
      </w:r>
      <w:r w:rsidRPr="006E709F">
        <w:t>022B(1)(a)(i)</w:t>
      </w:r>
    </w:p>
    <w:p w:rsidR="002C7812" w:rsidRPr="006E709F" w:rsidRDefault="002C7812" w:rsidP="002C7812">
      <w:pPr>
        <w:pStyle w:val="Item"/>
        <w:rPr>
          <w:i/>
        </w:rPr>
      </w:pPr>
      <w:r w:rsidRPr="006E709F">
        <w:rPr>
          <w:i/>
        </w:rPr>
        <w:t>omit</w:t>
      </w:r>
    </w:p>
    <w:p w:rsidR="002C7812" w:rsidRPr="006E709F" w:rsidRDefault="002C7812" w:rsidP="00F925D9">
      <w:pPr>
        <w:pStyle w:val="Item"/>
        <w:keepLines w:val="0"/>
      </w:pPr>
      <w:r w:rsidRPr="006E709F">
        <w:t>or a Supplementary Product Disclosure Statement</w:t>
      </w:r>
    </w:p>
    <w:p w:rsidR="002C7812" w:rsidRPr="006E709F" w:rsidRDefault="002C7812" w:rsidP="00F925D9">
      <w:pPr>
        <w:pStyle w:val="Item"/>
        <w:keepLines w:val="0"/>
        <w:rPr>
          <w:i/>
        </w:rPr>
      </w:pPr>
      <w:r w:rsidRPr="006E709F">
        <w:rPr>
          <w:i/>
        </w:rPr>
        <w:t>insert</w:t>
      </w:r>
    </w:p>
    <w:p w:rsidR="002C7812" w:rsidRPr="006E709F" w:rsidRDefault="002C7812" w:rsidP="00F925D9">
      <w:pPr>
        <w:pStyle w:val="Item"/>
        <w:keepLines w:val="0"/>
      </w:pPr>
      <w:r w:rsidRPr="006E709F">
        <w:t>, a Supplementary Product Disclosure Statement, a Short</w:t>
      </w:r>
      <w:r w:rsidR="000C4237">
        <w:noBreakHyphen/>
      </w:r>
      <w:r w:rsidRPr="006E709F">
        <w:t>Form PDS or a Supplementary Short</w:t>
      </w:r>
      <w:r w:rsidR="000C4237">
        <w:noBreakHyphen/>
      </w:r>
      <w:r w:rsidRPr="006E709F">
        <w:t>Form PDS</w:t>
      </w:r>
    </w:p>
    <w:p w:rsidR="002C7812" w:rsidRPr="006E709F" w:rsidRDefault="002C7812" w:rsidP="002C7812">
      <w:pPr>
        <w:pStyle w:val="ItemHead"/>
      </w:pPr>
      <w:r w:rsidRPr="006E709F">
        <w:t xml:space="preserve">3.31  </w:t>
      </w:r>
      <w:r w:rsidR="00FF4176" w:rsidRPr="006E709F">
        <w:t>Subparagraph 1</w:t>
      </w:r>
      <w:r w:rsidRPr="006E709F">
        <w:t>022B(1)(c)(ii)</w:t>
      </w:r>
    </w:p>
    <w:p w:rsidR="002C7812" w:rsidRPr="006E709F" w:rsidRDefault="002C7812" w:rsidP="002C7812">
      <w:pPr>
        <w:pStyle w:val="Item"/>
        <w:rPr>
          <w:i/>
        </w:rPr>
      </w:pPr>
      <w:r w:rsidRPr="006E709F">
        <w:rPr>
          <w:i/>
        </w:rPr>
        <w:t>omit</w:t>
      </w:r>
    </w:p>
    <w:p w:rsidR="002C7812" w:rsidRPr="006E709F" w:rsidRDefault="002C7812" w:rsidP="002C7812">
      <w:pPr>
        <w:pStyle w:val="Item"/>
      </w:pPr>
      <w:r w:rsidRPr="006E709F">
        <w:t>or a Supplementary Product Disclosure Statement</w:t>
      </w:r>
    </w:p>
    <w:p w:rsidR="002C7812" w:rsidRPr="006E709F" w:rsidRDefault="002C7812" w:rsidP="002C7812">
      <w:pPr>
        <w:pStyle w:val="Item"/>
        <w:rPr>
          <w:i/>
        </w:rPr>
      </w:pPr>
      <w:r w:rsidRPr="006E709F">
        <w:rPr>
          <w:i/>
        </w:rPr>
        <w:t>insert</w:t>
      </w:r>
    </w:p>
    <w:p w:rsidR="002C7812" w:rsidRPr="006E709F" w:rsidRDefault="002C7812" w:rsidP="002C7812">
      <w:pPr>
        <w:pStyle w:val="Item"/>
      </w:pPr>
      <w:r w:rsidRPr="006E709F">
        <w:t>, a Supplementary Product Disclosure Statement, a Short</w:t>
      </w:r>
      <w:r w:rsidR="000C4237">
        <w:noBreakHyphen/>
      </w:r>
      <w:r w:rsidRPr="006E709F">
        <w:t>Form PDS or a Supplementary Short</w:t>
      </w:r>
      <w:r w:rsidR="000C4237">
        <w:noBreakHyphen/>
      </w:r>
      <w:r w:rsidRPr="006E709F">
        <w:t>Form PDS</w:t>
      </w:r>
    </w:p>
    <w:p w:rsidR="002C7812" w:rsidRPr="006E709F" w:rsidRDefault="002C7812" w:rsidP="002C7812">
      <w:pPr>
        <w:pStyle w:val="ItemHead"/>
      </w:pPr>
      <w:r w:rsidRPr="006E709F">
        <w:t xml:space="preserve">3.32  </w:t>
      </w:r>
      <w:r w:rsidR="00FF4176" w:rsidRPr="006E709F">
        <w:t>Subparagraph 1</w:t>
      </w:r>
      <w:r w:rsidRPr="006E709F">
        <w:t>022B(1)(d)(i)</w:t>
      </w:r>
    </w:p>
    <w:p w:rsidR="002C7812" w:rsidRPr="006E709F" w:rsidRDefault="002C7812" w:rsidP="002C7812">
      <w:pPr>
        <w:pStyle w:val="Item"/>
        <w:rPr>
          <w:i/>
        </w:rPr>
      </w:pPr>
      <w:r w:rsidRPr="006E709F">
        <w:rPr>
          <w:i/>
        </w:rPr>
        <w:t>omit</w:t>
      </w:r>
    </w:p>
    <w:p w:rsidR="002C7812" w:rsidRPr="006E709F" w:rsidRDefault="002C7812" w:rsidP="002C7812">
      <w:pPr>
        <w:pStyle w:val="Item"/>
      </w:pPr>
      <w:r w:rsidRPr="006E709F">
        <w:t>or a Supplementary Product Disclosure Statement</w:t>
      </w:r>
    </w:p>
    <w:p w:rsidR="002C7812" w:rsidRPr="006E709F" w:rsidRDefault="002C7812" w:rsidP="002C7812">
      <w:pPr>
        <w:pStyle w:val="Item"/>
        <w:rPr>
          <w:i/>
        </w:rPr>
      </w:pPr>
      <w:r w:rsidRPr="006E709F">
        <w:rPr>
          <w:i/>
        </w:rPr>
        <w:t>insert</w:t>
      </w:r>
    </w:p>
    <w:p w:rsidR="002C7812" w:rsidRPr="006E709F" w:rsidRDefault="002C7812" w:rsidP="002C7812">
      <w:pPr>
        <w:pStyle w:val="Item"/>
      </w:pPr>
      <w:r w:rsidRPr="006E709F">
        <w:t>, a Supplementary Product Disclosure Statement, a Short</w:t>
      </w:r>
      <w:r w:rsidR="000C4237">
        <w:noBreakHyphen/>
      </w:r>
      <w:r w:rsidRPr="006E709F">
        <w:t>Form PDS or a Supplementary Short</w:t>
      </w:r>
      <w:r w:rsidR="000C4237">
        <w:noBreakHyphen/>
      </w:r>
      <w:r w:rsidRPr="006E709F">
        <w:t>Form PDS</w:t>
      </w:r>
    </w:p>
    <w:p w:rsidR="008258B2" w:rsidRPr="006E709F" w:rsidRDefault="008258B2" w:rsidP="00583C00">
      <w:pPr>
        <w:sectPr w:rsidR="008258B2" w:rsidRPr="006E709F" w:rsidSect="0052661F">
          <w:headerReference w:type="even" r:id="rId57"/>
          <w:headerReference w:type="default" r:id="rId58"/>
          <w:footerReference w:type="even" r:id="rId59"/>
          <w:footerReference w:type="default" r:id="rId60"/>
          <w:headerReference w:type="first" r:id="rId61"/>
          <w:footerReference w:type="first" r:id="rId62"/>
          <w:pgSz w:w="11907" w:h="16839" w:code="9"/>
          <w:pgMar w:top="2325" w:right="1797" w:bottom="1440" w:left="1797" w:header="720" w:footer="709" w:gutter="0"/>
          <w:cols w:space="720"/>
          <w:docGrid w:linePitch="299"/>
        </w:sectPr>
      </w:pPr>
    </w:p>
    <w:p w:rsidR="003638DE" w:rsidRPr="006E709F" w:rsidRDefault="00A801D0" w:rsidP="002C7812">
      <w:pPr>
        <w:pStyle w:val="ActHead1"/>
        <w:pageBreakBefore/>
        <w:spacing w:before="240"/>
      </w:pPr>
      <w:bookmarkStart w:id="136" w:name="_Toc160609823"/>
      <w:r w:rsidRPr="000C4237">
        <w:rPr>
          <w:rStyle w:val="CharChapNo"/>
        </w:rPr>
        <w:t>Schedule</w:t>
      </w:r>
      <w:r w:rsidR="00DA13DE" w:rsidRPr="000C4237">
        <w:rPr>
          <w:rStyle w:val="CharChapNo"/>
        </w:rPr>
        <w:t> </w:t>
      </w:r>
      <w:r w:rsidR="003638DE" w:rsidRPr="000C4237">
        <w:rPr>
          <w:rStyle w:val="CharChapNo"/>
        </w:rPr>
        <w:t>10C</w:t>
      </w:r>
      <w:r w:rsidRPr="006E709F">
        <w:t>—</w:t>
      </w:r>
      <w:r w:rsidR="003638DE" w:rsidRPr="000C4237">
        <w:rPr>
          <w:rStyle w:val="CharChapText"/>
        </w:rPr>
        <w:t>Form and content of Product Disclosure Statement</w:t>
      </w:r>
      <w:r w:rsidRPr="000C4237">
        <w:rPr>
          <w:rStyle w:val="CharChapText"/>
        </w:rPr>
        <w:t>—</w:t>
      </w:r>
      <w:r w:rsidR="00D0485E" w:rsidRPr="00D0485E">
        <w:rPr>
          <w:rStyle w:val="CharChapText"/>
        </w:rPr>
        <w:t>standard margin lending facility</w:t>
      </w:r>
      <w:bookmarkEnd w:id="136"/>
    </w:p>
    <w:p w:rsidR="003638DE" w:rsidRPr="006E709F" w:rsidRDefault="003638DE" w:rsidP="00A801D0">
      <w:pPr>
        <w:pStyle w:val="notemargin"/>
      </w:pPr>
      <w:r w:rsidRPr="006E709F">
        <w:t>(</w:t>
      </w:r>
      <w:r w:rsidR="005378CE" w:rsidRPr="006E709F">
        <w:t>regulation 7</w:t>
      </w:r>
      <w:r w:rsidRPr="006E709F">
        <w:t>.9.11D)</w:t>
      </w:r>
    </w:p>
    <w:p w:rsidR="003638DE" w:rsidRPr="006E709F" w:rsidRDefault="00A801D0" w:rsidP="003638DE">
      <w:pPr>
        <w:pStyle w:val="Header"/>
      </w:pPr>
      <w:r w:rsidRPr="000C4237">
        <w:rPr>
          <w:rStyle w:val="CharPartNo"/>
        </w:rPr>
        <w:t xml:space="preserve"> </w:t>
      </w:r>
      <w:r w:rsidRPr="000C4237">
        <w:rPr>
          <w:rStyle w:val="CharPartText"/>
        </w:rPr>
        <w:t xml:space="preserve"> </w:t>
      </w:r>
    </w:p>
    <w:p w:rsidR="003638DE" w:rsidRPr="006E709F" w:rsidRDefault="00415D63" w:rsidP="00C93238">
      <w:pPr>
        <w:pStyle w:val="ActHead5"/>
      </w:pPr>
      <w:bookmarkStart w:id="137" w:name="_Toc160609824"/>
      <w:r w:rsidRPr="000C4237">
        <w:rPr>
          <w:rStyle w:val="CharSectno"/>
        </w:rPr>
        <w:t>1</w:t>
      </w:r>
      <w:r w:rsidRPr="006E709F">
        <w:t xml:space="preserve">  </w:t>
      </w:r>
      <w:r w:rsidR="003638DE" w:rsidRPr="006E709F">
        <w:t xml:space="preserve">Length and font size for Product Disclosure Statement for </w:t>
      </w:r>
      <w:r w:rsidR="000C2CBA" w:rsidRPr="000C2CBA">
        <w:t>standard margin lending facility</w:t>
      </w:r>
      <w:bookmarkEnd w:id="137"/>
    </w:p>
    <w:p w:rsidR="003638DE" w:rsidRPr="006E709F" w:rsidRDefault="003638DE" w:rsidP="00A801D0">
      <w:pPr>
        <w:pStyle w:val="subsection"/>
      </w:pPr>
      <w:r w:rsidRPr="006E709F">
        <w:tab/>
        <w:t>(1)</w:t>
      </w:r>
      <w:r w:rsidRPr="006E709F">
        <w:tab/>
        <w:t xml:space="preserve">The length of a Product Disclosure Statement for a </w:t>
      </w:r>
      <w:r w:rsidR="000C2CBA" w:rsidRPr="00BE1284">
        <w:t>standard margin lending facility</w:t>
      </w:r>
      <w:r w:rsidRPr="006E709F">
        <w:t xml:space="preserve"> (not including any title page, table of contents or matter in writing that is applied, adopted or incorporated by the Statement) must not exceed:</w:t>
      </w:r>
    </w:p>
    <w:p w:rsidR="003638DE" w:rsidRPr="006E709F" w:rsidRDefault="003638DE" w:rsidP="00A801D0">
      <w:pPr>
        <w:pStyle w:val="paragraph"/>
      </w:pPr>
      <w:r w:rsidRPr="006E709F">
        <w:tab/>
        <w:t>(a)</w:t>
      </w:r>
      <w:r w:rsidRPr="006E709F">
        <w:tab/>
        <w:t>if it is printed on A4 pages</w:t>
      </w:r>
      <w:r w:rsidR="00A801D0" w:rsidRPr="006E709F">
        <w:t>—</w:t>
      </w:r>
      <w:r w:rsidRPr="006E709F">
        <w:t>4 pages; or</w:t>
      </w:r>
    </w:p>
    <w:p w:rsidR="003638DE" w:rsidRPr="006E709F" w:rsidRDefault="003638DE" w:rsidP="00A801D0">
      <w:pPr>
        <w:pStyle w:val="paragraph"/>
      </w:pPr>
      <w:r w:rsidRPr="006E709F">
        <w:tab/>
        <w:t>(b)</w:t>
      </w:r>
      <w:r w:rsidRPr="006E709F">
        <w:tab/>
        <w:t>if it is printed on A5 pages</w:t>
      </w:r>
      <w:r w:rsidR="00A801D0" w:rsidRPr="006E709F">
        <w:t>—</w:t>
      </w:r>
      <w:r w:rsidRPr="006E709F">
        <w:t>8 pages; or</w:t>
      </w:r>
    </w:p>
    <w:p w:rsidR="003638DE" w:rsidRPr="006E709F" w:rsidRDefault="003638DE" w:rsidP="00A801D0">
      <w:pPr>
        <w:pStyle w:val="paragraph"/>
      </w:pPr>
      <w:r w:rsidRPr="006E709F">
        <w:tab/>
        <w:t>(c)</w:t>
      </w:r>
      <w:r w:rsidRPr="006E709F">
        <w:tab/>
        <w:t>if it is printed on DL pages</w:t>
      </w:r>
      <w:r w:rsidR="00A801D0" w:rsidRPr="006E709F">
        <w:t>—</w:t>
      </w:r>
      <w:r w:rsidRPr="006E709F">
        <w:t>12 pages; or</w:t>
      </w:r>
    </w:p>
    <w:p w:rsidR="003638DE" w:rsidRPr="006E709F" w:rsidRDefault="003638DE" w:rsidP="00A801D0">
      <w:pPr>
        <w:pStyle w:val="paragraph"/>
      </w:pPr>
      <w:r w:rsidRPr="006E709F">
        <w:tab/>
        <w:t>(d)</w:t>
      </w:r>
      <w:r w:rsidRPr="006E709F">
        <w:tab/>
        <w:t>otherwise</w:t>
      </w:r>
      <w:r w:rsidR="00A801D0" w:rsidRPr="006E709F">
        <w:t>—</w:t>
      </w:r>
      <w:r w:rsidRPr="006E709F">
        <w:t>if it is formatted to be printed on A4 pages, 4</w:t>
      </w:r>
      <w:r w:rsidR="00E376FA" w:rsidRPr="006E709F">
        <w:t xml:space="preserve"> </w:t>
      </w:r>
      <w:r w:rsidRPr="006E709F">
        <w:t>A4 pages.</w:t>
      </w:r>
    </w:p>
    <w:p w:rsidR="003638DE" w:rsidRPr="006E709F" w:rsidRDefault="003638DE" w:rsidP="00A801D0">
      <w:pPr>
        <w:pStyle w:val="subsection"/>
      </w:pPr>
      <w:r w:rsidRPr="006E709F">
        <w:tab/>
        <w:t>(2)</w:t>
      </w:r>
      <w:r w:rsidRPr="006E709F">
        <w:tab/>
        <w:t>The minimum font size for text in the Statement is:</w:t>
      </w:r>
    </w:p>
    <w:p w:rsidR="003638DE" w:rsidRPr="006E709F" w:rsidRDefault="003638DE" w:rsidP="00A801D0">
      <w:pPr>
        <w:pStyle w:val="paragraph"/>
      </w:pPr>
      <w:r w:rsidRPr="006E709F">
        <w:tab/>
        <w:t>(a)</w:t>
      </w:r>
      <w:r w:rsidRPr="006E709F">
        <w:tab/>
        <w:t>for the name, address, ABN (if applicable), ACN (if applicable) and AFSL (if applicable) of the person giving the Statement</w:t>
      </w:r>
      <w:r w:rsidR="00A801D0" w:rsidRPr="006E709F">
        <w:t>—</w:t>
      </w:r>
      <w:r w:rsidRPr="006E709F">
        <w:t>8 points; and</w:t>
      </w:r>
    </w:p>
    <w:p w:rsidR="003638DE" w:rsidRPr="006E709F" w:rsidRDefault="003638DE" w:rsidP="00A801D0">
      <w:pPr>
        <w:pStyle w:val="paragraph"/>
      </w:pPr>
      <w:r w:rsidRPr="006E709F">
        <w:tab/>
        <w:t>(b)</w:t>
      </w:r>
      <w:r w:rsidRPr="006E709F">
        <w:tab/>
        <w:t>for all other text</w:t>
      </w:r>
      <w:r w:rsidR="00A801D0" w:rsidRPr="006E709F">
        <w:t>—</w:t>
      </w:r>
      <w:r w:rsidRPr="006E709F">
        <w:t>9 points.</w:t>
      </w:r>
    </w:p>
    <w:p w:rsidR="003638DE" w:rsidRPr="006E709F" w:rsidRDefault="00A801D0" w:rsidP="00A801D0">
      <w:pPr>
        <w:pStyle w:val="notetext"/>
      </w:pPr>
      <w:r w:rsidRPr="006E709F">
        <w:t>Note 1:</w:t>
      </w:r>
      <w:r w:rsidRPr="006E709F">
        <w:tab/>
      </w:r>
      <w:r w:rsidR="003638DE" w:rsidRPr="006E709F">
        <w:t>The Product Disclosure Statement must be worded and presented in a clear, concise and effective manner</w:t>
      </w:r>
      <w:r w:rsidRPr="006E709F">
        <w:t>—</w:t>
      </w:r>
      <w:r w:rsidR="003638DE" w:rsidRPr="006E709F">
        <w:t>see subsection</w:t>
      </w:r>
      <w:r w:rsidR="00DA13DE" w:rsidRPr="006E709F">
        <w:t> </w:t>
      </w:r>
      <w:r w:rsidR="003638DE" w:rsidRPr="006E709F">
        <w:t>1013C(3) of the Act.</w:t>
      </w:r>
    </w:p>
    <w:p w:rsidR="003638DE" w:rsidRPr="006E709F" w:rsidRDefault="00A801D0" w:rsidP="00A801D0">
      <w:pPr>
        <w:pStyle w:val="notetext"/>
      </w:pPr>
      <w:r w:rsidRPr="006E709F">
        <w:t>Note 2:</w:t>
      </w:r>
      <w:r w:rsidRPr="006E709F">
        <w:tab/>
      </w:r>
      <w:r w:rsidR="003638DE" w:rsidRPr="006E709F">
        <w:t>A person required to a give a Product Disclosure Statement to a vision</w:t>
      </w:r>
      <w:r w:rsidR="000C4237">
        <w:noBreakHyphen/>
      </w:r>
      <w:r w:rsidR="003638DE" w:rsidRPr="006E709F">
        <w:t xml:space="preserve">impaired person must comply with its obligations under the </w:t>
      </w:r>
      <w:r w:rsidR="003638DE" w:rsidRPr="006E709F">
        <w:rPr>
          <w:i/>
        </w:rPr>
        <w:t>Disability Discrimination Act 1992</w:t>
      </w:r>
      <w:r w:rsidR="003638DE" w:rsidRPr="006E709F">
        <w:t>.</w:t>
      </w:r>
    </w:p>
    <w:p w:rsidR="003638DE" w:rsidRPr="006E709F" w:rsidRDefault="00415D63" w:rsidP="00C93238">
      <w:pPr>
        <w:pStyle w:val="ActHead5"/>
      </w:pPr>
      <w:bookmarkStart w:id="138" w:name="_Toc160609825"/>
      <w:r w:rsidRPr="000C4237">
        <w:rPr>
          <w:rStyle w:val="CharSectno"/>
        </w:rPr>
        <w:t>2</w:t>
      </w:r>
      <w:r w:rsidRPr="006E709F">
        <w:t xml:space="preserve">  </w:t>
      </w:r>
      <w:r w:rsidR="003638DE" w:rsidRPr="006E709F">
        <w:t xml:space="preserve">Minimum content of Product Disclosure Statement for </w:t>
      </w:r>
      <w:r w:rsidR="000C2CBA" w:rsidRPr="000C2CBA">
        <w:t>standard margin lending facility</w:t>
      </w:r>
      <w:bookmarkEnd w:id="138"/>
    </w:p>
    <w:p w:rsidR="003638DE" w:rsidRPr="006E709F" w:rsidRDefault="003638DE" w:rsidP="00A801D0">
      <w:pPr>
        <w:pStyle w:val="subsection"/>
      </w:pPr>
      <w:r w:rsidRPr="006E709F">
        <w:tab/>
        <w:t>(1)</w:t>
      </w:r>
      <w:r w:rsidRPr="006E709F">
        <w:tab/>
        <w:t>The Product Disclosure Statement must include the following sections, which must be numbered and titled as follows:</w:t>
      </w:r>
    </w:p>
    <w:p w:rsidR="003638DE" w:rsidRPr="006E709F" w:rsidRDefault="00F17AC1" w:rsidP="00F17AC1">
      <w:pPr>
        <w:pStyle w:val="paragraph"/>
      </w:pPr>
      <w:r w:rsidRPr="006E709F">
        <w:tab/>
      </w:r>
      <w:r w:rsidR="003638DE" w:rsidRPr="006E709F">
        <w:t>1.</w:t>
      </w:r>
      <w:r w:rsidR="003638DE" w:rsidRPr="006E709F">
        <w:tab/>
        <w:t xml:space="preserve">About [name of provider of </w:t>
      </w:r>
      <w:r w:rsidR="00743118">
        <w:t xml:space="preserve">the </w:t>
      </w:r>
      <w:r w:rsidR="00743118" w:rsidRPr="00BE1284">
        <w:t>standard margin lending facility</w:t>
      </w:r>
      <w:r w:rsidR="003638DE" w:rsidRPr="006E709F">
        <w:t xml:space="preserve">] and [name of </w:t>
      </w:r>
      <w:r w:rsidR="00743118" w:rsidRPr="00BE1284">
        <w:t>standard margin lending facility</w:t>
      </w:r>
      <w:r w:rsidR="003638DE" w:rsidRPr="006E709F">
        <w:t>]</w:t>
      </w:r>
    </w:p>
    <w:p w:rsidR="003638DE" w:rsidRPr="006E709F" w:rsidRDefault="00F17AC1" w:rsidP="00F17AC1">
      <w:pPr>
        <w:pStyle w:val="paragraph"/>
      </w:pPr>
      <w:r w:rsidRPr="006E709F">
        <w:tab/>
      </w:r>
      <w:r w:rsidR="003638DE" w:rsidRPr="006E709F">
        <w:t>2.</w:t>
      </w:r>
      <w:r w:rsidR="003638DE" w:rsidRPr="006E709F">
        <w:tab/>
        <w:t xml:space="preserve">Benefits of [name of </w:t>
      </w:r>
      <w:r w:rsidR="00743118" w:rsidRPr="00BE1284">
        <w:t>standard margin lending facility</w:t>
      </w:r>
      <w:r w:rsidR="003638DE" w:rsidRPr="006E709F">
        <w:t>]</w:t>
      </w:r>
    </w:p>
    <w:p w:rsidR="003638DE" w:rsidRPr="006E709F" w:rsidRDefault="00F17AC1" w:rsidP="00F17AC1">
      <w:pPr>
        <w:pStyle w:val="paragraph"/>
      </w:pPr>
      <w:r w:rsidRPr="006E709F">
        <w:tab/>
      </w:r>
      <w:r w:rsidR="003638DE" w:rsidRPr="006E709F">
        <w:t>3.</w:t>
      </w:r>
      <w:r w:rsidR="003638DE" w:rsidRPr="006E709F">
        <w:tab/>
        <w:t xml:space="preserve">How [name of </w:t>
      </w:r>
      <w:r w:rsidR="0057152E" w:rsidRPr="00BE1284">
        <w:t>standard margin lending facility</w:t>
      </w:r>
      <w:r w:rsidR="003638DE" w:rsidRPr="006E709F">
        <w:t>] works</w:t>
      </w:r>
    </w:p>
    <w:p w:rsidR="003638DE" w:rsidRPr="006E709F" w:rsidRDefault="00F17AC1" w:rsidP="00F17AC1">
      <w:pPr>
        <w:pStyle w:val="paragraph"/>
      </w:pPr>
      <w:r w:rsidRPr="006E709F">
        <w:tab/>
      </w:r>
      <w:r w:rsidR="003638DE" w:rsidRPr="006E709F">
        <w:t>4.</w:t>
      </w:r>
      <w:r w:rsidR="003638DE" w:rsidRPr="006E709F">
        <w:tab/>
        <w:t>What is a margin call?</w:t>
      </w:r>
    </w:p>
    <w:p w:rsidR="003638DE" w:rsidRPr="006E709F" w:rsidRDefault="00F17AC1" w:rsidP="00F17AC1">
      <w:pPr>
        <w:pStyle w:val="paragraph"/>
      </w:pPr>
      <w:r w:rsidRPr="006E709F">
        <w:tab/>
      </w:r>
      <w:r w:rsidR="003638DE" w:rsidRPr="006E709F">
        <w:t>5.</w:t>
      </w:r>
      <w:r w:rsidR="003638DE" w:rsidRPr="006E709F">
        <w:tab/>
        <w:t>The risk of losing money</w:t>
      </w:r>
    </w:p>
    <w:p w:rsidR="003638DE" w:rsidRPr="006E709F" w:rsidRDefault="00F17AC1" w:rsidP="00F17AC1">
      <w:pPr>
        <w:pStyle w:val="paragraph"/>
      </w:pPr>
      <w:r w:rsidRPr="006E709F">
        <w:tab/>
      </w:r>
      <w:r w:rsidR="003638DE" w:rsidRPr="006E709F">
        <w:t>6.</w:t>
      </w:r>
      <w:r w:rsidR="003638DE" w:rsidRPr="006E709F">
        <w:tab/>
        <w:t>The costs</w:t>
      </w:r>
    </w:p>
    <w:p w:rsidR="003638DE" w:rsidRPr="006E709F" w:rsidRDefault="00F17AC1" w:rsidP="00F17AC1">
      <w:pPr>
        <w:pStyle w:val="paragraph"/>
      </w:pPr>
      <w:r w:rsidRPr="006E709F">
        <w:tab/>
      </w:r>
      <w:r w:rsidR="003638DE" w:rsidRPr="006E709F">
        <w:t>7.</w:t>
      </w:r>
      <w:r w:rsidR="003638DE" w:rsidRPr="006E709F">
        <w:tab/>
        <w:t>How to apply.</w:t>
      </w:r>
    </w:p>
    <w:p w:rsidR="003638DE" w:rsidRPr="006E709F" w:rsidRDefault="003638DE" w:rsidP="00A801D0">
      <w:pPr>
        <w:pStyle w:val="subsection"/>
      </w:pPr>
      <w:r w:rsidRPr="006E709F">
        <w:tab/>
        <w:t>(2)</w:t>
      </w:r>
      <w:r w:rsidRPr="006E709F">
        <w:tab/>
        <w:t>The Product Disclosure Statement must include:</w:t>
      </w:r>
    </w:p>
    <w:p w:rsidR="003638DE" w:rsidRPr="006E709F" w:rsidRDefault="003638DE" w:rsidP="00A801D0">
      <w:pPr>
        <w:pStyle w:val="paragraph"/>
      </w:pPr>
      <w:r w:rsidRPr="006E709F">
        <w:tab/>
        <w:t>(a)</w:t>
      </w:r>
      <w:r w:rsidRPr="006E709F">
        <w:tab/>
        <w:t xml:space="preserve">a table of contents that sets out the titles mentioned in </w:t>
      </w:r>
      <w:r w:rsidR="00DA13DE" w:rsidRPr="006E709F">
        <w:t>subclause (</w:t>
      </w:r>
      <w:r w:rsidRPr="006E709F">
        <w:t>1); and</w:t>
      </w:r>
    </w:p>
    <w:p w:rsidR="003638DE" w:rsidRPr="006E709F" w:rsidRDefault="003638DE" w:rsidP="00A801D0">
      <w:pPr>
        <w:pStyle w:val="paragraph"/>
      </w:pPr>
      <w:r w:rsidRPr="006E709F">
        <w:tab/>
        <w:t>(b)</w:t>
      </w:r>
      <w:r w:rsidRPr="006E709F">
        <w:tab/>
        <w:t xml:space="preserve">the telephone number of the provider of the </w:t>
      </w:r>
      <w:r w:rsidR="00741A0C" w:rsidRPr="00BE1284">
        <w:t>standard margin lending facility</w:t>
      </w:r>
      <w:r w:rsidRPr="006E709F">
        <w:t xml:space="preserve"> to enable a borrower for the </w:t>
      </w:r>
      <w:r w:rsidR="00741A0C" w:rsidRPr="00BE1284">
        <w:t>standard margin lending facility</w:t>
      </w:r>
      <w:r w:rsidRPr="006E709F">
        <w:t xml:space="preserve"> to request a copy of the following under </w:t>
      </w:r>
      <w:r w:rsidR="005378CE" w:rsidRPr="006E709F">
        <w:t>regulation 7</w:t>
      </w:r>
      <w:r w:rsidRPr="006E709F">
        <w:t>.9.11G:</w:t>
      </w:r>
    </w:p>
    <w:p w:rsidR="003638DE" w:rsidRPr="006E709F" w:rsidRDefault="003638DE" w:rsidP="00A801D0">
      <w:pPr>
        <w:pStyle w:val="paragraphsub"/>
      </w:pPr>
      <w:r w:rsidRPr="006E709F">
        <w:tab/>
        <w:t>(i)</w:t>
      </w:r>
      <w:r w:rsidRPr="006E709F">
        <w:tab/>
        <w:t>a copy of the Statement; and</w:t>
      </w:r>
    </w:p>
    <w:p w:rsidR="003638DE" w:rsidRPr="006E709F" w:rsidRDefault="003638DE" w:rsidP="00A801D0">
      <w:pPr>
        <w:pStyle w:val="paragraphsub"/>
      </w:pPr>
      <w:r w:rsidRPr="006E709F">
        <w:tab/>
        <w:t>(ii)</w:t>
      </w:r>
      <w:r w:rsidRPr="006E709F">
        <w:tab/>
        <w:t>a copy of a matter in writing that is applied, adopted or incorporated by the Statement.</w:t>
      </w:r>
    </w:p>
    <w:p w:rsidR="003638DE" w:rsidRPr="006E709F" w:rsidRDefault="003638DE" w:rsidP="00A801D0">
      <w:pPr>
        <w:pStyle w:val="subsection"/>
      </w:pPr>
      <w:r w:rsidRPr="006E709F">
        <w:tab/>
        <w:t>(3)</w:t>
      </w:r>
      <w:r w:rsidRPr="006E709F">
        <w:tab/>
        <w:t>The Product Disclosure Statement must:</w:t>
      </w:r>
    </w:p>
    <w:p w:rsidR="003638DE" w:rsidRPr="006E709F" w:rsidRDefault="003638DE" w:rsidP="00A801D0">
      <w:pPr>
        <w:pStyle w:val="paragraph"/>
      </w:pPr>
      <w:r w:rsidRPr="006E709F">
        <w:tab/>
        <w:t>(a)</w:t>
      </w:r>
      <w:r w:rsidRPr="006E709F">
        <w:tab/>
        <w:t>advise a person reading the Statement that:</w:t>
      </w:r>
    </w:p>
    <w:p w:rsidR="003638DE" w:rsidRPr="006E709F" w:rsidRDefault="003638DE" w:rsidP="00A801D0">
      <w:pPr>
        <w:pStyle w:val="paragraphsub"/>
      </w:pPr>
      <w:r w:rsidRPr="006E709F">
        <w:tab/>
        <w:t>(i)</w:t>
      </w:r>
      <w:r w:rsidRPr="006E709F">
        <w:tab/>
        <w:t>it is a summary of significant information and contains a number of references to important information (each of which forms part of the Statement); and</w:t>
      </w:r>
    </w:p>
    <w:p w:rsidR="003638DE" w:rsidRPr="006E709F" w:rsidRDefault="003638DE" w:rsidP="00A801D0">
      <w:pPr>
        <w:pStyle w:val="paragraphsub"/>
      </w:pPr>
      <w:r w:rsidRPr="006E709F">
        <w:tab/>
        <w:t>(ii)</w:t>
      </w:r>
      <w:r w:rsidRPr="006E709F">
        <w:tab/>
        <w:t>the person should consider that information before making a decision about the product; and</w:t>
      </w:r>
    </w:p>
    <w:p w:rsidR="003638DE" w:rsidRPr="006E709F" w:rsidRDefault="003638DE" w:rsidP="00A801D0">
      <w:pPr>
        <w:pStyle w:val="paragraphsub"/>
      </w:pPr>
      <w:r w:rsidRPr="006E709F">
        <w:tab/>
        <w:t>(iii)</w:t>
      </w:r>
      <w:r w:rsidRPr="006E709F">
        <w:tab/>
        <w:t>the information provided in the Statement is general information only and does not take account of the person’s personal financial situation or needs; and</w:t>
      </w:r>
    </w:p>
    <w:p w:rsidR="003638DE" w:rsidRPr="006E709F" w:rsidRDefault="003638DE" w:rsidP="00A801D0">
      <w:pPr>
        <w:pStyle w:val="paragraphsub"/>
      </w:pPr>
      <w:r w:rsidRPr="006E709F">
        <w:tab/>
        <w:t>(iv)</w:t>
      </w:r>
      <w:r w:rsidRPr="006E709F">
        <w:tab/>
        <w:t>the person should obtain financial advice tailored to the person’s personal circumstances; and</w:t>
      </w:r>
    </w:p>
    <w:p w:rsidR="003638DE" w:rsidRPr="006E709F" w:rsidRDefault="003638DE" w:rsidP="00A801D0">
      <w:pPr>
        <w:pStyle w:val="paragraph"/>
      </w:pPr>
      <w:r w:rsidRPr="006E709F">
        <w:tab/>
        <w:t>(b)</w:t>
      </w:r>
      <w:r w:rsidRPr="006E709F">
        <w:tab/>
        <w:t>display the advice:</w:t>
      </w:r>
    </w:p>
    <w:p w:rsidR="003638DE" w:rsidRPr="006E709F" w:rsidRDefault="003638DE" w:rsidP="00A801D0">
      <w:pPr>
        <w:pStyle w:val="paragraphsub"/>
      </w:pPr>
      <w:r w:rsidRPr="006E709F">
        <w:tab/>
        <w:t>(i)</w:t>
      </w:r>
      <w:r w:rsidRPr="006E709F">
        <w:tab/>
        <w:t>at or near the beginning of the document; and</w:t>
      </w:r>
    </w:p>
    <w:p w:rsidR="003638DE" w:rsidRPr="006E709F" w:rsidRDefault="003638DE" w:rsidP="00A801D0">
      <w:pPr>
        <w:pStyle w:val="paragraphsub"/>
      </w:pPr>
      <w:r w:rsidRPr="006E709F">
        <w:tab/>
        <w:t>(ii)</w:t>
      </w:r>
      <w:r w:rsidRPr="006E709F">
        <w:tab/>
        <w:t>in a prominent position and style.</w:t>
      </w:r>
    </w:p>
    <w:p w:rsidR="003638DE" w:rsidRPr="006E709F" w:rsidRDefault="003638DE" w:rsidP="00A801D0">
      <w:pPr>
        <w:pStyle w:val="subsection"/>
      </w:pPr>
      <w:r w:rsidRPr="006E709F">
        <w:tab/>
        <w:t>(4)</w:t>
      </w:r>
      <w:r w:rsidRPr="006E709F">
        <w:tab/>
        <w:t>The Product Disclosure Statement:</w:t>
      </w:r>
    </w:p>
    <w:p w:rsidR="003638DE" w:rsidRPr="006E709F" w:rsidRDefault="003638DE" w:rsidP="00A801D0">
      <w:pPr>
        <w:pStyle w:val="paragraph"/>
      </w:pPr>
      <w:r w:rsidRPr="006E709F">
        <w:tab/>
        <w:t>(a)</w:t>
      </w:r>
      <w:r w:rsidRPr="006E709F">
        <w:tab/>
        <w:t>may include additional sections after sections</w:t>
      </w:r>
      <w:r w:rsidR="00DA13DE" w:rsidRPr="006E709F">
        <w:t> </w:t>
      </w:r>
      <w:r w:rsidRPr="006E709F">
        <w:t>1 to 7; and</w:t>
      </w:r>
    </w:p>
    <w:p w:rsidR="003638DE" w:rsidRPr="006E709F" w:rsidRDefault="003638DE" w:rsidP="00A801D0">
      <w:pPr>
        <w:pStyle w:val="paragraph"/>
      </w:pPr>
      <w:r w:rsidRPr="006E709F">
        <w:tab/>
        <w:t>(b)</w:t>
      </w:r>
      <w:r w:rsidRPr="006E709F">
        <w:tab/>
        <w:t>may include other information;</w:t>
      </w:r>
    </w:p>
    <w:p w:rsidR="003638DE" w:rsidRPr="006E709F" w:rsidRDefault="003638DE" w:rsidP="00A801D0">
      <w:pPr>
        <w:pStyle w:val="subsection2"/>
      </w:pPr>
      <w:r w:rsidRPr="006E709F">
        <w:t>to an extent that does not have the effect of contravening subclause</w:t>
      </w:r>
      <w:r w:rsidR="00DA13DE" w:rsidRPr="006E709F">
        <w:t> </w:t>
      </w:r>
      <w:r w:rsidRPr="006E709F">
        <w:t>1(1).</w:t>
      </w:r>
    </w:p>
    <w:p w:rsidR="003638DE" w:rsidRPr="006E709F" w:rsidRDefault="003638DE" w:rsidP="00A801D0">
      <w:pPr>
        <w:pStyle w:val="subsection"/>
      </w:pPr>
      <w:r w:rsidRPr="006E709F">
        <w:tab/>
        <w:t>(5)</w:t>
      </w:r>
      <w:r w:rsidRPr="006E709F">
        <w:tab/>
        <w:t xml:space="preserve">The Product Disclosure Statement does not need to indicate that a particular requirement is not applicable to the </w:t>
      </w:r>
      <w:r w:rsidR="00781470" w:rsidRPr="00BE1284">
        <w:t>standard margin lending facility</w:t>
      </w:r>
      <w:r w:rsidRPr="006E709F">
        <w:t>.</w:t>
      </w:r>
    </w:p>
    <w:p w:rsidR="003638DE" w:rsidRPr="006E709F" w:rsidRDefault="00A801D0" w:rsidP="00A801D0">
      <w:pPr>
        <w:pStyle w:val="notetext"/>
      </w:pPr>
      <w:r w:rsidRPr="006E709F">
        <w:t>Note:</w:t>
      </w:r>
      <w:r w:rsidRPr="006E709F">
        <w:tab/>
      </w:r>
      <w:r w:rsidR="003638DE" w:rsidRPr="006E709F">
        <w:t xml:space="preserve">The Act, as modified in accordance with </w:t>
      </w:r>
      <w:r w:rsidRPr="006E709F">
        <w:t>Subdivision</w:t>
      </w:r>
      <w:r w:rsidR="00DA13DE" w:rsidRPr="006E709F">
        <w:t> </w:t>
      </w:r>
      <w:r w:rsidR="003638DE" w:rsidRPr="006E709F">
        <w:t xml:space="preserve">4.2A of </w:t>
      </w:r>
      <w:r w:rsidRPr="006E709F">
        <w:t>Division</w:t>
      </w:r>
      <w:r w:rsidR="00DA13DE" w:rsidRPr="006E709F">
        <w:t> </w:t>
      </w:r>
      <w:r w:rsidR="003638DE" w:rsidRPr="006E709F">
        <w:t xml:space="preserve">4 of </w:t>
      </w:r>
      <w:r w:rsidRPr="006E709F">
        <w:t>Part</w:t>
      </w:r>
      <w:r w:rsidR="00DA13DE" w:rsidRPr="006E709F">
        <w:t> </w:t>
      </w:r>
      <w:r w:rsidR="003638DE" w:rsidRPr="006E709F">
        <w:t xml:space="preserve">7.9, requires information to be included in the Product Disclosure Statement only to the extent to which the requirement is applicable to the </w:t>
      </w:r>
      <w:r w:rsidR="00781470" w:rsidRPr="00BE1284">
        <w:t>standard margin lending facility</w:t>
      </w:r>
      <w:r w:rsidR="003638DE" w:rsidRPr="006E709F">
        <w:t>.</w:t>
      </w:r>
    </w:p>
    <w:p w:rsidR="003638DE" w:rsidRPr="006E709F" w:rsidRDefault="00415D63" w:rsidP="00C93238">
      <w:pPr>
        <w:pStyle w:val="ActHead5"/>
      </w:pPr>
      <w:bookmarkStart w:id="139" w:name="_Toc160609826"/>
      <w:r w:rsidRPr="000C4237">
        <w:rPr>
          <w:rStyle w:val="CharSectno"/>
        </w:rPr>
        <w:t>3</w:t>
      </w:r>
      <w:r w:rsidRPr="006E709F">
        <w:t xml:space="preserve">  </w:t>
      </w:r>
      <w:r w:rsidR="003638DE" w:rsidRPr="006E709F">
        <w:t>Contents of section</w:t>
      </w:r>
      <w:r w:rsidR="00DA13DE" w:rsidRPr="006E709F">
        <w:t> </w:t>
      </w:r>
      <w:r w:rsidR="003638DE" w:rsidRPr="006E709F">
        <w:t xml:space="preserve">1 (About [name of provider of </w:t>
      </w:r>
      <w:r w:rsidR="00D43FEC" w:rsidRPr="00D43FEC">
        <w:t>the standard margin lending facility</w:t>
      </w:r>
      <w:r w:rsidR="003638DE" w:rsidRPr="006E709F">
        <w:t xml:space="preserve">] and [name of </w:t>
      </w:r>
      <w:r w:rsidR="00D43FEC" w:rsidRPr="00D43FEC">
        <w:t>standard margin lending facility</w:t>
      </w:r>
      <w:r w:rsidR="003638DE" w:rsidRPr="006E709F">
        <w:t>])</w:t>
      </w:r>
      <w:bookmarkEnd w:id="139"/>
    </w:p>
    <w:p w:rsidR="003638DE" w:rsidRPr="006E709F" w:rsidRDefault="003638DE" w:rsidP="00A801D0">
      <w:pPr>
        <w:pStyle w:val="subsection"/>
      </w:pPr>
      <w:r w:rsidRPr="006E709F">
        <w:tab/>
      </w:r>
      <w:r w:rsidRPr="006E709F">
        <w:tab/>
        <w:t>Section</w:t>
      </w:r>
      <w:r w:rsidR="00DA13DE" w:rsidRPr="006E709F">
        <w:t> </w:t>
      </w:r>
      <w:r w:rsidRPr="006E709F">
        <w:t>1 of the Product Disclosure Statement must include:</w:t>
      </w:r>
    </w:p>
    <w:p w:rsidR="003638DE" w:rsidRPr="006E709F" w:rsidRDefault="003638DE" w:rsidP="00A801D0">
      <w:pPr>
        <w:pStyle w:val="paragraph"/>
      </w:pPr>
      <w:r w:rsidRPr="006E709F">
        <w:tab/>
        <w:t>(a)</w:t>
      </w:r>
      <w:r w:rsidRPr="006E709F">
        <w:tab/>
        <w:t xml:space="preserve">a short description of the </w:t>
      </w:r>
      <w:r w:rsidR="00E313CB" w:rsidRPr="00BE1284">
        <w:t>standard margin lending facility</w:t>
      </w:r>
      <w:r w:rsidRPr="006E709F">
        <w:t xml:space="preserve"> provider and its business; and</w:t>
      </w:r>
    </w:p>
    <w:p w:rsidR="003638DE" w:rsidRPr="006E709F" w:rsidRDefault="003638DE" w:rsidP="00A801D0">
      <w:pPr>
        <w:pStyle w:val="paragraph"/>
      </w:pPr>
      <w:r w:rsidRPr="006E709F">
        <w:tab/>
        <w:t>(b)</w:t>
      </w:r>
      <w:r w:rsidRPr="006E709F">
        <w:tab/>
        <w:t xml:space="preserve">a short summary of what </w:t>
      </w:r>
      <w:r w:rsidR="00E313CB" w:rsidRPr="00BE1284">
        <w:t>a standard margin lending facility</w:t>
      </w:r>
      <w:r w:rsidRPr="006E709F">
        <w:t xml:space="preserve"> is; and</w:t>
      </w:r>
    </w:p>
    <w:p w:rsidR="003638DE" w:rsidRPr="006E709F" w:rsidRDefault="003638DE" w:rsidP="00A801D0">
      <w:pPr>
        <w:pStyle w:val="paragraph"/>
      </w:pPr>
      <w:r w:rsidRPr="006E709F">
        <w:tab/>
        <w:t>(c)</w:t>
      </w:r>
      <w:r w:rsidRPr="006E709F">
        <w:tab/>
        <w:t>a statement setting out the possible consequences of borrowing money to invest, including the effect of magnifying both gains and losses; and</w:t>
      </w:r>
    </w:p>
    <w:p w:rsidR="003638DE" w:rsidRPr="006E709F" w:rsidRDefault="003638DE" w:rsidP="00A801D0">
      <w:pPr>
        <w:pStyle w:val="paragraph"/>
      </w:pPr>
      <w:r w:rsidRPr="006E709F">
        <w:tab/>
        <w:t>(d)</w:t>
      </w:r>
      <w:r w:rsidRPr="006E709F">
        <w:tab/>
        <w:t xml:space="preserve">a statement that the borrower for a </w:t>
      </w:r>
      <w:r w:rsidR="003C5E00" w:rsidRPr="00BE1284">
        <w:t>standard margin lending facility</w:t>
      </w:r>
      <w:r w:rsidRPr="006E709F">
        <w:t xml:space="preserve"> should regularly monitor the borrower’s portfolio so that:</w:t>
      </w:r>
    </w:p>
    <w:p w:rsidR="003638DE" w:rsidRPr="006E709F" w:rsidRDefault="003638DE" w:rsidP="00A801D0">
      <w:pPr>
        <w:pStyle w:val="paragraphsub"/>
      </w:pPr>
      <w:r w:rsidRPr="006E709F">
        <w:tab/>
        <w:t>(i)</w:t>
      </w:r>
      <w:r w:rsidRPr="006E709F">
        <w:tab/>
        <w:t xml:space="preserve">the borrower can be aware of changes (if any) to the terms of the </w:t>
      </w:r>
      <w:r w:rsidR="003C5E00" w:rsidRPr="00BE1284">
        <w:t>standard margin lending facility</w:t>
      </w:r>
      <w:r w:rsidRPr="006E709F">
        <w:t>; and</w:t>
      </w:r>
    </w:p>
    <w:p w:rsidR="003638DE" w:rsidRPr="006E709F" w:rsidRDefault="003638DE" w:rsidP="00A801D0">
      <w:pPr>
        <w:pStyle w:val="paragraphsub"/>
      </w:pPr>
      <w:r w:rsidRPr="006E709F">
        <w:tab/>
        <w:t>(ii)</w:t>
      </w:r>
      <w:r w:rsidRPr="006E709F">
        <w:tab/>
        <w:t>the borrower can take timely action to prevent potential losses in relation to the borrower’s portfolio; and</w:t>
      </w:r>
    </w:p>
    <w:p w:rsidR="003638DE" w:rsidRPr="006E709F" w:rsidRDefault="003638DE" w:rsidP="00A801D0">
      <w:pPr>
        <w:pStyle w:val="paragraph"/>
      </w:pPr>
      <w:r w:rsidRPr="006E709F">
        <w:tab/>
        <w:t>(e)</w:t>
      </w:r>
      <w:r w:rsidRPr="006E709F">
        <w:tab/>
        <w:t xml:space="preserve">a statement that the borrower for a </w:t>
      </w:r>
      <w:r w:rsidR="00587803" w:rsidRPr="00BE1284">
        <w:t>standard margin lending facility</w:t>
      </w:r>
      <w:r w:rsidRPr="006E709F">
        <w:t xml:space="preserve"> may need, at short notice, to pay an additional amount into the </w:t>
      </w:r>
      <w:r w:rsidR="00631B33" w:rsidRPr="00BE1284">
        <w:t>standard margin lending facility</w:t>
      </w:r>
      <w:r w:rsidRPr="006E709F">
        <w:t xml:space="preserve"> or sell some of the investments for which the </w:t>
      </w:r>
      <w:r w:rsidR="00587803" w:rsidRPr="00BE1284">
        <w:t>standard margin lending facility</w:t>
      </w:r>
      <w:r w:rsidRPr="006E709F">
        <w:t xml:space="preserve"> is made; and</w:t>
      </w:r>
    </w:p>
    <w:p w:rsidR="003638DE" w:rsidRPr="006E709F" w:rsidRDefault="003638DE" w:rsidP="00A801D0">
      <w:pPr>
        <w:pStyle w:val="paragraph"/>
      </w:pPr>
      <w:r w:rsidRPr="006E709F">
        <w:tab/>
        <w:t>(f)</w:t>
      </w:r>
      <w:r w:rsidRPr="006E709F">
        <w:tab/>
        <w:t xml:space="preserve">a statement that the provider of a </w:t>
      </w:r>
      <w:r w:rsidR="00631B33" w:rsidRPr="00BE1284">
        <w:t>standard margin lending facility</w:t>
      </w:r>
      <w:r w:rsidRPr="006E709F">
        <w:t xml:space="preserve"> has the right in certain circumstances to sell all, or part, of the borrower’s portfolio and may not be required under the terms of the </w:t>
      </w:r>
      <w:r w:rsidR="00587803" w:rsidRPr="00BE1284">
        <w:t>standard margin lending facility</w:t>
      </w:r>
      <w:r w:rsidRPr="006E709F">
        <w:t xml:space="preserve"> to provide notice to the borrower of its intention to sell; and</w:t>
      </w:r>
    </w:p>
    <w:p w:rsidR="003638DE" w:rsidRPr="006E709F" w:rsidRDefault="003638DE" w:rsidP="00A801D0">
      <w:pPr>
        <w:pStyle w:val="paragraph"/>
      </w:pPr>
      <w:r w:rsidRPr="006E709F">
        <w:tab/>
        <w:t>(g)</w:t>
      </w:r>
      <w:r w:rsidRPr="006E709F">
        <w:tab/>
        <w:t xml:space="preserve">a statement that if the value of the portfolio for a </w:t>
      </w:r>
      <w:r w:rsidR="00631B33" w:rsidRPr="00BE1284">
        <w:t>standard margin lending facility</w:t>
      </w:r>
      <w:r w:rsidRPr="006E709F">
        <w:t xml:space="preserve"> does not cover the cost of repayments for the </w:t>
      </w:r>
      <w:r w:rsidR="00631B33" w:rsidRPr="00BE1284">
        <w:t>standard margin lending facility</w:t>
      </w:r>
      <w:r w:rsidRPr="006E709F">
        <w:t>:</w:t>
      </w:r>
    </w:p>
    <w:p w:rsidR="003638DE" w:rsidRPr="006E709F" w:rsidRDefault="003638DE" w:rsidP="00A801D0">
      <w:pPr>
        <w:pStyle w:val="paragraphsub"/>
      </w:pPr>
      <w:r w:rsidRPr="006E709F">
        <w:tab/>
        <w:t>(i)</w:t>
      </w:r>
      <w:r w:rsidRPr="006E709F">
        <w:tab/>
        <w:t xml:space="preserve">the borrower for the </w:t>
      </w:r>
      <w:r w:rsidR="00631B33" w:rsidRPr="00BE1284">
        <w:t>standard margin lending facility</w:t>
      </w:r>
      <w:r w:rsidRPr="006E709F">
        <w:t xml:space="preserve"> may need to access other funds to repay the </w:t>
      </w:r>
      <w:r w:rsidR="001826BD" w:rsidRPr="00BE1284">
        <w:t>standard margin lending facility</w:t>
      </w:r>
      <w:r w:rsidRPr="006E709F">
        <w:t>; or</w:t>
      </w:r>
    </w:p>
    <w:p w:rsidR="003638DE" w:rsidRPr="006E709F" w:rsidRDefault="003638DE" w:rsidP="00A801D0">
      <w:pPr>
        <w:pStyle w:val="paragraphsub"/>
      </w:pPr>
      <w:r w:rsidRPr="006E709F">
        <w:tab/>
        <w:t>(ii)</w:t>
      </w:r>
      <w:r w:rsidRPr="006E709F">
        <w:tab/>
        <w:t xml:space="preserve">the provider of the </w:t>
      </w:r>
      <w:r w:rsidR="00631B33" w:rsidRPr="00BE1284">
        <w:t>standard margin lending facility</w:t>
      </w:r>
      <w:r w:rsidRPr="006E709F">
        <w:t xml:space="preserve"> may sell assets provided as security for the </w:t>
      </w:r>
      <w:r w:rsidR="00631B33" w:rsidRPr="00BE1284">
        <w:t>standard margin lending facility</w:t>
      </w:r>
      <w:r w:rsidRPr="006E709F">
        <w:t>, for example, the borrower’s residential property; and</w:t>
      </w:r>
    </w:p>
    <w:p w:rsidR="003638DE" w:rsidRPr="006E709F" w:rsidRDefault="003638DE" w:rsidP="00A801D0">
      <w:pPr>
        <w:pStyle w:val="paragraph"/>
      </w:pPr>
      <w:r w:rsidRPr="006E709F">
        <w:tab/>
        <w:t>(h)</w:t>
      </w:r>
      <w:r w:rsidRPr="006E709F">
        <w:tab/>
        <w:t xml:space="preserve">a statement that the law requires the provider of a </w:t>
      </w:r>
      <w:r w:rsidR="00631B33" w:rsidRPr="00BE1284">
        <w:t>standard margin lending facility</w:t>
      </w:r>
      <w:r w:rsidRPr="006E709F">
        <w:t xml:space="preserve"> to:</w:t>
      </w:r>
    </w:p>
    <w:p w:rsidR="003638DE" w:rsidRPr="006E709F" w:rsidRDefault="003638DE" w:rsidP="00A801D0">
      <w:pPr>
        <w:pStyle w:val="paragraphsub"/>
      </w:pPr>
      <w:r w:rsidRPr="006E709F">
        <w:tab/>
        <w:t>(i)</w:t>
      </w:r>
      <w:r w:rsidRPr="006E709F">
        <w:tab/>
        <w:t xml:space="preserve">assess whether the </w:t>
      </w:r>
      <w:r w:rsidR="00631B33" w:rsidRPr="00BE1284">
        <w:t>standard margin lending facility</w:t>
      </w:r>
      <w:r w:rsidRPr="006E709F">
        <w:t xml:space="preserve"> is unsuitable for the potential borrower for the </w:t>
      </w:r>
      <w:r w:rsidR="00631B33" w:rsidRPr="00BE1284">
        <w:t>standard margin lending facility</w:t>
      </w:r>
      <w:r w:rsidRPr="006E709F">
        <w:t>; and</w:t>
      </w:r>
    </w:p>
    <w:p w:rsidR="003638DE" w:rsidRPr="006E709F" w:rsidRDefault="003638DE" w:rsidP="00A801D0">
      <w:pPr>
        <w:pStyle w:val="paragraphsub"/>
      </w:pPr>
      <w:r w:rsidRPr="006E709F">
        <w:tab/>
        <w:t>(ii)</w:t>
      </w:r>
      <w:r w:rsidRPr="006E709F">
        <w:tab/>
        <w:t xml:space="preserve">if the potential borrower for the </w:t>
      </w:r>
      <w:r w:rsidR="00631B33" w:rsidRPr="00BE1284">
        <w:t>standard margin lending facility</w:t>
      </w:r>
      <w:r w:rsidRPr="006E709F">
        <w:t xml:space="preserve"> requests a copy of the assessment</w:t>
      </w:r>
      <w:r w:rsidR="00A801D0" w:rsidRPr="006E709F">
        <w:t>—</w:t>
      </w:r>
      <w:r w:rsidRPr="006E709F">
        <w:t xml:space="preserve">to provide a copy of the assessment to the potential borrower for the </w:t>
      </w:r>
      <w:r w:rsidR="00631B33" w:rsidRPr="00BE1284">
        <w:t>standard margin lending facility</w:t>
      </w:r>
      <w:r w:rsidRPr="006E709F">
        <w:t>.</w:t>
      </w:r>
    </w:p>
    <w:p w:rsidR="003638DE" w:rsidRPr="006E709F" w:rsidRDefault="00A801D0" w:rsidP="00A801D0">
      <w:pPr>
        <w:pStyle w:val="notetext"/>
      </w:pPr>
      <w:r w:rsidRPr="006E709F">
        <w:t>Note:</w:t>
      </w:r>
      <w:r w:rsidRPr="006E709F">
        <w:tab/>
      </w:r>
      <w:r w:rsidR="003638DE" w:rsidRPr="006E709F">
        <w:t xml:space="preserve">The provider of a </w:t>
      </w:r>
      <w:r w:rsidR="00631B33" w:rsidRPr="00BE1284">
        <w:t>standard margin lending facility</w:t>
      </w:r>
      <w:r w:rsidR="003638DE" w:rsidRPr="006E709F">
        <w:t xml:space="preserve"> is not required to give the borrower or potential borrower for the </w:t>
      </w:r>
      <w:r w:rsidR="00631B33" w:rsidRPr="00BE1284">
        <w:t>standard margin lending facility</w:t>
      </w:r>
      <w:r w:rsidR="003638DE" w:rsidRPr="006E709F">
        <w:t xml:space="preserve"> a copy of the assessment if the </w:t>
      </w:r>
      <w:r w:rsidR="00631B33" w:rsidRPr="00BE1284">
        <w:t>standard margin lending facility</w:t>
      </w:r>
      <w:r w:rsidR="003638DE" w:rsidRPr="006E709F">
        <w:t xml:space="preserve"> is not issued.</w:t>
      </w:r>
    </w:p>
    <w:p w:rsidR="003638DE" w:rsidRPr="006E709F" w:rsidRDefault="00415D63" w:rsidP="00C93238">
      <w:pPr>
        <w:pStyle w:val="ActHead5"/>
      </w:pPr>
      <w:bookmarkStart w:id="140" w:name="_Toc160609827"/>
      <w:r w:rsidRPr="000C4237">
        <w:rPr>
          <w:rStyle w:val="CharSectno"/>
        </w:rPr>
        <w:t>4</w:t>
      </w:r>
      <w:r w:rsidRPr="006E709F">
        <w:t xml:space="preserve">  </w:t>
      </w:r>
      <w:r w:rsidR="003638DE" w:rsidRPr="006E709F">
        <w:t>Contents of section</w:t>
      </w:r>
      <w:r w:rsidR="00DA13DE" w:rsidRPr="006E709F">
        <w:t> </w:t>
      </w:r>
      <w:r w:rsidR="003638DE" w:rsidRPr="006E709F">
        <w:t xml:space="preserve">2 (Benefits of [name of </w:t>
      </w:r>
      <w:r w:rsidR="00DD0FD6" w:rsidRPr="00DD0FD6">
        <w:t>standard margin lending facility</w:t>
      </w:r>
      <w:r w:rsidR="003638DE" w:rsidRPr="006E709F">
        <w:t>])</w:t>
      </w:r>
      <w:bookmarkEnd w:id="140"/>
    </w:p>
    <w:p w:rsidR="003638DE" w:rsidRPr="006E709F" w:rsidRDefault="003638DE" w:rsidP="00A801D0">
      <w:pPr>
        <w:pStyle w:val="subsection"/>
      </w:pPr>
      <w:r w:rsidRPr="006E709F">
        <w:tab/>
        <w:t>(1)</w:t>
      </w:r>
      <w:r w:rsidRPr="006E709F">
        <w:tab/>
        <w:t>Section</w:t>
      </w:r>
      <w:r w:rsidR="00DA13DE" w:rsidRPr="006E709F">
        <w:t> </w:t>
      </w:r>
      <w:r w:rsidRPr="006E709F">
        <w:t xml:space="preserve">2 of the Product Disclosure Statement for a </w:t>
      </w:r>
      <w:r w:rsidR="00587803" w:rsidRPr="00BE1284">
        <w:t>standard margin lending facility</w:t>
      </w:r>
      <w:r w:rsidRPr="006E709F">
        <w:t xml:space="preserve"> must include a description of the key benefits available to the borrower or potential borrower for the </w:t>
      </w:r>
      <w:r w:rsidR="00DD0FD6" w:rsidRPr="00BE1284">
        <w:t>standard margin lending facility</w:t>
      </w:r>
      <w:r w:rsidRPr="006E709F">
        <w:t>.</w:t>
      </w:r>
    </w:p>
    <w:p w:rsidR="003638DE" w:rsidRPr="006E709F" w:rsidRDefault="003638DE" w:rsidP="00A801D0">
      <w:pPr>
        <w:pStyle w:val="subsection"/>
      </w:pPr>
      <w:r w:rsidRPr="006E709F">
        <w:tab/>
        <w:t>(2)</w:t>
      </w:r>
      <w:r w:rsidRPr="006E709F">
        <w:tab/>
        <w:t>Section</w:t>
      </w:r>
      <w:r w:rsidR="00DA13DE" w:rsidRPr="006E709F">
        <w:t> </w:t>
      </w:r>
      <w:r w:rsidRPr="006E709F">
        <w:t xml:space="preserve">2 of the Statement may include a description about other benefits available to a borrower or potential borrower for the </w:t>
      </w:r>
      <w:r w:rsidR="00DD0FD6" w:rsidRPr="00BE1284">
        <w:t>standard margin lending facility</w:t>
      </w:r>
      <w:r w:rsidRPr="006E709F">
        <w:t xml:space="preserve"> other than the benefits mentioned in </w:t>
      </w:r>
      <w:r w:rsidR="00DA13DE" w:rsidRPr="006E709F">
        <w:t>subclause (</w:t>
      </w:r>
      <w:r w:rsidRPr="006E709F">
        <w:t>1).</w:t>
      </w:r>
    </w:p>
    <w:p w:rsidR="003638DE" w:rsidRPr="006E709F" w:rsidRDefault="003638DE" w:rsidP="00A801D0">
      <w:pPr>
        <w:pStyle w:val="subsection"/>
      </w:pPr>
      <w:r w:rsidRPr="006E709F">
        <w:tab/>
        <w:t>(3)</w:t>
      </w:r>
      <w:r w:rsidRPr="006E709F">
        <w:tab/>
        <w:t>Section</w:t>
      </w:r>
      <w:r w:rsidR="00DA13DE" w:rsidRPr="006E709F">
        <w:t> </w:t>
      </w:r>
      <w:r w:rsidRPr="006E709F">
        <w:t xml:space="preserve">2 of the Statement may provide for the description mentioned in </w:t>
      </w:r>
      <w:r w:rsidR="00DA13DE" w:rsidRPr="006E709F">
        <w:t>subclause (</w:t>
      </w:r>
      <w:r w:rsidRPr="006E709F">
        <w:t>2) by applying, adopting or incorporating a matter in writing.</w:t>
      </w:r>
    </w:p>
    <w:p w:rsidR="003638DE" w:rsidRPr="006E709F" w:rsidRDefault="00415D63" w:rsidP="00C93238">
      <w:pPr>
        <w:pStyle w:val="ActHead5"/>
      </w:pPr>
      <w:bookmarkStart w:id="141" w:name="_Toc160609828"/>
      <w:r w:rsidRPr="000C4237">
        <w:rPr>
          <w:rStyle w:val="CharSectno"/>
        </w:rPr>
        <w:t>5</w:t>
      </w:r>
      <w:r w:rsidRPr="006E709F">
        <w:t xml:space="preserve">  </w:t>
      </w:r>
      <w:r w:rsidR="003638DE" w:rsidRPr="006E709F">
        <w:t>Contents of section</w:t>
      </w:r>
      <w:r w:rsidR="00DA13DE" w:rsidRPr="006E709F">
        <w:t> </w:t>
      </w:r>
      <w:r w:rsidR="003638DE" w:rsidRPr="006E709F">
        <w:t xml:space="preserve">3 (How [name of </w:t>
      </w:r>
      <w:r w:rsidR="0051105F" w:rsidRPr="0051105F">
        <w:t>standard margin lending facility</w:t>
      </w:r>
      <w:r w:rsidR="003638DE" w:rsidRPr="006E709F">
        <w:t>] works)</w:t>
      </w:r>
      <w:bookmarkEnd w:id="141"/>
    </w:p>
    <w:p w:rsidR="003638DE" w:rsidRPr="006E709F" w:rsidRDefault="003638DE" w:rsidP="00A801D0">
      <w:pPr>
        <w:pStyle w:val="subsection"/>
      </w:pPr>
      <w:r w:rsidRPr="006E709F">
        <w:tab/>
        <w:t>(1)</w:t>
      </w:r>
      <w:r w:rsidRPr="006E709F">
        <w:tab/>
        <w:t>Section</w:t>
      </w:r>
      <w:r w:rsidR="00DA13DE" w:rsidRPr="006E709F">
        <w:t> </w:t>
      </w:r>
      <w:r w:rsidRPr="006E709F">
        <w:t xml:space="preserve">3 of the Product Disclosure Statement for a </w:t>
      </w:r>
      <w:r w:rsidR="00D90A35" w:rsidRPr="00BE1284">
        <w:t>standard margin lending facility</w:t>
      </w:r>
      <w:r w:rsidRPr="006E709F">
        <w:t xml:space="preserve"> must include:</w:t>
      </w:r>
    </w:p>
    <w:p w:rsidR="003638DE" w:rsidRPr="006E709F" w:rsidRDefault="003638DE" w:rsidP="00A801D0">
      <w:pPr>
        <w:pStyle w:val="paragraph"/>
      </w:pPr>
      <w:r w:rsidRPr="006E709F">
        <w:tab/>
        <w:t>(a)</w:t>
      </w:r>
      <w:r w:rsidRPr="006E709F">
        <w:tab/>
        <w:t xml:space="preserve">an explanation of how </w:t>
      </w:r>
      <w:r w:rsidR="005811A3">
        <w:t xml:space="preserve">a </w:t>
      </w:r>
      <w:r w:rsidR="005811A3" w:rsidRPr="00BE1284">
        <w:t>standard margin lending facilit</w:t>
      </w:r>
      <w:r w:rsidR="005811A3">
        <w:t>y</w:t>
      </w:r>
      <w:r w:rsidRPr="006E709F">
        <w:t xml:space="preserve"> works including information about the following:</w:t>
      </w:r>
    </w:p>
    <w:p w:rsidR="003638DE" w:rsidRPr="006E709F" w:rsidRDefault="003638DE" w:rsidP="00A801D0">
      <w:pPr>
        <w:pStyle w:val="paragraphsub"/>
      </w:pPr>
      <w:r w:rsidRPr="006E709F">
        <w:tab/>
        <w:t>(i)</w:t>
      </w:r>
      <w:r w:rsidRPr="006E709F">
        <w:tab/>
        <w:t xml:space="preserve">the maximum loan amount for the </w:t>
      </w:r>
      <w:r w:rsidR="00530753" w:rsidRPr="00BE1284">
        <w:t>standard margin lending facility</w:t>
      </w:r>
      <w:r w:rsidRPr="006E709F">
        <w:t>;</w:t>
      </w:r>
    </w:p>
    <w:p w:rsidR="003638DE" w:rsidRPr="006E709F" w:rsidRDefault="003638DE" w:rsidP="00A801D0">
      <w:pPr>
        <w:pStyle w:val="paragraphsub"/>
      </w:pPr>
      <w:r w:rsidRPr="006E709F">
        <w:tab/>
        <w:t>(ii)</w:t>
      </w:r>
      <w:r w:rsidRPr="006E709F">
        <w:tab/>
        <w:t>the loan</w:t>
      </w:r>
      <w:r w:rsidR="000C4237">
        <w:noBreakHyphen/>
      </w:r>
      <w:r w:rsidRPr="006E709F">
        <w:t>to</w:t>
      </w:r>
      <w:r w:rsidR="000C4237">
        <w:noBreakHyphen/>
      </w:r>
      <w:r w:rsidRPr="006E709F">
        <w:t xml:space="preserve">value ratios for the </w:t>
      </w:r>
      <w:r w:rsidR="00530753" w:rsidRPr="00BE1284">
        <w:t>standard margin lending facility</w:t>
      </w:r>
      <w:r w:rsidRPr="006E709F">
        <w:t>; and</w:t>
      </w:r>
    </w:p>
    <w:p w:rsidR="003638DE" w:rsidRPr="006E709F" w:rsidRDefault="003638DE" w:rsidP="00A801D0">
      <w:pPr>
        <w:pStyle w:val="paragraph"/>
      </w:pPr>
      <w:r w:rsidRPr="006E709F">
        <w:tab/>
        <w:t>(b)</w:t>
      </w:r>
      <w:r w:rsidRPr="006E709F">
        <w:tab/>
        <w:t xml:space="preserve">at least 1 example that illustrates the matters mentioned in </w:t>
      </w:r>
      <w:r w:rsidR="00DA13DE" w:rsidRPr="006E709F">
        <w:t>subparagraphs (</w:t>
      </w:r>
      <w:r w:rsidRPr="006E709F">
        <w:t>a</w:t>
      </w:r>
      <w:r w:rsidR="00A801D0" w:rsidRPr="006E709F">
        <w:t>)(</w:t>
      </w:r>
      <w:r w:rsidRPr="006E709F">
        <w:t>i) and (ii); and</w:t>
      </w:r>
    </w:p>
    <w:p w:rsidR="003638DE" w:rsidRPr="006E709F" w:rsidRDefault="003638DE" w:rsidP="00A801D0">
      <w:pPr>
        <w:pStyle w:val="paragraph"/>
      </w:pPr>
      <w:r w:rsidRPr="006E709F">
        <w:tab/>
        <w:t>(c)</w:t>
      </w:r>
      <w:r w:rsidRPr="006E709F">
        <w:tab/>
        <w:t xml:space="preserve">a description of the financial products that the borrower or potential borrower for the </w:t>
      </w:r>
      <w:r w:rsidR="00EC744B" w:rsidRPr="00BE1284">
        <w:t>standard margin lending facility</w:t>
      </w:r>
      <w:r w:rsidRPr="006E709F">
        <w:t xml:space="preserve"> can purchase with the </w:t>
      </w:r>
      <w:r w:rsidR="00EC744B" w:rsidRPr="00BE1284">
        <w:t>standard margin lending facility</w:t>
      </w:r>
      <w:r w:rsidRPr="006E709F">
        <w:t xml:space="preserve"> (including the Approved Securities List for the provider or potential provider of the </w:t>
      </w:r>
      <w:r w:rsidR="00EC744B" w:rsidRPr="00BE1284">
        <w:t>standard margin lending facility</w:t>
      </w:r>
      <w:r w:rsidRPr="006E709F">
        <w:t>); and</w:t>
      </w:r>
    </w:p>
    <w:p w:rsidR="003638DE" w:rsidRPr="006E709F" w:rsidRDefault="003638DE" w:rsidP="00A801D0">
      <w:pPr>
        <w:pStyle w:val="paragraph"/>
      </w:pPr>
      <w:r w:rsidRPr="006E709F">
        <w:tab/>
        <w:t>(d)</w:t>
      </w:r>
      <w:r w:rsidRPr="006E709F">
        <w:tab/>
        <w:t xml:space="preserve">an explanation of who owns the investments purchased with the </w:t>
      </w:r>
      <w:r w:rsidR="00EC744B" w:rsidRPr="00BE1284">
        <w:t>standard margin lending facility</w:t>
      </w:r>
      <w:r w:rsidRPr="006E709F">
        <w:t>; and</w:t>
      </w:r>
    </w:p>
    <w:p w:rsidR="003638DE" w:rsidRPr="006E709F" w:rsidRDefault="003638DE" w:rsidP="00A801D0">
      <w:pPr>
        <w:pStyle w:val="paragraph"/>
      </w:pPr>
      <w:r w:rsidRPr="006E709F">
        <w:tab/>
        <w:t>(e)</w:t>
      </w:r>
      <w:r w:rsidRPr="006E709F">
        <w:tab/>
        <w:t>a statement that:</w:t>
      </w:r>
    </w:p>
    <w:p w:rsidR="003638DE" w:rsidRPr="006E709F" w:rsidRDefault="003638DE" w:rsidP="00A801D0">
      <w:pPr>
        <w:pStyle w:val="paragraphsub"/>
      </w:pPr>
      <w:r w:rsidRPr="006E709F">
        <w:tab/>
        <w:t>(i)</w:t>
      </w:r>
      <w:r w:rsidRPr="006E709F">
        <w:tab/>
        <w:t xml:space="preserve">details of the rights and obligations of the borrower for a </w:t>
      </w:r>
      <w:r w:rsidR="00EC744B" w:rsidRPr="00BE1284">
        <w:t>standard margin lending facility</w:t>
      </w:r>
      <w:r w:rsidRPr="006E709F">
        <w:t xml:space="preserve"> are set out in the terms of the agreement for the </w:t>
      </w:r>
      <w:r w:rsidR="00EC744B" w:rsidRPr="00BE1284">
        <w:t>standard margin lending facility</w:t>
      </w:r>
      <w:r w:rsidRPr="006E709F">
        <w:t>; and</w:t>
      </w:r>
    </w:p>
    <w:p w:rsidR="003638DE" w:rsidRPr="006E709F" w:rsidRDefault="003638DE" w:rsidP="00A801D0">
      <w:pPr>
        <w:pStyle w:val="paragraphsub"/>
      </w:pPr>
      <w:r w:rsidRPr="006E709F">
        <w:tab/>
        <w:t>(ii)</w:t>
      </w:r>
      <w:r w:rsidRPr="006E709F">
        <w:tab/>
        <w:t xml:space="preserve">recommends that a potential borrower for a </w:t>
      </w:r>
      <w:r w:rsidR="00EC744B" w:rsidRPr="00BE1284">
        <w:t>standard margin lending facility</w:t>
      </w:r>
      <w:r w:rsidRPr="006E709F">
        <w:t xml:space="preserve"> read the loan agreement; and</w:t>
      </w:r>
    </w:p>
    <w:p w:rsidR="003638DE" w:rsidRPr="006E709F" w:rsidRDefault="003638DE" w:rsidP="00A801D0">
      <w:pPr>
        <w:pStyle w:val="paragraphsub"/>
      </w:pPr>
      <w:r w:rsidRPr="006E709F">
        <w:tab/>
        <w:t>(iii)</w:t>
      </w:r>
      <w:r w:rsidRPr="006E709F">
        <w:tab/>
        <w:t>explains how a potential borrower can obtain a copy of the loan agreement; and</w:t>
      </w:r>
    </w:p>
    <w:p w:rsidR="003638DE" w:rsidRPr="006E709F" w:rsidRDefault="003638DE" w:rsidP="00A801D0">
      <w:pPr>
        <w:pStyle w:val="paragraph"/>
      </w:pPr>
      <w:r w:rsidRPr="006E709F">
        <w:tab/>
        <w:t>(f)</w:t>
      </w:r>
      <w:r w:rsidRPr="006E709F">
        <w:tab/>
        <w:t xml:space="preserve">an explanation of any other features of the </w:t>
      </w:r>
      <w:r w:rsidR="00EC744B" w:rsidRPr="00BE1284">
        <w:t>standard margin lending facility</w:t>
      </w:r>
      <w:r w:rsidRPr="006E709F">
        <w:t xml:space="preserve"> that:</w:t>
      </w:r>
    </w:p>
    <w:p w:rsidR="003638DE" w:rsidRPr="006E709F" w:rsidRDefault="003638DE" w:rsidP="00A801D0">
      <w:pPr>
        <w:pStyle w:val="paragraphsub"/>
      </w:pPr>
      <w:r w:rsidRPr="006E709F">
        <w:tab/>
        <w:t>(i)</w:t>
      </w:r>
      <w:r w:rsidRPr="006E709F">
        <w:tab/>
        <w:t xml:space="preserve">are not covered by the matters mentioned in </w:t>
      </w:r>
      <w:r w:rsidR="00DA13DE" w:rsidRPr="006E709F">
        <w:t>paragraphs (</w:t>
      </w:r>
      <w:r w:rsidRPr="006E709F">
        <w:t>a), (c) and (d); and</w:t>
      </w:r>
    </w:p>
    <w:p w:rsidR="003638DE" w:rsidRPr="006E709F" w:rsidRDefault="003638DE" w:rsidP="00A801D0">
      <w:pPr>
        <w:pStyle w:val="paragraphsub"/>
      </w:pPr>
      <w:r w:rsidRPr="006E709F">
        <w:tab/>
        <w:t>(ii)</w:t>
      </w:r>
      <w:r w:rsidRPr="006E709F">
        <w:tab/>
        <w:t xml:space="preserve">are sufficiently important to be material to a reasonable person’s decision to take out the </w:t>
      </w:r>
      <w:r w:rsidR="00EC744B" w:rsidRPr="00BE1284">
        <w:t>standard margin lending facility</w:t>
      </w:r>
      <w:r w:rsidRPr="006E709F">
        <w:t>; and</w:t>
      </w:r>
    </w:p>
    <w:p w:rsidR="003638DE" w:rsidRPr="006E709F" w:rsidRDefault="003638DE" w:rsidP="00A801D0">
      <w:pPr>
        <w:pStyle w:val="paragraph"/>
      </w:pPr>
      <w:r w:rsidRPr="006E709F">
        <w:tab/>
        <w:t>(g)</w:t>
      </w:r>
      <w:r w:rsidRPr="006E709F">
        <w:tab/>
        <w:t>a reference to:</w:t>
      </w:r>
    </w:p>
    <w:p w:rsidR="003638DE" w:rsidRPr="006E709F" w:rsidRDefault="003638DE" w:rsidP="00A801D0">
      <w:pPr>
        <w:pStyle w:val="paragraphsub"/>
      </w:pPr>
      <w:r w:rsidRPr="006E709F">
        <w:tab/>
        <w:t>(i)</w:t>
      </w:r>
      <w:r w:rsidRPr="006E709F">
        <w:tab/>
        <w:t>the calculator provided on a website operated by or on behalf of the Commonwealth and an explanation of the assistance the calculator can provide; or</w:t>
      </w:r>
    </w:p>
    <w:p w:rsidR="003638DE" w:rsidRPr="006E709F" w:rsidRDefault="003638DE" w:rsidP="00A801D0">
      <w:pPr>
        <w:pStyle w:val="paragraphsub"/>
      </w:pPr>
      <w:r w:rsidRPr="006E709F">
        <w:tab/>
        <w:t>(ii)</w:t>
      </w:r>
      <w:r w:rsidRPr="006E709F">
        <w:tab/>
        <w:t xml:space="preserve">if the provider or potential provider of the </w:t>
      </w:r>
      <w:r w:rsidR="00EC744B" w:rsidRPr="00BE1284">
        <w:t>standard margin lending facility</w:t>
      </w:r>
      <w:r w:rsidRPr="006E709F">
        <w:t xml:space="preserve"> provides a calculator to borrowers or potential borrowers for the </w:t>
      </w:r>
      <w:r w:rsidR="00EC744B" w:rsidRPr="00BE1284">
        <w:t>standard margin lending facility</w:t>
      </w:r>
      <w:r w:rsidR="00A801D0" w:rsidRPr="006E709F">
        <w:t>—</w:t>
      </w:r>
      <w:r w:rsidRPr="006E709F">
        <w:t>that calculator and an explanation of the assistance the calculator can provide.</w:t>
      </w:r>
    </w:p>
    <w:p w:rsidR="003638DE" w:rsidRPr="006E709F" w:rsidRDefault="003638DE" w:rsidP="00A801D0">
      <w:pPr>
        <w:pStyle w:val="subsection"/>
      </w:pPr>
      <w:r w:rsidRPr="006E709F">
        <w:tab/>
        <w:t>(2)</w:t>
      </w:r>
      <w:r w:rsidRPr="006E709F">
        <w:tab/>
        <w:t>Section</w:t>
      </w:r>
      <w:r w:rsidR="00DA13DE" w:rsidRPr="006E709F">
        <w:t> </w:t>
      </w:r>
      <w:r w:rsidRPr="006E709F">
        <w:t>3 of the Statement may provide for the following matters by applying, adopting or incorporating the matter in writing:</w:t>
      </w:r>
    </w:p>
    <w:p w:rsidR="003638DE" w:rsidRPr="006E709F" w:rsidRDefault="003638DE" w:rsidP="00A801D0">
      <w:pPr>
        <w:pStyle w:val="paragraph"/>
      </w:pPr>
      <w:r w:rsidRPr="006E709F">
        <w:tab/>
        <w:t>(a)</w:t>
      </w:r>
      <w:r w:rsidRPr="006E709F">
        <w:tab/>
        <w:t>the Approved Securities List;</w:t>
      </w:r>
    </w:p>
    <w:p w:rsidR="003638DE" w:rsidRPr="006E709F" w:rsidRDefault="003638DE" w:rsidP="00A801D0">
      <w:pPr>
        <w:pStyle w:val="paragraph"/>
      </w:pPr>
      <w:r w:rsidRPr="006E709F">
        <w:tab/>
        <w:t>(b)</w:t>
      </w:r>
      <w:r w:rsidRPr="006E709F">
        <w:tab/>
        <w:t xml:space="preserve">the explanation mentioned in </w:t>
      </w:r>
      <w:r w:rsidR="00DA13DE" w:rsidRPr="006E709F">
        <w:t>paragraph (</w:t>
      </w:r>
      <w:r w:rsidRPr="006E709F">
        <w:t>1</w:t>
      </w:r>
      <w:r w:rsidR="00A801D0" w:rsidRPr="006E709F">
        <w:t>)(</w:t>
      </w:r>
      <w:r w:rsidRPr="006E709F">
        <w:t>f).</w:t>
      </w:r>
    </w:p>
    <w:p w:rsidR="003638DE" w:rsidRPr="006E709F" w:rsidRDefault="00415D63" w:rsidP="00C93238">
      <w:pPr>
        <w:pStyle w:val="ActHead5"/>
      </w:pPr>
      <w:bookmarkStart w:id="142" w:name="_Toc160609829"/>
      <w:r w:rsidRPr="000C4237">
        <w:rPr>
          <w:rStyle w:val="CharSectno"/>
        </w:rPr>
        <w:t>6</w:t>
      </w:r>
      <w:r w:rsidRPr="006E709F">
        <w:t xml:space="preserve">  </w:t>
      </w:r>
      <w:r w:rsidR="003638DE" w:rsidRPr="006E709F">
        <w:t>Contents of section</w:t>
      </w:r>
      <w:r w:rsidR="00DA13DE" w:rsidRPr="006E709F">
        <w:t> </w:t>
      </w:r>
      <w:r w:rsidR="003638DE" w:rsidRPr="006E709F">
        <w:t>4 (What is a margin call?)</w:t>
      </w:r>
      <w:bookmarkEnd w:id="142"/>
    </w:p>
    <w:p w:rsidR="003638DE" w:rsidRPr="006E709F" w:rsidRDefault="003638DE" w:rsidP="00A801D0">
      <w:pPr>
        <w:pStyle w:val="subsection"/>
      </w:pPr>
      <w:r w:rsidRPr="006E709F">
        <w:tab/>
      </w:r>
      <w:r w:rsidRPr="006E709F">
        <w:tab/>
        <w:t>Section</w:t>
      </w:r>
      <w:r w:rsidR="00DA13DE" w:rsidRPr="006E709F">
        <w:t> </w:t>
      </w:r>
      <w:r w:rsidRPr="006E709F">
        <w:t xml:space="preserve">4 of the Product Disclosure Statement for a </w:t>
      </w:r>
      <w:r w:rsidR="00A6301D" w:rsidRPr="00BE1284">
        <w:t>standard margin lending facility</w:t>
      </w:r>
      <w:r w:rsidRPr="006E709F">
        <w:t xml:space="preserve"> must include:</w:t>
      </w:r>
    </w:p>
    <w:p w:rsidR="003638DE" w:rsidRPr="006E709F" w:rsidRDefault="003638DE" w:rsidP="00A801D0">
      <w:pPr>
        <w:pStyle w:val="paragraph"/>
      </w:pPr>
      <w:r w:rsidRPr="006E709F">
        <w:tab/>
        <w:t>(a)</w:t>
      </w:r>
      <w:r w:rsidRPr="006E709F">
        <w:tab/>
        <w:t xml:space="preserve">if the terms of the </w:t>
      </w:r>
      <w:r w:rsidR="001270FF" w:rsidRPr="00BE1284">
        <w:t>standard margin lending facility</w:t>
      </w:r>
      <w:r w:rsidRPr="006E709F">
        <w:t xml:space="preserve"> include a margin call:</w:t>
      </w:r>
    </w:p>
    <w:p w:rsidR="003638DE" w:rsidRPr="006E709F" w:rsidRDefault="003638DE" w:rsidP="00A801D0">
      <w:pPr>
        <w:pStyle w:val="paragraphsub"/>
      </w:pPr>
      <w:r w:rsidRPr="006E709F">
        <w:tab/>
        <w:t>(i)</w:t>
      </w:r>
      <w:r w:rsidRPr="006E709F">
        <w:tab/>
        <w:t>an explanation of what a margin call is; and</w:t>
      </w:r>
    </w:p>
    <w:p w:rsidR="003638DE" w:rsidRPr="006E709F" w:rsidRDefault="003638DE" w:rsidP="00A801D0">
      <w:pPr>
        <w:pStyle w:val="paragraphsub"/>
      </w:pPr>
      <w:r w:rsidRPr="006E709F">
        <w:tab/>
        <w:t>(ii)</w:t>
      </w:r>
      <w:r w:rsidRPr="006E709F">
        <w:tab/>
        <w:t>an explanation of when there will be a margin call in response to changes in the market; and</w:t>
      </w:r>
    </w:p>
    <w:p w:rsidR="003638DE" w:rsidRPr="006E709F" w:rsidRDefault="003638DE" w:rsidP="00A801D0">
      <w:pPr>
        <w:pStyle w:val="paragraphsub"/>
      </w:pPr>
      <w:r w:rsidRPr="006E709F">
        <w:tab/>
        <w:t>(iii)</w:t>
      </w:r>
      <w:r w:rsidRPr="006E709F">
        <w:tab/>
        <w:t xml:space="preserve">an explanation of when there will be a margin call at the discretion of the provider of the </w:t>
      </w:r>
      <w:r w:rsidR="001270FF" w:rsidRPr="00BE1284">
        <w:t>standard margin lending facility</w:t>
      </w:r>
      <w:r w:rsidRPr="006E709F">
        <w:t>; and</w:t>
      </w:r>
    </w:p>
    <w:p w:rsidR="003638DE" w:rsidRPr="006E709F" w:rsidRDefault="003638DE" w:rsidP="00A801D0">
      <w:pPr>
        <w:pStyle w:val="paragraphsub"/>
      </w:pPr>
      <w:r w:rsidRPr="006E709F">
        <w:tab/>
        <w:t>(iv)</w:t>
      </w:r>
      <w:r w:rsidRPr="006E709F">
        <w:tab/>
        <w:t>at least 1 example of how a margin call works, including:</w:t>
      </w:r>
    </w:p>
    <w:p w:rsidR="003638DE" w:rsidRPr="006E709F" w:rsidRDefault="003638DE" w:rsidP="00A801D0">
      <w:pPr>
        <w:pStyle w:val="paragraphsub-sub"/>
      </w:pPr>
      <w:r w:rsidRPr="006E709F">
        <w:tab/>
        <w:t>(A)</w:t>
      </w:r>
      <w:r w:rsidRPr="006E709F">
        <w:tab/>
        <w:t>the impact of breaching the loan</w:t>
      </w:r>
      <w:r w:rsidR="000C4237">
        <w:noBreakHyphen/>
      </w:r>
      <w:r w:rsidRPr="006E709F">
        <w:t>to</w:t>
      </w:r>
      <w:r w:rsidR="000C4237">
        <w:noBreakHyphen/>
      </w:r>
      <w:r w:rsidRPr="006E709F">
        <w:t>value rati</w:t>
      </w:r>
      <w:r w:rsidR="00E376FA" w:rsidRPr="006E709F">
        <w:t>o (</w:t>
      </w:r>
      <w:r w:rsidRPr="006E709F">
        <w:rPr>
          <w:b/>
          <w:i/>
        </w:rPr>
        <w:t>LVR</w:t>
      </w:r>
      <w:r w:rsidRPr="006E709F">
        <w:t xml:space="preserve">) for the </w:t>
      </w:r>
      <w:r w:rsidR="001270FF" w:rsidRPr="00BE1284">
        <w:t>standard margin lending facility</w:t>
      </w:r>
      <w:r w:rsidRPr="006E709F">
        <w:t>; and</w:t>
      </w:r>
    </w:p>
    <w:p w:rsidR="003638DE" w:rsidRPr="006E709F" w:rsidRDefault="003638DE" w:rsidP="00A801D0">
      <w:pPr>
        <w:pStyle w:val="paragraphsub-sub"/>
      </w:pPr>
      <w:r w:rsidRPr="006E709F">
        <w:tab/>
        <w:t>(B)</w:t>
      </w:r>
      <w:r w:rsidRPr="006E709F">
        <w:tab/>
        <w:t xml:space="preserve">how to adjust the LVR back to the required level for the </w:t>
      </w:r>
      <w:r w:rsidR="001270FF" w:rsidRPr="00BE1284">
        <w:t>standard margin lending facility</w:t>
      </w:r>
      <w:r w:rsidRPr="006E709F">
        <w:t>; and</w:t>
      </w:r>
    </w:p>
    <w:p w:rsidR="003638DE" w:rsidRPr="006E709F" w:rsidRDefault="003638DE" w:rsidP="00A801D0">
      <w:pPr>
        <w:pStyle w:val="paragraphsub-sub"/>
      </w:pPr>
      <w:r w:rsidRPr="006E709F">
        <w:tab/>
        <w:t>(C)</w:t>
      </w:r>
      <w:r w:rsidRPr="006E709F">
        <w:tab/>
        <w:t xml:space="preserve">how the buffer (if any) for the </w:t>
      </w:r>
      <w:r w:rsidR="001270FF" w:rsidRPr="00BE1284">
        <w:t>standard margin lending facility</w:t>
      </w:r>
      <w:r w:rsidRPr="006E709F">
        <w:t xml:space="preserve"> operates; and</w:t>
      </w:r>
    </w:p>
    <w:p w:rsidR="003638DE" w:rsidRPr="006E709F" w:rsidRDefault="003638DE" w:rsidP="00A801D0">
      <w:pPr>
        <w:pStyle w:val="paragraphsub"/>
      </w:pPr>
      <w:r w:rsidRPr="006E709F">
        <w:tab/>
        <w:t>(v)</w:t>
      </w:r>
      <w:r w:rsidRPr="006E709F">
        <w:tab/>
        <w:t xml:space="preserve">a description of how a margin call can be dealt with by the borrower for the </w:t>
      </w:r>
      <w:r w:rsidR="001270FF" w:rsidRPr="00BE1284">
        <w:t>standard margin lending facility</w:t>
      </w:r>
      <w:r w:rsidRPr="006E709F">
        <w:t>; and</w:t>
      </w:r>
    </w:p>
    <w:p w:rsidR="003638DE" w:rsidRPr="006E709F" w:rsidRDefault="003638DE" w:rsidP="00A801D0">
      <w:pPr>
        <w:pStyle w:val="paragraphsub"/>
      </w:pPr>
      <w:r w:rsidRPr="006E709F">
        <w:tab/>
        <w:t>(vi)</w:t>
      </w:r>
      <w:r w:rsidRPr="006E709F">
        <w:tab/>
        <w:t xml:space="preserve">a statement that if there is a margin call, the provider of the </w:t>
      </w:r>
      <w:r w:rsidR="001270FF" w:rsidRPr="00BE1284">
        <w:t>standard margin lending facility</w:t>
      </w:r>
      <w:r w:rsidRPr="006E709F">
        <w:t xml:space="preserve"> will notify the borrower for the </w:t>
      </w:r>
      <w:r w:rsidR="001270FF" w:rsidRPr="00BE1284">
        <w:t>standard margin lending facility</w:t>
      </w:r>
      <w:r w:rsidRPr="006E709F">
        <w:t>, or the borrower’s financial advisor, that the margin call has occurred; and</w:t>
      </w:r>
    </w:p>
    <w:p w:rsidR="003638DE" w:rsidRPr="006E709F" w:rsidRDefault="003638DE" w:rsidP="00A801D0">
      <w:pPr>
        <w:pStyle w:val="paragraphsub"/>
      </w:pPr>
      <w:r w:rsidRPr="006E709F">
        <w:tab/>
        <w:t>(vii)</w:t>
      </w:r>
      <w:r w:rsidRPr="006E709F">
        <w:tab/>
        <w:t xml:space="preserve">a statement that the borrower for the </w:t>
      </w:r>
      <w:r w:rsidR="001270FF" w:rsidRPr="00BE1284">
        <w:t>standard margin lending facility</w:t>
      </w:r>
      <w:r w:rsidRPr="006E709F">
        <w:t xml:space="preserve"> must be contactable at all times in case of a margin call; and</w:t>
      </w:r>
    </w:p>
    <w:p w:rsidR="003638DE" w:rsidRPr="006E709F" w:rsidRDefault="003638DE" w:rsidP="00A801D0">
      <w:pPr>
        <w:pStyle w:val="paragraph"/>
      </w:pPr>
      <w:r w:rsidRPr="006E709F">
        <w:tab/>
        <w:t>(b)</w:t>
      </w:r>
      <w:r w:rsidRPr="006E709F">
        <w:tab/>
        <w:t xml:space="preserve">if the terms of the </w:t>
      </w:r>
      <w:r w:rsidR="001270FF" w:rsidRPr="00BE1284">
        <w:t>standard margin lending facility</w:t>
      </w:r>
      <w:r w:rsidRPr="006E709F">
        <w:t xml:space="preserve"> do not include a margin call, a statement to that effect.</w:t>
      </w:r>
    </w:p>
    <w:p w:rsidR="003638DE" w:rsidRPr="006E709F" w:rsidRDefault="00415D63" w:rsidP="00C93238">
      <w:pPr>
        <w:pStyle w:val="ActHead5"/>
      </w:pPr>
      <w:bookmarkStart w:id="143" w:name="_Toc160609830"/>
      <w:r w:rsidRPr="000C4237">
        <w:rPr>
          <w:rStyle w:val="CharSectno"/>
        </w:rPr>
        <w:t>7</w:t>
      </w:r>
      <w:r w:rsidRPr="006E709F">
        <w:t xml:space="preserve">  </w:t>
      </w:r>
      <w:r w:rsidR="003638DE" w:rsidRPr="006E709F">
        <w:t>Contents of section</w:t>
      </w:r>
      <w:r w:rsidR="00DA13DE" w:rsidRPr="006E709F">
        <w:t> </w:t>
      </w:r>
      <w:r w:rsidR="003638DE" w:rsidRPr="006E709F">
        <w:t>5 (The risk of losing money)</w:t>
      </w:r>
      <w:bookmarkEnd w:id="143"/>
    </w:p>
    <w:p w:rsidR="003638DE" w:rsidRPr="006E709F" w:rsidRDefault="003638DE" w:rsidP="00A801D0">
      <w:pPr>
        <w:pStyle w:val="subsection"/>
      </w:pPr>
      <w:r w:rsidRPr="006E709F">
        <w:tab/>
        <w:t>(1)</w:t>
      </w:r>
      <w:r w:rsidRPr="006E709F">
        <w:tab/>
        <w:t>Section</w:t>
      </w:r>
      <w:r w:rsidR="00DA13DE" w:rsidRPr="006E709F">
        <w:t> </w:t>
      </w:r>
      <w:r w:rsidRPr="006E709F">
        <w:t xml:space="preserve">5 of the Product Disclosure Statement for </w:t>
      </w:r>
      <w:r w:rsidR="00384CBF" w:rsidRPr="00BE1284">
        <w:t xml:space="preserve">a standard margin lending facility must include a description of the risks associated with </w:t>
      </w:r>
      <w:r w:rsidR="00384CBF">
        <w:t xml:space="preserve">a </w:t>
      </w:r>
      <w:r w:rsidR="00384CBF" w:rsidRPr="00BE1284">
        <w:t>standard margin lending facilit</w:t>
      </w:r>
      <w:r w:rsidR="00384CBF">
        <w:t>y</w:t>
      </w:r>
      <w:r w:rsidR="00384CBF" w:rsidRPr="00BE1284">
        <w:t xml:space="preserve"> to a borrower for the standard margin lending facility</w:t>
      </w:r>
      <w:r w:rsidRPr="006E709F">
        <w:t>, including a description of any of the following risks, if relevant:</w:t>
      </w:r>
    </w:p>
    <w:p w:rsidR="003638DE" w:rsidRPr="006E709F" w:rsidRDefault="003638DE" w:rsidP="00A801D0">
      <w:pPr>
        <w:pStyle w:val="paragraph"/>
      </w:pPr>
      <w:r w:rsidRPr="006E709F">
        <w:tab/>
        <w:t>(a)</w:t>
      </w:r>
      <w:r w:rsidRPr="006E709F">
        <w:tab/>
        <w:t>the risk that the value of the borrower’s investment may fall and the possible consequences to the borrower if this occurs, in particular the risk of a margin call occurring;</w:t>
      </w:r>
    </w:p>
    <w:p w:rsidR="003638DE" w:rsidRPr="006E709F" w:rsidRDefault="003638DE" w:rsidP="00A801D0">
      <w:pPr>
        <w:pStyle w:val="paragraph"/>
      </w:pPr>
      <w:r w:rsidRPr="006E709F">
        <w:tab/>
        <w:t>(b)</w:t>
      </w:r>
      <w:r w:rsidRPr="006E709F">
        <w:tab/>
        <w:t xml:space="preserve">the risk that the provider of the </w:t>
      </w:r>
      <w:r w:rsidR="005D3B00" w:rsidRPr="00BE1284">
        <w:t>standard margin lending facility</w:t>
      </w:r>
      <w:r w:rsidRPr="006E709F">
        <w:t xml:space="preserve"> may change the loan</w:t>
      </w:r>
      <w:r w:rsidR="000C4237">
        <w:noBreakHyphen/>
      </w:r>
      <w:r w:rsidRPr="006E709F">
        <w:t>to</w:t>
      </w:r>
      <w:r w:rsidR="000C4237">
        <w:noBreakHyphen/>
      </w:r>
      <w:r w:rsidRPr="006E709F">
        <w:t>value ratio of an investment at any time and the consequences to the borrower of the change, in particular, the risk of a margin call occurring;</w:t>
      </w:r>
    </w:p>
    <w:p w:rsidR="003638DE" w:rsidRPr="006E709F" w:rsidRDefault="003638DE" w:rsidP="00A801D0">
      <w:pPr>
        <w:pStyle w:val="paragraph"/>
      </w:pPr>
      <w:r w:rsidRPr="006E709F">
        <w:tab/>
        <w:t>(c)</w:t>
      </w:r>
      <w:r w:rsidRPr="006E709F">
        <w:tab/>
        <w:t xml:space="preserve">the risk that the provider of the </w:t>
      </w:r>
      <w:r w:rsidR="005D3B00" w:rsidRPr="00BE1284">
        <w:t>standard margin lending facility</w:t>
      </w:r>
      <w:r w:rsidRPr="006E709F">
        <w:t xml:space="preserve"> may remove an investment from the Approved Securities List and the consequences for the borrower if this occurs, in particular, the risk of a margin call occurring;</w:t>
      </w:r>
    </w:p>
    <w:p w:rsidR="003638DE" w:rsidRPr="006E709F" w:rsidRDefault="003638DE" w:rsidP="00A801D0">
      <w:pPr>
        <w:pStyle w:val="paragraph"/>
      </w:pPr>
      <w:r w:rsidRPr="006E709F">
        <w:tab/>
        <w:t>(d)</w:t>
      </w:r>
      <w:r w:rsidRPr="006E709F">
        <w:tab/>
        <w:t xml:space="preserve">the risk that the interest rate for the </w:t>
      </w:r>
      <w:r w:rsidR="005D3B00" w:rsidRPr="00BE1284">
        <w:t>standard margin lending facility</w:t>
      </w:r>
      <w:r w:rsidRPr="006E709F">
        <w:t xml:space="preserve"> may rise and the consequences for the borrower if this occurs, in particular, the possibility that interest payments owed by the borrower may exceed the returns available from the borrower’s portfolio;</w:t>
      </w:r>
    </w:p>
    <w:p w:rsidR="003638DE" w:rsidRPr="006E709F" w:rsidRDefault="003638DE" w:rsidP="00A801D0">
      <w:pPr>
        <w:pStyle w:val="paragraph"/>
      </w:pPr>
      <w:r w:rsidRPr="006E709F">
        <w:tab/>
        <w:t>(e)</w:t>
      </w:r>
      <w:r w:rsidRPr="006E709F">
        <w:tab/>
        <w:t xml:space="preserve">the risk of the loss of property of the borrower if the property has been mortgaged as security for, or in connection with, the </w:t>
      </w:r>
      <w:r w:rsidR="005D3B00" w:rsidRPr="00BE1284">
        <w:t>standard margin lending facility</w:t>
      </w:r>
      <w:r w:rsidRPr="006E709F">
        <w:t>;</w:t>
      </w:r>
    </w:p>
    <w:p w:rsidR="003638DE" w:rsidRPr="006E709F" w:rsidRDefault="003638DE" w:rsidP="00A801D0">
      <w:pPr>
        <w:pStyle w:val="paragraph"/>
      </w:pPr>
      <w:r w:rsidRPr="006E709F">
        <w:tab/>
        <w:t>(f)</w:t>
      </w:r>
      <w:r w:rsidRPr="006E709F">
        <w:tab/>
        <w:t>the risk of a default event under the loan agreement occurring and the potential consequences for the borrower if a default event does occur;</w:t>
      </w:r>
    </w:p>
    <w:p w:rsidR="003638DE" w:rsidRPr="006E709F" w:rsidRDefault="003638DE" w:rsidP="00A801D0">
      <w:pPr>
        <w:pStyle w:val="paragraph"/>
      </w:pPr>
      <w:r w:rsidRPr="006E709F">
        <w:tab/>
        <w:t>(g)</w:t>
      </w:r>
      <w:r w:rsidRPr="006E709F">
        <w:tab/>
        <w:t xml:space="preserve">the risk that the taxation laws may change and that this may have a negative effect on the tax position for the borrower for the </w:t>
      </w:r>
      <w:r w:rsidR="000C29A9" w:rsidRPr="00BE1284">
        <w:t>standard margin lending facility</w:t>
      </w:r>
      <w:r w:rsidRPr="006E709F">
        <w:t>;</w:t>
      </w:r>
    </w:p>
    <w:p w:rsidR="003638DE" w:rsidRPr="006E709F" w:rsidRDefault="003638DE" w:rsidP="00A801D0">
      <w:pPr>
        <w:pStyle w:val="paragraph"/>
      </w:pPr>
      <w:r w:rsidRPr="006E709F">
        <w:tab/>
        <w:t>(h)</w:t>
      </w:r>
      <w:r w:rsidRPr="006E709F">
        <w:tab/>
        <w:t xml:space="preserve">any other significant risks that a reasonable person would consider to be relevantly associated with the </w:t>
      </w:r>
      <w:r w:rsidR="000C29A9" w:rsidRPr="00BE1284">
        <w:t>standard margin lending facility</w:t>
      </w:r>
      <w:r w:rsidRPr="006E709F">
        <w:t>.</w:t>
      </w:r>
    </w:p>
    <w:p w:rsidR="003638DE" w:rsidRPr="006E709F" w:rsidRDefault="003638DE" w:rsidP="00A801D0">
      <w:pPr>
        <w:pStyle w:val="subsection"/>
      </w:pPr>
      <w:r w:rsidRPr="006E709F">
        <w:tab/>
        <w:t>(2)</w:t>
      </w:r>
      <w:r w:rsidRPr="006E709F">
        <w:tab/>
        <w:t>Section</w:t>
      </w:r>
      <w:r w:rsidR="00DA13DE" w:rsidRPr="006E709F">
        <w:t> </w:t>
      </w:r>
      <w:r w:rsidRPr="006E709F">
        <w:t xml:space="preserve">5 of the Statement must include a hyperlink to the page on a website operated by or on behalf of the Commonwealth that provides information about </w:t>
      </w:r>
      <w:r w:rsidR="00384CBF" w:rsidRPr="00BE1284">
        <w:t>standard margin lending facilities</w:t>
      </w:r>
      <w:r w:rsidRPr="006E709F">
        <w:t>.</w:t>
      </w:r>
    </w:p>
    <w:p w:rsidR="003638DE" w:rsidRPr="006E709F" w:rsidRDefault="003638DE" w:rsidP="00A801D0">
      <w:pPr>
        <w:pStyle w:val="subsection"/>
      </w:pPr>
      <w:r w:rsidRPr="006E709F">
        <w:tab/>
        <w:t>(3)</w:t>
      </w:r>
      <w:r w:rsidRPr="006E709F">
        <w:tab/>
        <w:t>Section</w:t>
      </w:r>
      <w:r w:rsidR="00DA13DE" w:rsidRPr="006E709F">
        <w:t> </w:t>
      </w:r>
      <w:r w:rsidRPr="006E709F">
        <w:t xml:space="preserve">5 of the Statement may include information about risks associated with </w:t>
      </w:r>
      <w:r w:rsidR="000C29A9" w:rsidRPr="00BE1284">
        <w:t>standard margin lending facilities</w:t>
      </w:r>
      <w:r w:rsidRPr="006E709F">
        <w:t xml:space="preserve"> other than the risks mentioned in </w:t>
      </w:r>
      <w:r w:rsidR="00DA13DE" w:rsidRPr="006E709F">
        <w:t>subclause (</w:t>
      </w:r>
      <w:r w:rsidRPr="006E709F">
        <w:t>1).</w:t>
      </w:r>
    </w:p>
    <w:p w:rsidR="003638DE" w:rsidRPr="006E709F" w:rsidRDefault="003638DE" w:rsidP="00A801D0">
      <w:pPr>
        <w:pStyle w:val="subsection"/>
      </w:pPr>
      <w:r w:rsidRPr="006E709F">
        <w:tab/>
        <w:t>(4)</w:t>
      </w:r>
      <w:r w:rsidRPr="006E709F">
        <w:tab/>
        <w:t>Section</w:t>
      </w:r>
      <w:r w:rsidR="00DA13DE" w:rsidRPr="006E709F">
        <w:t> </w:t>
      </w:r>
      <w:r w:rsidRPr="006E709F">
        <w:t xml:space="preserve">5 of the Statement may provide for the information mentioned in </w:t>
      </w:r>
      <w:r w:rsidR="00DA13DE" w:rsidRPr="006E709F">
        <w:t>subclause (</w:t>
      </w:r>
      <w:r w:rsidRPr="006E709F">
        <w:t>3) by applying, adopting or incorporating a matter in writing.</w:t>
      </w:r>
    </w:p>
    <w:p w:rsidR="003638DE" w:rsidRPr="006E709F" w:rsidRDefault="00415D63" w:rsidP="00C93238">
      <w:pPr>
        <w:pStyle w:val="ActHead5"/>
      </w:pPr>
      <w:bookmarkStart w:id="144" w:name="_Toc160609831"/>
      <w:r w:rsidRPr="000C4237">
        <w:rPr>
          <w:rStyle w:val="CharSectno"/>
        </w:rPr>
        <w:t>8</w:t>
      </w:r>
      <w:r w:rsidRPr="006E709F">
        <w:t xml:space="preserve">  </w:t>
      </w:r>
      <w:r w:rsidR="003638DE" w:rsidRPr="006E709F">
        <w:t>Contents of section</w:t>
      </w:r>
      <w:r w:rsidR="00DA13DE" w:rsidRPr="006E709F">
        <w:t> </w:t>
      </w:r>
      <w:r w:rsidR="003638DE" w:rsidRPr="006E709F">
        <w:t>6 (The costs)</w:t>
      </w:r>
      <w:bookmarkEnd w:id="144"/>
    </w:p>
    <w:p w:rsidR="003638DE" w:rsidRPr="006E709F" w:rsidRDefault="003638DE" w:rsidP="00A801D0">
      <w:pPr>
        <w:pStyle w:val="subsection"/>
      </w:pPr>
      <w:r w:rsidRPr="006E709F">
        <w:tab/>
        <w:t>(1)</w:t>
      </w:r>
      <w:r w:rsidRPr="006E709F">
        <w:tab/>
        <w:t>Section</w:t>
      </w:r>
      <w:r w:rsidR="00DA13DE" w:rsidRPr="006E709F">
        <w:t> </w:t>
      </w:r>
      <w:r w:rsidRPr="006E709F">
        <w:t xml:space="preserve">6 of the Product Disclosure Statement for a </w:t>
      </w:r>
      <w:r w:rsidR="00005355" w:rsidRPr="00BE1284">
        <w:t>standard margin lending facility</w:t>
      </w:r>
      <w:r w:rsidRPr="006E709F">
        <w:t xml:space="preserve"> must include the following:</w:t>
      </w:r>
    </w:p>
    <w:p w:rsidR="003638DE" w:rsidRPr="006E709F" w:rsidRDefault="003638DE" w:rsidP="00A801D0">
      <w:pPr>
        <w:pStyle w:val="paragraph"/>
      </w:pPr>
      <w:r w:rsidRPr="006E709F">
        <w:tab/>
        <w:t>(a)</w:t>
      </w:r>
      <w:r w:rsidRPr="006E709F">
        <w:tab/>
        <w:t xml:space="preserve">a description of the interest rate for the </w:t>
      </w:r>
      <w:r w:rsidR="00005355" w:rsidRPr="00BE1284">
        <w:t>standard margin lending facility</w:t>
      </w:r>
      <w:r w:rsidRPr="006E709F">
        <w:t>, including how the interest rate is calculated;</w:t>
      </w:r>
    </w:p>
    <w:p w:rsidR="003638DE" w:rsidRPr="006E709F" w:rsidRDefault="003638DE" w:rsidP="00A801D0">
      <w:pPr>
        <w:pStyle w:val="paragraph"/>
      </w:pPr>
      <w:r w:rsidRPr="006E709F">
        <w:tab/>
        <w:t>(b)</w:t>
      </w:r>
      <w:r w:rsidRPr="006E709F">
        <w:tab/>
        <w:t xml:space="preserve">a statement about whether a default interest rate will be charged for the </w:t>
      </w:r>
      <w:r w:rsidR="00005355" w:rsidRPr="00BE1284">
        <w:t>standard margin lending facility</w:t>
      </w:r>
      <w:r w:rsidRPr="006E709F">
        <w:t>;</w:t>
      </w:r>
    </w:p>
    <w:p w:rsidR="003638DE" w:rsidRPr="006E709F" w:rsidRDefault="003638DE" w:rsidP="00A801D0">
      <w:pPr>
        <w:pStyle w:val="paragraph"/>
      </w:pPr>
      <w:r w:rsidRPr="006E709F">
        <w:tab/>
        <w:t>(c)</w:t>
      </w:r>
      <w:r w:rsidRPr="006E709F">
        <w:tab/>
        <w:t xml:space="preserve">details of any fee or cost to be charged by the provider of the </w:t>
      </w:r>
      <w:r w:rsidR="00005355" w:rsidRPr="00BE1284">
        <w:t>standard margin lending facility</w:t>
      </w:r>
      <w:r w:rsidRPr="006E709F">
        <w:t>, unless the fee is a minor fee;</w:t>
      </w:r>
    </w:p>
    <w:p w:rsidR="003638DE" w:rsidRPr="006E709F" w:rsidRDefault="003638DE" w:rsidP="00A801D0">
      <w:pPr>
        <w:pStyle w:val="paragraph"/>
      </w:pPr>
      <w:r w:rsidRPr="006E709F">
        <w:tab/>
        <w:t>(d)</w:t>
      </w:r>
      <w:r w:rsidRPr="006E709F">
        <w:tab/>
        <w:t>a statement about whether a fee or cost to be charged by the provider for the loan can be unilaterally changed by the provider under the loan agreement;</w:t>
      </w:r>
    </w:p>
    <w:p w:rsidR="003638DE" w:rsidRPr="006E709F" w:rsidRDefault="003638DE" w:rsidP="00A801D0">
      <w:pPr>
        <w:pStyle w:val="paragraph"/>
      </w:pPr>
      <w:r w:rsidRPr="006E709F">
        <w:tab/>
        <w:t>(e)</w:t>
      </w:r>
      <w:r w:rsidRPr="006E709F">
        <w:tab/>
        <w:t xml:space="preserve">a list of matters for which the provider of the </w:t>
      </w:r>
      <w:r w:rsidR="00005355" w:rsidRPr="00BE1284">
        <w:t>standard margin lending facility</w:t>
      </w:r>
      <w:r w:rsidRPr="006E709F">
        <w:t xml:space="preserve"> will charge a minor fee for the </w:t>
      </w:r>
      <w:r w:rsidR="00E60769" w:rsidRPr="00BE1284">
        <w:t>standard margin lending facility</w:t>
      </w:r>
      <w:r w:rsidRPr="006E709F">
        <w:t>;</w:t>
      </w:r>
    </w:p>
    <w:p w:rsidR="003638DE" w:rsidRPr="006E709F" w:rsidRDefault="003638DE" w:rsidP="00A801D0">
      <w:pPr>
        <w:pStyle w:val="paragraph"/>
      </w:pPr>
      <w:r w:rsidRPr="006E709F">
        <w:tab/>
        <w:t>(f)</w:t>
      </w:r>
      <w:r w:rsidRPr="006E709F">
        <w:tab/>
        <w:t xml:space="preserve">a statement about whether a commission or fee is payable to a financial advisor or other third party for the </w:t>
      </w:r>
      <w:r w:rsidR="00005355" w:rsidRPr="00BE1284">
        <w:t>standard margin lending facility</w:t>
      </w:r>
      <w:r w:rsidRPr="006E709F">
        <w:t xml:space="preserve"> and, if a commission or fee is payable:</w:t>
      </w:r>
    </w:p>
    <w:p w:rsidR="003638DE" w:rsidRPr="006E709F" w:rsidRDefault="003638DE" w:rsidP="00A801D0">
      <w:pPr>
        <w:pStyle w:val="paragraphsub"/>
      </w:pPr>
      <w:r w:rsidRPr="006E709F">
        <w:tab/>
        <w:t>(i)</w:t>
      </w:r>
      <w:r w:rsidRPr="006E709F">
        <w:tab/>
        <w:t>the circumstances in which the commission or fee will be payable; and</w:t>
      </w:r>
    </w:p>
    <w:p w:rsidR="003638DE" w:rsidRPr="006E709F" w:rsidRDefault="003638DE" w:rsidP="00A801D0">
      <w:pPr>
        <w:pStyle w:val="paragraphsub"/>
      </w:pPr>
      <w:r w:rsidRPr="006E709F">
        <w:tab/>
        <w:t>(ii)</w:t>
      </w:r>
      <w:r w:rsidRPr="006E709F">
        <w:tab/>
        <w:t xml:space="preserve">how the borrower for the </w:t>
      </w:r>
      <w:r w:rsidR="00005355" w:rsidRPr="00BE1284">
        <w:t>standard margin lending facility</w:t>
      </w:r>
      <w:r w:rsidRPr="006E709F">
        <w:t xml:space="preserve"> can obtain more detailed information about the commission or fee.</w:t>
      </w:r>
    </w:p>
    <w:p w:rsidR="003638DE" w:rsidRPr="006E709F" w:rsidRDefault="003638DE" w:rsidP="00A801D0">
      <w:pPr>
        <w:pStyle w:val="subsection"/>
      </w:pPr>
      <w:r w:rsidRPr="006E709F">
        <w:tab/>
        <w:t>(2)</w:t>
      </w:r>
      <w:r w:rsidRPr="006E709F">
        <w:tab/>
        <w:t>Section</w:t>
      </w:r>
      <w:r w:rsidR="00DA13DE" w:rsidRPr="006E709F">
        <w:t> </w:t>
      </w:r>
      <w:r w:rsidRPr="006E709F">
        <w:t>6 of the Statement must include:</w:t>
      </w:r>
    </w:p>
    <w:p w:rsidR="003638DE" w:rsidRPr="006E709F" w:rsidRDefault="003638DE" w:rsidP="00A801D0">
      <w:pPr>
        <w:pStyle w:val="paragraph"/>
      </w:pPr>
      <w:r w:rsidRPr="006E709F">
        <w:tab/>
        <w:t>(a)</w:t>
      </w:r>
      <w:r w:rsidRPr="006E709F">
        <w:tab/>
        <w:t xml:space="preserve">a statement of the interest rate for the </w:t>
      </w:r>
      <w:r w:rsidR="00005355" w:rsidRPr="00BE1284">
        <w:t>standard margin lending facility</w:t>
      </w:r>
      <w:r w:rsidRPr="006E709F">
        <w:t>; and</w:t>
      </w:r>
    </w:p>
    <w:p w:rsidR="003638DE" w:rsidRPr="006E709F" w:rsidRDefault="003638DE" w:rsidP="00A801D0">
      <w:pPr>
        <w:pStyle w:val="paragraph"/>
      </w:pPr>
      <w:r w:rsidRPr="006E709F">
        <w:tab/>
        <w:t>(b)</w:t>
      </w:r>
      <w:r w:rsidRPr="006E709F">
        <w:tab/>
        <w:t xml:space="preserve">details of any minor fee the provider of the </w:t>
      </w:r>
      <w:r w:rsidR="00005355" w:rsidRPr="00BE1284">
        <w:t>standard margin lending facility</w:t>
      </w:r>
      <w:r w:rsidRPr="006E709F">
        <w:t xml:space="preserve"> will charge for the </w:t>
      </w:r>
      <w:r w:rsidR="00E60769" w:rsidRPr="00BE1284">
        <w:t>standard margin lending facility</w:t>
      </w:r>
      <w:r w:rsidRPr="006E709F">
        <w:t>.</w:t>
      </w:r>
    </w:p>
    <w:p w:rsidR="003638DE" w:rsidRPr="006E709F" w:rsidRDefault="003638DE" w:rsidP="00A801D0">
      <w:pPr>
        <w:pStyle w:val="subsection"/>
      </w:pPr>
      <w:r w:rsidRPr="006E709F">
        <w:tab/>
        <w:t>(3)</w:t>
      </w:r>
      <w:r w:rsidRPr="006E709F">
        <w:tab/>
        <w:t>Section</w:t>
      </w:r>
      <w:r w:rsidR="00DA13DE" w:rsidRPr="006E709F">
        <w:t> </w:t>
      </w:r>
      <w:r w:rsidRPr="006E709F">
        <w:t xml:space="preserve">6 of the Statement may provide for the statement mentioned in </w:t>
      </w:r>
      <w:r w:rsidR="00DA13DE" w:rsidRPr="006E709F">
        <w:t>paragraph (</w:t>
      </w:r>
      <w:r w:rsidRPr="006E709F">
        <w:t>2</w:t>
      </w:r>
      <w:r w:rsidR="00A801D0" w:rsidRPr="006E709F">
        <w:t>)(</w:t>
      </w:r>
      <w:r w:rsidRPr="006E709F">
        <w:t xml:space="preserve">a) or the details mentioned in </w:t>
      </w:r>
      <w:r w:rsidR="00DA13DE" w:rsidRPr="006E709F">
        <w:t>paragraph (</w:t>
      </w:r>
      <w:r w:rsidRPr="006E709F">
        <w:t>2</w:t>
      </w:r>
      <w:r w:rsidR="00A801D0" w:rsidRPr="006E709F">
        <w:t>)(</w:t>
      </w:r>
      <w:r w:rsidRPr="006E709F">
        <w:t>b) by applying, adopting or incorporating a matter in writing</w:t>
      </w:r>
    </w:p>
    <w:p w:rsidR="003638DE" w:rsidRPr="006E709F" w:rsidRDefault="00415D63" w:rsidP="00C93238">
      <w:pPr>
        <w:pStyle w:val="ActHead5"/>
      </w:pPr>
      <w:bookmarkStart w:id="145" w:name="_Toc160609832"/>
      <w:r w:rsidRPr="000C4237">
        <w:rPr>
          <w:rStyle w:val="CharSectno"/>
        </w:rPr>
        <w:t>9</w:t>
      </w:r>
      <w:r w:rsidRPr="006E709F">
        <w:t xml:space="preserve">  </w:t>
      </w:r>
      <w:r w:rsidR="003638DE" w:rsidRPr="006E709F">
        <w:t>Contents of section</w:t>
      </w:r>
      <w:r w:rsidR="00DA13DE" w:rsidRPr="006E709F">
        <w:t> </w:t>
      </w:r>
      <w:r w:rsidR="003638DE" w:rsidRPr="006E709F">
        <w:t>7 (How to apply)</w:t>
      </w:r>
      <w:bookmarkEnd w:id="145"/>
    </w:p>
    <w:p w:rsidR="003638DE" w:rsidRPr="006E709F" w:rsidRDefault="003638DE" w:rsidP="00A801D0">
      <w:pPr>
        <w:pStyle w:val="subsection"/>
      </w:pPr>
      <w:r w:rsidRPr="006E709F">
        <w:tab/>
        <w:t>(1)</w:t>
      </w:r>
      <w:r w:rsidRPr="006E709F">
        <w:tab/>
        <w:t>Section</w:t>
      </w:r>
      <w:r w:rsidR="00DA13DE" w:rsidRPr="006E709F">
        <w:t> </w:t>
      </w:r>
      <w:r w:rsidRPr="006E709F">
        <w:t xml:space="preserve">7 of the Product Disclosure Statement for a </w:t>
      </w:r>
      <w:r w:rsidR="00835E66" w:rsidRPr="00BE1284">
        <w:t>standard margin lending facility</w:t>
      </w:r>
      <w:r w:rsidRPr="006E709F">
        <w:t xml:space="preserve"> must include:</w:t>
      </w:r>
    </w:p>
    <w:p w:rsidR="003638DE" w:rsidRPr="006E709F" w:rsidRDefault="003638DE" w:rsidP="00A801D0">
      <w:pPr>
        <w:pStyle w:val="paragraph"/>
      </w:pPr>
      <w:r w:rsidRPr="006E709F">
        <w:tab/>
        <w:t>(a)</w:t>
      </w:r>
      <w:r w:rsidRPr="006E709F">
        <w:tab/>
        <w:t xml:space="preserve">information about how to apply for the </w:t>
      </w:r>
      <w:r w:rsidR="00835E66" w:rsidRPr="00BE1284">
        <w:t>standard margin lending facility</w:t>
      </w:r>
      <w:r w:rsidRPr="006E709F">
        <w:t>; and</w:t>
      </w:r>
    </w:p>
    <w:p w:rsidR="003638DE" w:rsidRPr="006E709F" w:rsidRDefault="003638DE" w:rsidP="00A801D0">
      <w:pPr>
        <w:pStyle w:val="paragraph"/>
      </w:pPr>
      <w:r w:rsidRPr="006E709F">
        <w:tab/>
        <w:t>(b)</w:t>
      </w:r>
      <w:r w:rsidRPr="006E709F">
        <w:tab/>
        <w:t xml:space="preserve">a short summary about the dispute resolution system the provider of the </w:t>
      </w:r>
      <w:r w:rsidR="00005355" w:rsidRPr="00BE1284">
        <w:t>standard margin lending facility</w:t>
      </w:r>
      <w:r w:rsidRPr="006E709F">
        <w:t xml:space="preserve"> has for dealing with disputes or complaints about the loan, including:</w:t>
      </w:r>
    </w:p>
    <w:p w:rsidR="003638DE" w:rsidRPr="006E709F" w:rsidRDefault="003638DE" w:rsidP="00A801D0">
      <w:pPr>
        <w:pStyle w:val="paragraphsub"/>
      </w:pPr>
      <w:r w:rsidRPr="006E709F">
        <w:tab/>
        <w:t>(i)</w:t>
      </w:r>
      <w:r w:rsidRPr="006E709F">
        <w:tab/>
        <w:t>how a borrower for the loan may make a complaint about the loan; and</w:t>
      </w:r>
    </w:p>
    <w:p w:rsidR="003638DE" w:rsidRPr="006E709F" w:rsidRDefault="003638DE" w:rsidP="00A801D0">
      <w:pPr>
        <w:pStyle w:val="paragraphsub"/>
      </w:pPr>
      <w:r w:rsidRPr="006E709F">
        <w:tab/>
        <w:t>(ii)</w:t>
      </w:r>
      <w:r w:rsidRPr="006E709F">
        <w:tab/>
        <w:t>contact details for making a complaint about the loan.</w:t>
      </w:r>
    </w:p>
    <w:p w:rsidR="003638DE" w:rsidRPr="006E709F" w:rsidRDefault="003638DE" w:rsidP="00A801D0">
      <w:pPr>
        <w:pStyle w:val="subsection"/>
      </w:pPr>
      <w:r w:rsidRPr="006E709F">
        <w:tab/>
        <w:t>(2)</w:t>
      </w:r>
      <w:r w:rsidRPr="006E709F">
        <w:tab/>
        <w:t xml:space="preserve">The </w:t>
      </w:r>
      <w:r w:rsidR="00005355" w:rsidRPr="00BE1284">
        <w:t>standard margin lending facility</w:t>
      </w:r>
      <w:r w:rsidRPr="006E709F">
        <w:t xml:space="preserve"> provider:</w:t>
      </w:r>
    </w:p>
    <w:p w:rsidR="003638DE" w:rsidRPr="006E709F" w:rsidRDefault="003638DE" w:rsidP="00A801D0">
      <w:pPr>
        <w:pStyle w:val="paragraph"/>
      </w:pPr>
      <w:r w:rsidRPr="006E709F">
        <w:tab/>
        <w:t>(a)</w:t>
      </w:r>
      <w:r w:rsidRPr="006E709F">
        <w:tab/>
        <w:t>may provide more detailed information about cooling</w:t>
      </w:r>
      <w:r w:rsidR="000C4237">
        <w:noBreakHyphen/>
      </w:r>
      <w:r w:rsidRPr="006E709F">
        <w:t>off periods, complaints and dispute resolution; and</w:t>
      </w:r>
    </w:p>
    <w:p w:rsidR="003638DE" w:rsidRPr="006E709F" w:rsidRDefault="003638DE" w:rsidP="00A801D0">
      <w:pPr>
        <w:pStyle w:val="paragraph"/>
      </w:pPr>
      <w:r w:rsidRPr="006E709F">
        <w:tab/>
        <w:t>(b)</w:t>
      </w:r>
      <w:r w:rsidRPr="006E709F">
        <w:tab/>
        <w:t>may provide that information by applying, adopting or incorporating a matter in writing.</w:t>
      </w:r>
    </w:p>
    <w:p w:rsidR="003638DE" w:rsidRPr="006E709F" w:rsidRDefault="00A801D0" w:rsidP="00C93238">
      <w:pPr>
        <w:pStyle w:val="ActHead1"/>
        <w:pageBreakBefore/>
        <w:spacing w:before="240"/>
      </w:pPr>
      <w:bookmarkStart w:id="146" w:name="_Toc160609833"/>
      <w:r w:rsidRPr="000C4237">
        <w:rPr>
          <w:rStyle w:val="CharChapNo"/>
        </w:rPr>
        <w:t>Schedule</w:t>
      </w:r>
      <w:r w:rsidR="00DA13DE" w:rsidRPr="000C4237">
        <w:rPr>
          <w:rStyle w:val="CharChapNo"/>
        </w:rPr>
        <w:t> </w:t>
      </w:r>
      <w:r w:rsidR="003638DE" w:rsidRPr="000C4237">
        <w:rPr>
          <w:rStyle w:val="CharChapNo"/>
        </w:rPr>
        <w:t>10D</w:t>
      </w:r>
      <w:r w:rsidRPr="006E709F">
        <w:t>—</w:t>
      </w:r>
      <w:r w:rsidR="003638DE" w:rsidRPr="000C4237">
        <w:rPr>
          <w:rStyle w:val="CharChapText"/>
        </w:rPr>
        <w:t>Form and content of Product Disclosure Statement</w:t>
      </w:r>
      <w:r w:rsidRPr="000C4237">
        <w:rPr>
          <w:rStyle w:val="CharChapText"/>
        </w:rPr>
        <w:t>—</w:t>
      </w:r>
      <w:r w:rsidR="003638DE" w:rsidRPr="000C4237">
        <w:rPr>
          <w:rStyle w:val="CharChapText"/>
        </w:rPr>
        <w:t xml:space="preserve">superannuation product to which </w:t>
      </w:r>
      <w:r w:rsidRPr="000C4237">
        <w:rPr>
          <w:rStyle w:val="CharChapText"/>
        </w:rPr>
        <w:t>Subdivision</w:t>
      </w:r>
      <w:r w:rsidR="00DA13DE" w:rsidRPr="000C4237">
        <w:rPr>
          <w:rStyle w:val="CharChapText"/>
        </w:rPr>
        <w:t> </w:t>
      </w:r>
      <w:r w:rsidR="003638DE" w:rsidRPr="000C4237">
        <w:rPr>
          <w:rStyle w:val="CharChapText"/>
        </w:rPr>
        <w:t xml:space="preserve">4.2B of </w:t>
      </w:r>
      <w:r w:rsidRPr="000C4237">
        <w:rPr>
          <w:rStyle w:val="CharChapText"/>
        </w:rPr>
        <w:t>Division</w:t>
      </w:r>
      <w:r w:rsidR="00DA13DE" w:rsidRPr="000C4237">
        <w:rPr>
          <w:rStyle w:val="CharChapText"/>
        </w:rPr>
        <w:t> </w:t>
      </w:r>
      <w:r w:rsidR="003638DE" w:rsidRPr="000C4237">
        <w:rPr>
          <w:rStyle w:val="CharChapText"/>
        </w:rPr>
        <w:t xml:space="preserve">4 of </w:t>
      </w:r>
      <w:r w:rsidRPr="000C4237">
        <w:rPr>
          <w:rStyle w:val="CharChapText"/>
        </w:rPr>
        <w:t>Part</w:t>
      </w:r>
      <w:r w:rsidR="00DA13DE" w:rsidRPr="000C4237">
        <w:rPr>
          <w:rStyle w:val="CharChapText"/>
        </w:rPr>
        <w:t> </w:t>
      </w:r>
      <w:r w:rsidR="003638DE" w:rsidRPr="000C4237">
        <w:rPr>
          <w:rStyle w:val="CharChapText"/>
        </w:rPr>
        <w:t>7.9 applies</w:t>
      </w:r>
      <w:bookmarkEnd w:id="146"/>
    </w:p>
    <w:p w:rsidR="003638DE" w:rsidRPr="006E709F" w:rsidRDefault="003638DE" w:rsidP="00A801D0">
      <w:pPr>
        <w:pStyle w:val="notemargin"/>
      </w:pPr>
      <w:r w:rsidRPr="006E709F">
        <w:t>(</w:t>
      </w:r>
      <w:r w:rsidR="005378CE" w:rsidRPr="006E709F">
        <w:t>regulation 7</w:t>
      </w:r>
      <w:r w:rsidRPr="006E709F">
        <w:t>.9.11O)</w:t>
      </w:r>
    </w:p>
    <w:p w:rsidR="003638DE" w:rsidRPr="006E709F" w:rsidRDefault="00A801D0" w:rsidP="003638DE">
      <w:pPr>
        <w:pStyle w:val="Header"/>
      </w:pPr>
      <w:r w:rsidRPr="000C4237">
        <w:rPr>
          <w:rStyle w:val="CharPartNo"/>
        </w:rPr>
        <w:t xml:space="preserve"> </w:t>
      </w:r>
      <w:r w:rsidRPr="000C4237">
        <w:rPr>
          <w:rStyle w:val="CharPartText"/>
        </w:rPr>
        <w:t xml:space="preserve"> </w:t>
      </w:r>
    </w:p>
    <w:p w:rsidR="003638DE" w:rsidRPr="006E709F" w:rsidRDefault="00102067" w:rsidP="00A801D0">
      <w:pPr>
        <w:pStyle w:val="ActHead5"/>
      </w:pPr>
      <w:bookmarkStart w:id="147" w:name="_Toc160609834"/>
      <w:r w:rsidRPr="000C4237">
        <w:rPr>
          <w:rStyle w:val="CharSectno"/>
        </w:rPr>
        <w:t>1</w:t>
      </w:r>
      <w:r w:rsidRPr="006E709F">
        <w:t xml:space="preserve">  </w:t>
      </w:r>
      <w:r w:rsidR="003638DE" w:rsidRPr="006E709F">
        <w:t>Length and font size for Product Disclosure Statement for superannuation product</w:t>
      </w:r>
      <w:bookmarkEnd w:id="147"/>
    </w:p>
    <w:p w:rsidR="003638DE" w:rsidRPr="006E709F" w:rsidRDefault="003638DE" w:rsidP="00A801D0">
      <w:pPr>
        <w:pStyle w:val="subsection"/>
      </w:pPr>
      <w:r w:rsidRPr="006E709F">
        <w:tab/>
        <w:t>(1)</w:t>
      </w:r>
      <w:r w:rsidRPr="006E709F">
        <w:tab/>
        <w:t xml:space="preserve">The length of a Product Disclosure Statement for a superannuation product to which </w:t>
      </w:r>
      <w:r w:rsidR="00A801D0" w:rsidRPr="006E709F">
        <w:t>Subdivision</w:t>
      </w:r>
      <w:r w:rsidR="00DA13DE" w:rsidRPr="006E709F">
        <w:t> </w:t>
      </w:r>
      <w:r w:rsidRPr="006E709F">
        <w:t xml:space="preserve">4.2B of </w:t>
      </w:r>
      <w:r w:rsidR="00A801D0" w:rsidRPr="006E709F">
        <w:t>Division</w:t>
      </w:r>
      <w:r w:rsidR="00DA13DE" w:rsidRPr="006E709F">
        <w:t> </w:t>
      </w:r>
      <w:r w:rsidRPr="006E709F">
        <w:t xml:space="preserve">4 of </w:t>
      </w:r>
      <w:r w:rsidR="00A801D0" w:rsidRPr="006E709F">
        <w:t>Part</w:t>
      </w:r>
      <w:r w:rsidR="00DA13DE" w:rsidRPr="006E709F">
        <w:t> </w:t>
      </w:r>
      <w:r w:rsidRPr="006E709F">
        <w:t>7.9 applies (not including any matter in writing that is applied, adopted or incorporated by the Statement) must not exceed:</w:t>
      </w:r>
    </w:p>
    <w:p w:rsidR="003638DE" w:rsidRPr="006E709F" w:rsidRDefault="003638DE" w:rsidP="00A801D0">
      <w:pPr>
        <w:pStyle w:val="paragraph"/>
      </w:pPr>
      <w:r w:rsidRPr="006E709F">
        <w:tab/>
        <w:t>(a)</w:t>
      </w:r>
      <w:r w:rsidRPr="006E709F">
        <w:tab/>
        <w:t>if it is printed on A4 pages</w:t>
      </w:r>
      <w:r w:rsidR="00A801D0" w:rsidRPr="006E709F">
        <w:t>—</w:t>
      </w:r>
      <w:r w:rsidRPr="006E709F">
        <w:t>8 pages; or</w:t>
      </w:r>
    </w:p>
    <w:p w:rsidR="003638DE" w:rsidRPr="006E709F" w:rsidRDefault="003638DE" w:rsidP="00A801D0">
      <w:pPr>
        <w:pStyle w:val="paragraph"/>
      </w:pPr>
      <w:r w:rsidRPr="006E709F">
        <w:tab/>
        <w:t>(b)</w:t>
      </w:r>
      <w:r w:rsidRPr="006E709F">
        <w:tab/>
        <w:t>if it is printed on A5 pages</w:t>
      </w:r>
      <w:r w:rsidR="00A801D0" w:rsidRPr="006E709F">
        <w:t>—</w:t>
      </w:r>
      <w:r w:rsidRPr="006E709F">
        <w:t>16 pages; or</w:t>
      </w:r>
    </w:p>
    <w:p w:rsidR="003638DE" w:rsidRPr="006E709F" w:rsidRDefault="003638DE" w:rsidP="00A801D0">
      <w:pPr>
        <w:pStyle w:val="paragraph"/>
      </w:pPr>
      <w:r w:rsidRPr="006E709F">
        <w:tab/>
        <w:t>(c)</w:t>
      </w:r>
      <w:r w:rsidRPr="006E709F">
        <w:tab/>
        <w:t>if it is printed on DL pages</w:t>
      </w:r>
      <w:r w:rsidR="00A801D0" w:rsidRPr="006E709F">
        <w:t>—</w:t>
      </w:r>
      <w:r w:rsidRPr="006E709F">
        <w:t>24 pages; or</w:t>
      </w:r>
    </w:p>
    <w:p w:rsidR="003638DE" w:rsidRPr="006E709F" w:rsidRDefault="003638DE" w:rsidP="00A801D0">
      <w:pPr>
        <w:pStyle w:val="paragraph"/>
      </w:pPr>
      <w:r w:rsidRPr="006E709F">
        <w:tab/>
        <w:t>(d)</w:t>
      </w:r>
      <w:r w:rsidRPr="006E709F">
        <w:tab/>
        <w:t>otherwise</w:t>
      </w:r>
      <w:r w:rsidR="00A801D0" w:rsidRPr="006E709F">
        <w:t>—</w:t>
      </w:r>
      <w:r w:rsidRPr="006E709F">
        <w:t>if it is formatted to be printed on A4 pages, 8</w:t>
      </w:r>
      <w:r w:rsidR="00E376FA" w:rsidRPr="006E709F">
        <w:t xml:space="preserve"> </w:t>
      </w:r>
      <w:r w:rsidRPr="006E709F">
        <w:t>A4 pages.</w:t>
      </w:r>
    </w:p>
    <w:p w:rsidR="003638DE" w:rsidRPr="006E709F" w:rsidRDefault="003638DE" w:rsidP="00A801D0">
      <w:pPr>
        <w:pStyle w:val="subsection"/>
      </w:pPr>
      <w:r w:rsidRPr="006E709F">
        <w:tab/>
        <w:t>(2)</w:t>
      </w:r>
      <w:r w:rsidRPr="006E709F">
        <w:tab/>
        <w:t>The minimum font size for text in the Statement is:</w:t>
      </w:r>
    </w:p>
    <w:p w:rsidR="003638DE" w:rsidRPr="006E709F" w:rsidRDefault="003638DE" w:rsidP="00A801D0">
      <w:pPr>
        <w:pStyle w:val="paragraph"/>
      </w:pPr>
      <w:r w:rsidRPr="006E709F">
        <w:tab/>
        <w:t>(a)</w:t>
      </w:r>
      <w:r w:rsidRPr="006E709F">
        <w:tab/>
        <w:t>for the name, address, ABN (if applicable), ACN (if applicable) and AFSL (if applicable) of the person giving the Statement</w:t>
      </w:r>
      <w:r w:rsidR="00A801D0" w:rsidRPr="006E709F">
        <w:t>—</w:t>
      </w:r>
      <w:r w:rsidRPr="006E709F">
        <w:t>8 points; and</w:t>
      </w:r>
    </w:p>
    <w:p w:rsidR="003638DE" w:rsidRPr="006E709F" w:rsidRDefault="003638DE" w:rsidP="00A801D0">
      <w:pPr>
        <w:pStyle w:val="paragraph"/>
      </w:pPr>
      <w:r w:rsidRPr="006E709F">
        <w:tab/>
        <w:t>(b)</w:t>
      </w:r>
      <w:r w:rsidRPr="006E709F">
        <w:tab/>
        <w:t>for all other text</w:t>
      </w:r>
      <w:r w:rsidR="00A801D0" w:rsidRPr="006E709F">
        <w:t>—</w:t>
      </w:r>
      <w:r w:rsidRPr="006E709F">
        <w:t>9 points.</w:t>
      </w:r>
    </w:p>
    <w:p w:rsidR="003638DE" w:rsidRPr="006E709F" w:rsidRDefault="00A801D0" w:rsidP="00A801D0">
      <w:pPr>
        <w:pStyle w:val="notetext"/>
      </w:pPr>
      <w:r w:rsidRPr="006E709F">
        <w:t>Note 1:</w:t>
      </w:r>
      <w:r w:rsidRPr="006E709F">
        <w:tab/>
      </w:r>
      <w:r w:rsidR="003638DE" w:rsidRPr="006E709F">
        <w:t>The Product Disclosure Statement must be worded and presented in a clear, concise and effective manner</w:t>
      </w:r>
      <w:r w:rsidRPr="006E709F">
        <w:t>—</w:t>
      </w:r>
      <w:r w:rsidR="003638DE" w:rsidRPr="006E709F">
        <w:t>see subsection</w:t>
      </w:r>
      <w:r w:rsidR="00DA13DE" w:rsidRPr="006E709F">
        <w:t> </w:t>
      </w:r>
      <w:r w:rsidR="00C36BD7" w:rsidRPr="006E709F">
        <w:t>1013C</w:t>
      </w:r>
      <w:r w:rsidR="003638DE" w:rsidRPr="006E709F">
        <w:t>(3) of the Act.</w:t>
      </w:r>
    </w:p>
    <w:p w:rsidR="003638DE" w:rsidRPr="006E709F" w:rsidRDefault="00A801D0" w:rsidP="00A801D0">
      <w:pPr>
        <w:pStyle w:val="notetext"/>
      </w:pPr>
      <w:r w:rsidRPr="006E709F">
        <w:t>Note 2:</w:t>
      </w:r>
      <w:r w:rsidRPr="006E709F">
        <w:tab/>
      </w:r>
      <w:r w:rsidR="003638DE" w:rsidRPr="006E709F">
        <w:t>A person required to a give a Product Disclosure Statement to a vision</w:t>
      </w:r>
      <w:r w:rsidR="000C4237">
        <w:noBreakHyphen/>
      </w:r>
      <w:r w:rsidR="003638DE" w:rsidRPr="006E709F">
        <w:t xml:space="preserve">impaired person must comply with its obligations under the </w:t>
      </w:r>
      <w:r w:rsidR="003638DE" w:rsidRPr="006E709F">
        <w:rPr>
          <w:i/>
        </w:rPr>
        <w:t>Disability Discrimination Act 1992</w:t>
      </w:r>
      <w:r w:rsidR="003638DE" w:rsidRPr="006E709F">
        <w:t>.</w:t>
      </w:r>
    </w:p>
    <w:p w:rsidR="003638DE" w:rsidRPr="006E709F" w:rsidRDefault="00102067" w:rsidP="00A801D0">
      <w:pPr>
        <w:pStyle w:val="ActHead5"/>
      </w:pPr>
      <w:bookmarkStart w:id="148" w:name="_Toc160609835"/>
      <w:r w:rsidRPr="000C4237">
        <w:rPr>
          <w:rStyle w:val="CharSectno"/>
        </w:rPr>
        <w:t>2</w:t>
      </w:r>
      <w:r w:rsidRPr="006E709F">
        <w:t xml:space="preserve">  </w:t>
      </w:r>
      <w:r w:rsidR="003638DE" w:rsidRPr="006E709F">
        <w:t>Minimum content of Product Disclosure Statement for superannuation product</w:t>
      </w:r>
      <w:bookmarkEnd w:id="148"/>
    </w:p>
    <w:p w:rsidR="003638DE" w:rsidRPr="006E709F" w:rsidRDefault="003638DE" w:rsidP="00A801D0">
      <w:pPr>
        <w:pStyle w:val="subsection"/>
      </w:pPr>
      <w:r w:rsidRPr="006E709F">
        <w:tab/>
        <w:t>(1)</w:t>
      </w:r>
      <w:r w:rsidRPr="006E709F">
        <w:tab/>
        <w:t>Subject to subclause</w:t>
      </w:r>
      <w:r w:rsidR="00DA13DE" w:rsidRPr="006E709F">
        <w:t> </w:t>
      </w:r>
      <w:r w:rsidRPr="006E709F">
        <w:t>10(1), the Product Disclosure Statement must include sections which must be numbered and titled as follows:</w:t>
      </w:r>
    </w:p>
    <w:p w:rsidR="003638DE" w:rsidRPr="006E709F" w:rsidRDefault="0048795D" w:rsidP="0048795D">
      <w:pPr>
        <w:pStyle w:val="paragraph"/>
      </w:pPr>
      <w:r w:rsidRPr="006E709F">
        <w:tab/>
      </w:r>
      <w:r w:rsidR="003638DE" w:rsidRPr="006E709F">
        <w:t>1.</w:t>
      </w:r>
      <w:r w:rsidR="003638DE" w:rsidRPr="006E709F">
        <w:tab/>
        <w:t>About [name of superannuation product]</w:t>
      </w:r>
    </w:p>
    <w:p w:rsidR="003638DE" w:rsidRPr="006E709F" w:rsidRDefault="0048795D" w:rsidP="0048795D">
      <w:pPr>
        <w:pStyle w:val="paragraph"/>
      </w:pPr>
      <w:r w:rsidRPr="006E709F">
        <w:tab/>
      </w:r>
      <w:r w:rsidR="003638DE" w:rsidRPr="006E709F">
        <w:t>2.</w:t>
      </w:r>
      <w:r w:rsidR="003638DE" w:rsidRPr="006E709F">
        <w:tab/>
        <w:t>How super works</w:t>
      </w:r>
    </w:p>
    <w:p w:rsidR="003638DE" w:rsidRPr="006E709F" w:rsidRDefault="0048795D" w:rsidP="0048795D">
      <w:pPr>
        <w:pStyle w:val="paragraph"/>
      </w:pPr>
      <w:r w:rsidRPr="006E709F">
        <w:tab/>
      </w:r>
      <w:r w:rsidR="003638DE" w:rsidRPr="006E709F">
        <w:t>3.</w:t>
      </w:r>
      <w:r w:rsidR="003638DE" w:rsidRPr="006E709F">
        <w:tab/>
        <w:t>Benefits of investing with [name of superannuation product]</w:t>
      </w:r>
    </w:p>
    <w:p w:rsidR="003638DE" w:rsidRPr="006E709F" w:rsidRDefault="0048795D" w:rsidP="0048795D">
      <w:pPr>
        <w:pStyle w:val="paragraph"/>
      </w:pPr>
      <w:r w:rsidRPr="006E709F">
        <w:tab/>
      </w:r>
      <w:r w:rsidR="003638DE" w:rsidRPr="006E709F">
        <w:t>4.</w:t>
      </w:r>
      <w:r w:rsidR="003638DE" w:rsidRPr="006E709F">
        <w:tab/>
        <w:t>Risks of super</w:t>
      </w:r>
    </w:p>
    <w:p w:rsidR="003638DE" w:rsidRPr="006E709F" w:rsidRDefault="0048795D" w:rsidP="0048795D">
      <w:pPr>
        <w:pStyle w:val="paragraph"/>
      </w:pPr>
      <w:r w:rsidRPr="006E709F">
        <w:tab/>
      </w:r>
      <w:r w:rsidR="003638DE" w:rsidRPr="006E709F">
        <w:t>5.</w:t>
      </w:r>
      <w:r w:rsidR="003638DE" w:rsidRPr="006E709F">
        <w:tab/>
        <w:t>How we invest your money</w:t>
      </w:r>
    </w:p>
    <w:p w:rsidR="003638DE" w:rsidRPr="006E709F" w:rsidRDefault="0048795D" w:rsidP="0048795D">
      <w:pPr>
        <w:pStyle w:val="paragraph"/>
      </w:pPr>
      <w:r w:rsidRPr="006E709F">
        <w:tab/>
      </w:r>
      <w:r w:rsidR="003638DE" w:rsidRPr="006E709F">
        <w:t>6.</w:t>
      </w:r>
      <w:r w:rsidR="003638DE" w:rsidRPr="006E709F">
        <w:tab/>
        <w:t>Fees and costs</w:t>
      </w:r>
    </w:p>
    <w:p w:rsidR="003638DE" w:rsidRPr="006E709F" w:rsidRDefault="0048795D" w:rsidP="0048795D">
      <w:pPr>
        <w:pStyle w:val="paragraph"/>
      </w:pPr>
      <w:r w:rsidRPr="006E709F">
        <w:tab/>
      </w:r>
      <w:r w:rsidR="003638DE" w:rsidRPr="006E709F">
        <w:t>7.</w:t>
      </w:r>
      <w:r w:rsidR="003638DE" w:rsidRPr="006E709F">
        <w:tab/>
        <w:t>How super is taxed</w:t>
      </w:r>
    </w:p>
    <w:p w:rsidR="003638DE" w:rsidRPr="006E709F" w:rsidRDefault="0048795D" w:rsidP="0048795D">
      <w:pPr>
        <w:pStyle w:val="paragraph"/>
      </w:pPr>
      <w:r w:rsidRPr="006E709F">
        <w:tab/>
      </w:r>
      <w:r w:rsidR="003638DE" w:rsidRPr="006E709F">
        <w:t>8.</w:t>
      </w:r>
      <w:r w:rsidR="003638DE" w:rsidRPr="006E709F">
        <w:tab/>
        <w:t>Insurance in your super</w:t>
      </w:r>
    </w:p>
    <w:p w:rsidR="003638DE" w:rsidRPr="006E709F" w:rsidRDefault="0048795D" w:rsidP="0048795D">
      <w:pPr>
        <w:pStyle w:val="paragraph"/>
      </w:pPr>
      <w:r w:rsidRPr="006E709F">
        <w:tab/>
      </w:r>
      <w:r w:rsidR="003638DE" w:rsidRPr="006E709F">
        <w:t>9.</w:t>
      </w:r>
      <w:r w:rsidR="003638DE" w:rsidRPr="006E709F">
        <w:tab/>
        <w:t>How to open an account.</w:t>
      </w:r>
    </w:p>
    <w:p w:rsidR="003638DE" w:rsidRPr="006E709F" w:rsidRDefault="003638DE" w:rsidP="00A801D0">
      <w:pPr>
        <w:pStyle w:val="subsection"/>
      </w:pPr>
      <w:r w:rsidRPr="006E709F">
        <w:tab/>
        <w:t>(2)</w:t>
      </w:r>
      <w:r w:rsidRPr="006E709F">
        <w:tab/>
        <w:t>However, if the superannuation product does not offer insurance cover:</w:t>
      </w:r>
    </w:p>
    <w:p w:rsidR="003638DE" w:rsidRPr="006E709F" w:rsidRDefault="003638DE" w:rsidP="00A801D0">
      <w:pPr>
        <w:pStyle w:val="paragraph"/>
      </w:pPr>
      <w:r w:rsidRPr="006E709F">
        <w:tab/>
        <w:t>(a)</w:t>
      </w:r>
      <w:r w:rsidRPr="006E709F">
        <w:tab/>
        <w:t>section</w:t>
      </w:r>
      <w:r w:rsidR="00DA13DE" w:rsidRPr="006E709F">
        <w:t> </w:t>
      </w:r>
      <w:r w:rsidRPr="006E709F">
        <w:t>9 may be presented as section</w:t>
      </w:r>
      <w:r w:rsidR="00DA13DE" w:rsidRPr="006E709F">
        <w:t> </w:t>
      </w:r>
      <w:r w:rsidRPr="006E709F">
        <w:t>8; and</w:t>
      </w:r>
    </w:p>
    <w:p w:rsidR="003638DE" w:rsidRPr="006E709F" w:rsidRDefault="003638DE" w:rsidP="00A801D0">
      <w:pPr>
        <w:pStyle w:val="paragraph"/>
      </w:pPr>
      <w:r w:rsidRPr="006E709F">
        <w:tab/>
        <w:t>(b)</w:t>
      </w:r>
      <w:r w:rsidRPr="006E709F">
        <w:tab/>
        <w:t>if section</w:t>
      </w:r>
      <w:r w:rsidR="00DA13DE" w:rsidRPr="006E709F">
        <w:t> </w:t>
      </w:r>
      <w:r w:rsidRPr="006E709F">
        <w:t>9 is presented as section</w:t>
      </w:r>
      <w:r w:rsidR="00DA13DE" w:rsidRPr="006E709F">
        <w:t> </w:t>
      </w:r>
      <w:r w:rsidRPr="006E709F">
        <w:t>8</w:t>
      </w:r>
      <w:r w:rsidR="00A801D0" w:rsidRPr="006E709F">
        <w:t>—</w:t>
      </w:r>
      <w:r w:rsidRPr="006E709F">
        <w:t>a reference in clause</w:t>
      </w:r>
      <w:r w:rsidR="00DA13DE" w:rsidRPr="006E709F">
        <w:t> </w:t>
      </w:r>
      <w:r w:rsidRPr="006E709F">
        <w:t>11 to section</w:t>
      </w:r>
      <w:r w:rsidR="00DA13DE" w:rsidRPr="006E709F">
        <w:t> </w:t>
      </w:r>
      <w:r w:rsidRPr="006E709F">
        <w:t>9 is taken to be a reference to section</w:t>
      </w:r>
      <w:r w:rsidR="00DA13DE" w:rsidRPr="006E709F">
        <w:t> </w:t>
      </w:r>
      <w:r w:rsidRPr="006E709F">
        <w:t>8.</w:t>
      </w:r>
    </w:p>
    <w:p w:rsidR="003638DE" w:rsidRPr="006E709F" w:rsidRDefault="003638DE" w:rsidP="00A801D0">
      <w:pPr>
        <w:pStyle w:val="subsection"/>
      </w:pPr>
      <w:r w:rsidRPr="006E709F">
        <w:tab/>
        <w:t>(3)</w:t>
      </w:r>
      <w:r w:rsidRPr="006E709F">
        <w:tab/>
        <w:t>The Product Disclosure Statement must include:</w:t>
      </w:r>
    </w:p>
    <w:p w:rsidR="003638DE" w:rsidRPr="006E709F" w:rsidRDefault="003638DE" w:rsidP="00A801D0">
      <w:pPr>
        <w:pStyle w:val="paragraph"/>
      </w:pPr>
      <w:r w:rsidRPr="006E709F">
        <w:tab/>
        <w:t>(a)</w:t>
      </w:r>
      <w:r w:rsidRPr="006E709F">
        <w:tab/>
        <w:t xml:space="preserve">a table of contents that sets out the titles mentioned in </w:t>
      </w:r>
      <w:r w:rsidR="00DA13DE" w:rsidRPr="006E709F">
        <w:t>subclause (</w:t>
      </w:r>
      <w:r w:rsidRPr="006E709F">
        <w:t>1); and</w:t>
      </w:r>
    </w:p>
    <w:p w:rsidR="003638DE" w:rsidRPr="006E709F" w:rsidRDefault="003638DE" w:rsidP="00A801D0">
      <w:pPr>
        <w:pStyle w:val="paragraph"/>
      </w:pPr>
      <w:r w:rsidRPr="006E709F">
        <w:tab/>
        <w:t>(b)</w:t>
      </w:r>
      <w:r w:rsidRPr="006E709F">
        <w:tab/>
        <w:t xml:space="preserve">the telephone number of the superannuation trustee to enable a person who acquires the superannuation product to request a copy of the following under </w:t>
      </w:r>
      <w:r w:rsidR="005378CE" w:rsidRPr="006E709F">
        <w:t>regulation 7</w:t>
      </w:r>
      <w:r w:rsidRPr="006E709F">
        <w:t>.9.11R:</w:t>
      </w:r>
    </w:p>
    <w:p w:rsidR="003638DE" w:rsidRPr="006E709F" w:rsidRDefault="003638DE" w:rsidP="00A801D0">
      <w:pPr>
        <w:pStyle w:val="paragraphsub"/>
      </w:pPr>
      <w:r w:rsidRPr="006E709F">
        <w:tab/>
        <w:t>(i)</w:t>
      </w:r>
      <w:r w:rsidRPr="006E709F">
        <w:tab/>
        <w:t>a copy of the Statement; and</w:t>
      </w:r>
    </w:p>
    <w:p w:rsidR="003638DE" w:rsidRPr="006E709F" w:rsidRDefault="003638DE" w:rsidP="00A801D0">
      <w:pPr>
        <w:pStyle w:val="paragraphsub"/>
      </w:pPr>
      <w:r w:rsidRPr="006E709F">
        <w:tab/>
        <w:t>(ii)</w:t>
      </w:r>
      <w:r w:rsidRPr="006E709F">
        <w:tab/>
        <w:t>a copy of a matter in writing that is applied, adopted or incorporated by the Statement.</w:t>
      </w:r>
    </w:p>
    <w:p w:rsidR="003638DE" w:rsidRPr="006E709F" w:rsidRDefault="003638DE" w:rsidP="00A801D0">
      <w:pPr>
        <w:pStyle w:val="subsection"/>
      </w:pPr>
      <w:r w:rsidRPr="006E709F">
        <w:tab/>
        <w:t>(4)</w:t>
      </w:r>
      <w:r w:rsidRPr="006E709F">
        <w:tab/>
        <w:t>The Product Disclosure Statement must:</w:t>
      </w:r>
    </w:p>
    <w:p w:rsidR="003638DE" w:rsidRPr="006E709F" w:rsidRDefault="003638DE" w:rsidP="00A801D0">
      <w:pPr>
        <w:pStyle w:val="paragraph"/>
      </w:pPr>
      <w:r w:rsidRPr="006E709F">
        <w:tab/>
        <w:t>(a)</w:t>
      </w:r>
      <w:r w:rsidRPr="006E709F">
        <w:tab/>
        <w:t>advise a person reading the Statement that:</w:t>
      </w:r>
    </w:p>
    <w:p w:rsidR="003638DE" w:rsidRPr="006E709F" w:rsidRDefault="003638DE" w:rsidP="00A801D0">
      <w:pPr>
        <w:pStyle w:val="paragraphsub"/>
      </w:pPr>
      <w:r w:rsidRPr="006E709F">
        <w:tab/>
        <w:t>(i)</w:t>
      </w:r>
      <w:r w:rsidRPr="006E709F">
        <w:tab/>
        <w:t>it is a summary of significant information and contains a number of references to important information (each of which forms part of the Statement); and</w:t>
      </w:r>
    </w:p>
    <w:p w:rsidR="003638DE" w:rsidRPr="006E709F" w:rsidRDefault="003638DE" w:rsidP="00A801D0">
      <w:pPr>
        <w:pStyle w:val="paragraphsub"/>
      </w:pPr>
      <w:r w:rsidRPr="006E709F">
        <w:tab/>
        <w:t>(ii)</w:t>
      </w:r>
      <w:r w:rsidRPr="006E709F">
        <w:tab/>
        <w:t>the person should consider that information before making a decision about the product; and</w:t>
      </w:r>
    </w:p>
    <w:p w:rsidR="003638DE" w:rsidRPr="006E709F" w:rsidRDefault="003638DE" w:rsidP="00A801D0">
      <w:pPr>
        <w:pStyle w:val="paragraphsub"/>
      </w:pPr>
      <w:r w:rsidRPr="006E709F">
        <w:tab/>
        <w:t>(iii)</w:t>
      </w:r>
      <w:r w:rsidRPr="006E709F">
        <w:tab/>
        <w:t>the information provided in the Statement is general information only and does not take account of the person’s personal financial situation or needs; and</w:t>
      </w:r>
    </w:p>
    <w:p w:rsidR="003638DE" w:rsidRPr="006E709F" w:rsidRDefault="003638DE" w:rsidP="00A801D0">
      <w:pPr>
        <w:pStyle w:val="paragraphsub"/>
      </w:pPr>
      <w:r w:rsidRPr="006E709F">
        <w:tab/>
        <w:t>(iv)</w:t>
      </w:r>
      <w:r w:rsidRPr="006E709F">
        <w:tab/>
        <w:t>the person should obtain financial advice tailored to the person’s personal circumstances; and</w:t>
      </w:r>
    </w:p>
    <w:p w:rsidR="003638DE" w:rsidRPr="006E709F" w:rsidRDefault="003638DE" w:rsidP="00A801D0">
      <w:pPr>
        <w:pStyle w:val="paragraph"/>
      </w:pPr>
      <w:r w:rsidRPr="006E709F">
        <w:tab/>
        <w:t>(b)</w:t>
      </w:r>
      <w:r w:rsidRPr="006E709F">
        <w:tab/>
        <w:t>display the advice:</w:t>
      </w:r>
    </w:p>
    <w:p w:rsidR="003638DE" w:rsidRPr="006E709F" w:rsidRDefault="003638DE" w:rsidP="00A801D0">
      <w:pPr>
        <w:pStyle w:val="paragraphsub"/>
      </w:pPr>
      <w:r w:rsidRPr="006E709F">
        <w:tab/>
        <w:t>(i)</w:t>
      </w:r>
      <w:r w:rsidRPr="006E709F">
        <w:tab/>
        <w:t>at or near the beginning of the document; and</w:t>
      </w:r>
    </w:p>
    <w:p w:rsidR="003638DE" w:rsidRPr="006E709F" w:rsidRDefault="003638DE" w:rsidP="00A801D0">
      <w:pPr>
        <w:pStyle w:val="paragraphsub"/>
      </w:pPr>
      <w:r w:rsidRPr="006E709F">
        <w:tab/>
        <w:t>(ii)</w:t>
      </w:r>
      <w:r w:rsidRPr="006E709F">
        <w:tab/>
        <w:t>in a prominent position and style.</w:t>
      </w:r>
    </w:p>
    <w:p w:rsidR="003638DE" w:rsidRPr="006E709F" w:rsidRDefault="003638DE" w:rsidP="00A801D0">
      <w:pPr>
        <w:pStyle w:val="subsection"/>
      </w:pPr>
      <w:r w:rsidRPr="006E709F">
        <w:tab/>
        <w:t>(5)</w:t>
      </w:r>
      <w:r w:rsidRPr="006E709F">
        <w:tab/>
        <w:t>The Product Disclosure Statement:</w:t>
      </w:r>
    </w:p>
    <w:p w:rsidR="003638DE" w:rsidRPr="006E709F" w:rsidRDefault="003638DE" w:rsidP="00A801D0">
      <w:pPr>
        <w:pStyle w:val="paragraph"/>
      </w:pPr>
      <w:r w:rsidRPr="006E709F">
        <w:tab/>
        <w:t>(a)</w:t>
      </w:r>
      <w:r w:rsidRPr="006E709F">
        <w:tab/>
        <w:t>may include additional sections after sections</w:t>
      </w:r>
      <w:r w:rsidR="00DA13DE" w:rsidRPr="006E709F">
        <w:t> </w:t>
      </w:r>
      <w:r w:rsidRPr="006E709F">
        <w:t>1 to 9; and</w:t>
      </w:r>
    </w:p>
    <w:p w:rsidR="003638DE" w:rsidRPr="006E709F" w:rsidRDefault="003638DE" w:rsidP="00A801D0">
      <w:pPr>
        <w:pStyle w:val="paragraph"/>
      </w:pPr>
      <w:r w:rsidRPr="006E709F">
        <w:tab/>
        <w:t>(b)</w:t>
      </w:r>
      <w:r w:rsidRPr="006E709F">
        <w:tab/>
        <w:t>may include other information;</w:t>
      </w:r>
    </w:p>
    <w:p w:rsidR="003638DE" w:rsidRPr="006E709F" w:rsidRDefault="003638DE" w:rsidP="00A801D0">
      <w:pPr>
        <w:pStyle w:val="subsection2"/>
      </w:pPr>
      <w:r w:rsidRPr="006E709F">
        <w:t>to an extent that does not have the effect of contravening subclause</w:t>
      </w:r>
      <w:r w:rsidR="00DA13DE" w:rsidRPr="006E709F">
        <w:t> </w:t>
      </w:r>
      <w:r w:rsidRPr="006E709F">
        <w:t>1(1).</w:t>
      </w:r>
    </w:p>
    <w:p w:rsidR="003638DE" w:rsidRPr="006E709F" w:rsidRDefault="003638DE" w:rsidP="00A801D0">
      <w:pPr>
        <w:pStyle w:val="subsection"/>
      </w:pPr>
      <w:r w:rsidRPr="006E709F">
        <w:tab/>
        <w:t>(6)</w:t>
      </w:r>
      <w:r w:rsidRPr="006E709F">
        <w:tab/>
        <w:t>The Product Disclosure Statement does not need to indicate that a particular requirement is not applicable to the superannuation product.</w:t>
      </w:r>
    </w:p>
    <w:p w:rsidR="003638DE" w:rsidRPr="006E709F" w:rsidRDefault="00A801D0" w:rsidP="00A801D0">
      <w:pPr>
        <w:pStyle w:val="notetext"/>
      </w:pPr>
      <w:r w:rsidRPr="006E709F">
        <w:t>Note:</w:t>
      </w:r>
      <w:r w:rsidRPr="006E709F">
        <w:tab/>
      </w:r>
      <w:r w:rsidR="003638DE" w:rsidRPr="006E709F">
        <w:t xml:space="preserve">The Act, as modified in accordance with </w:t>
      </w:r>
      <w:r w:rsidRPr="006E709F">
        <w:t>Subdivision</w:t>
      </w:r>
      <w:r w:rsidR="00DA13DE" w:rsidRPr="006E709F">
        <w:t> </w:t>
      </w:r>
      <w:r w:rsidR="003638DE" w:rsidRPr="006E709F">
        <w:t xml:space="preserve">4.2B of </w:t>
      </w:r>
      <w:r w:rsidRPr="006E709F">
        <w:t>Division</w:t>
      </w:r>
      <w:r w:rsidR="00DA13DE" w:rsidRPr="006E709F">
        <w:t> </w:t>
      </w:r>
      <w:r w:rsidR="003638DE" w:rsidRPr="006E709F">
        <w:t xml:space="preserve">4 of </w:t>
      </w:r>
      <w:r w:rsidRPr="006E709F">
        <w:t>Part</w:t>
      </w:r>
      <w:r w:rsidR="00DA13DE" w:rsidRPr="006E709F">
        <w:t> </w:t>
      </w:r>
      <w:r w:rsidR="003638DE" w:rsidRPr="006E709F">
        <w:t>7.9, requires information to be included in the Product Disclosure Statement only to the extent to which the requirement is applicable to the superannuation product.</w:t>
      </w:r>
    </w:p>
    <w:p w:rsidR="00C01C82" w:rsidRPr="006E709F" w:rsidRDefault="00C01C82" w:rsidP="00C01C82">
      <w:pPr>
        <w:pStyle w:val="ActHead5"/>
      </w:pPr>
      <w:bookmarkStart w:id="149" w:name="_Toc160609836"/>
      <w:r w:rsidRPr="000C4237">
        <w:rPr>
          <w:rStyle w:val="CharSectno"/>
        </w:rPr>
        <w:t>3</w:t>
      </w:r>
      <w:r w:rsidRPr="006E709F">
        <w:t xml:space="preserve">  Contents of section</w:t>
      </w:r>
      <w:r w:rsidR="00DA13DE" w:rsidRPr="006E709F">
        <w:t> </w:t>
      </w:r>
      <w:r w:rsidRPr="006E709F">
        <w:t xml:space="preserve">1 (About </w:t>
      </w:r>
      <w:r w:rsidRPr="006E709F">
        <w:rPr>
          <w:i/>
        </w:rPr>
        <w:t>[name of superannuation product]</w:t>
      </w:r>
      <w:r w:rsidRPr="006E709F">
        <w:t>)</w:t>
      </w:r>
      <w:bookmarkEnd w:id="149"/>
    </w:p>
    <w:p w:rsidR="00C01C82" w:rsidRPr="006E709F" w:rsidRDefault="00C01C82" w:rsidP="00C01C82">
      <w:pPr>
        <w:pStyle w:val="subsection"/>
      </w:pPr>
      <w:r w:rsidRPr="006E709F">
        <w:tab/>
        <w:t>(1)</w:t>
      </w:r>
      <w:r w:rsidRPr="006E709F">
        <w:tab/>
        <w:t>Section</w:t>
      </w:r>
      <w:r w:rsidR="00DA13DE" w:rsidRPr="006E709F">
        <w:t> </w:t>
      </w:r>
      <w:r w:rsidRPr="006E709F">
        <w:t>1 of the Product Disclosure Statement must:</w:t>
      </w:r>
    </w:p>
    <w:p w:rsidR="00C01C82" w:rsidRPr="006E709F" w:rsidRDefault="00C01C82" w:rsidP="00C01C82">
      <w:pPr>
        <w:pStyle w:val="paragraph"/>
      </w:pPr>
      <w:r w:rsidRPr="006E709F">
        <w:tab/>
        <w:t>(a)</w:t>
      </w:r>
      <w:r w:rsidRPr="006E709F">
        <w:tab/>
        <w:t>describe, in the form of a summary, the superannuation entity and the MySuper products and other investment options offered by the entity; and</w:t>
      </w:r>
    </w:p>
    <w:p w:rsidR="00C01C82" w:rsidRPr="006E709F" w:rsidRDefault="00C01C82" w:rsidP="00C01C82">
      <w:pPr>
        <w:pStyle w:val="paragraph"/>
      </w:pPr>
      <w:r w:rsidRPr="006E709F">
        <w:tab/>
        <w:t>(b)</w:t>
      </w:r>
      <w:r w:rsidRPr="006E709F">
        <w:tab/>
        <w:t>include a statement of where, on the entity’s website, the member can find:</w:t>
      </w:r>
    </w:p>
    <w:p w:rsidR="00C01C82" w:rsidRPr="006E709F" w:rsidRDefault="00C01C82" w:rsidP="00C01C82">
      <w:pPr>
        <w:pStyle w:val="paragraphsub"/>
      </w:pPr>
      <w:r w:rsidRPr="006E709F">
        <w:tab/>
        <w:t>(i)</w:t>
      </w:r>
      <w:r w:rsidRPr="006E709F">
        <w:tab/>
        <w:t>the product dashboard for each MySuper product and choice product in the entity; and</w:t>
      </w:r>
    </w:p>
    <w:p w:rsidR="00C01C82" w:rsidRPr="006E709F" w:rsidRDefault="00C01C82" w:rsidP="00C01C82">
      <w:pPr>
        <w:pStyle w:val="paragraphsub"/>
        <w:rPr>
          <w:iCs/>
        </w:rPr>
      </w:pPr>
      <w:r w:rsidRPr="006E709F">
        <w:tab/>
        <w:t>(ii)</w:t>
      </w:r>
      <w:r w:rsidRPr="006E709F">
        <w:tab/>
        <w:t xml:space="preserve">each trustee and executive remuneration disclosure for the entity, and any other document that must be disclosed for the entity under the </w:t>
      </w:r>
      <w:r w:rsidRPr="006E709F">
        <w:rPr>
          <w:i/>
          <w:iCs/>
        </w:rPr>
        <w:t>SIS Regulations</w:t>
      </w:r>
      <w:r w:rsidRPr="006E709F">
        <w:rPr>
          <w:iCs/>
        </w:rPr>
        <w:t>; and</w:t>
      </w:r>
    </w:p>
    <w:p w:rsidR="00C01C82" w:rsidRPr="006E709F" w:rsidRDefault="00C01C82" w:rsidP="00C01C82">
      <w:pPr>
        <w:pStyle w:val="paragraph"/>
      </w:pPr>
      <w:r w:rsidRPr="006E709F">
        <w:tab/>
        <w:t>(c)</w:t>
      </w:r>
      <w:r w:rsidRPr="006E709F">
        <w:tab/>
        <w:t xml:space="preserve">a statement describing the entity’s process for transitioning each member whose interest includes an accrued default amount from an existing default option to a MySuper product by </w:t>
      </w:r>
      <w:r w:rsidR="005378CE" w:rsidRPr="006E709F">
        <w:t>1 July</w:t>
      </w:r>
      <w:r w:rsidRPr="006E709F">
        <w:t xml:space="preserve"> 2017.</w:t>
      </w:r>
    </w:p>
    <w:p w:rsidR="00C01C82" w:rsidRPr="006E709F" w:rsidRDefault="00C01C82" w:rsidP="00C01C82">
      <w:pPr>
        <w:pStyle w:val="subsection"/>
      </w:pPr>
      <w:r w:rsidRPr="006E709F">
        <w:tab/>
        <w:t>(2)</w:t>
      </w:r>
      <w:r w:rsidRPr="006E709F">
        <w:tab/>
      </w:r>
      <w:r w:rsidR="00DA13DE" w:rsidRPr="006E709F">
        <w:t>Paragraph (</w:t>
      </w:r>
      <w:r w:rsidRPr="006E709F">
        <w:t>1)(c) applies until the earlier of:</w:t>
      </w:r>
    </w:p>
    <w:p w:rsidR="00C01C82" w:rsidRPr="006E709F" w:rsidRDefault="00C01C82" w:rsidP="00C01C82">
      <w:pPr>
        <w:pStyle w:val="paragraph"/>
      </w:pPr>
      <w:r w:rsidRPr="006E709F">
        <w:tab/>
        <w:t>(a)</w:t>
      </w:r>
      <w:r w:rsidRPr="006E709F">
        <w:tab/>
      </w:r>
      <w:r w:rsidR="005378CE" w:rsidRPr="006E709F">
        <w:t>1 July</w:t>
      </w:r>
      <w:r w:rsidRPr="006E709F">
        <w:t xml:space="preserve"> 2017; and</w:t>
      </w:r>
    </w:p>
    <w:p w:rsidR="00C01C82" w:rsidRPr="006E709F" w:rsidRDefault="00C01C82" w:rsidP="00C01C82">
      <w:pPr>
        <w:pStyle w:val="paragraph"/>
      </w:pPr>
      <w:r w:rsidRPr="006E709F">
        <w:tab/>
        <w:t>(b)</w:t>
      </w:r>
      <w:r w:rsidRPr="006E709F">
        <w:tab/>
        <w:t>the day on which the entity has attributed each accrued default amount in the entity to a MySuper product.</w:t>
      </w:r>
    </w:p>
    <w:p w:rsidR="00C01C82" w:rsidRPr="006E709F" w:rsidRDefault="00C01C82" w:rsidP="00C01C82">
      <w:pPr>
        <w:pStyle w:val="notetext"/>
      </w:pPr>
      <w:r w:rsidRPr="006E709F">
        <w:t>Note:</w:t>
      </w:r>
      <w:r w:rsidRPr="006E709F">
        <w:tab/>
        <w:t xml:space="preserve">Putting the information mentioned in </w:t>
      </w:r>
      <w:r w:rsidR="00DA13DE" w:rsidRPr="006E709F">
        <w:t>paragraph (</w:t>
      </w:r>
      <w:r w:rsidRPr="006E709F">
        <w:t>1)(b) onto the superannuation fund’s website does not amount to adding the information to the Product Disclosure Statement.</w:t>
      </w:r>
    </w:p>
    <w:p w:rsidR="003638DE" w:rsidRPr="006E709F" w:rsidRDefault="00102067" w:rsidP="00A801D0">
      <w:pPr>
        <w:pStyle w:val="ActHead5"/>
      </w:pPr>
      <w:bookmarkStart w:id="150" w:name="_Toc160609837"/>
      <w:r w:rsidRPr="000C4237">
        <w:rPr>
          <w:rStyle w:val="CharSectno"/>
        </w:rPr>
        <w:t>4</w:t>
      </w:r>
      <w:r w:rsidRPr="006E709F">
        <w:t xml:space="preserve">  </w:t>
      </w:r>
      <w:r w:rsidR="003638DE" w:rsidRPr="006E709F">
        <w:t>Contents of section</w:t>
      </w:r>
      <w:r w:rsidR="00DA13DE" w:rsidRPr="006E709F">
        <w:t> </w:t>
      </w:r>
      <w:r w:rsidR="003638DE" w:rsidRPr="006E709F">
        <w:t>2 (How super works)</w:t>
      </w:r>
      <w:bookmarkEnd w:id="150"/>
    </w:p>
    <w:p w:rsidR="003638DE" w:rsidRPr="006E709F" w:rsidRDefault="003638DE" w:rsidP="00A801D0">
      <w:pPr>
        <w:pStyle w:val="subsection"/>
      </w:pPr>
      <w:r w:rsidRPr="006E709F">
        <w:tab/>
        <w:t>(1)</w:t>
      </w:r>
      <w:r w:rsidRPr="006E709F">
        <w:tab/>
        <w:t>Section</w:t>
      </w:r>
      <w:r w:rsidR="00DA13DE" w:rsidRPr="006E709F">
        <w:t> </w:t>
      </w:r>
      <w:r w:rsidRPr="006E709F">
        <w:t>2 of the Product Disclosure Statement must include statements to the effect that:</w:t>
      </w:r>
    </w:p>
    <w:p w:rsidR="003638DE" w:rsidRPr="006E709F" w:rsidRDefault="003638DE" w:rsidP="00A801D0">
      <w:pPr>
        <w:pStyle w:val="paragraph"/>
      </w:pPr>
      <w:r w:rsidRPr="006E709F">
        <w:tab/>
        <w:t>(a)</w:t>
      </w:r>
      <w:r w:rsidRPr="006E709F">
        <w:tab/>
        <w:t>superannuation is a means of saving for retirement which is, in part, compulsory; and</w:t>
      </w:r>
    </w:p>
    <w:p w:rsidR="003638DE" w:rsidRPr="006E709F" w:rsidRDefault="003638DE" w:rsidP="00A801D0">
      <w:pPr>
        <w:pStyle w:val="paragraph"/>
      </w:pPr>
      <w:r w:rsidRPr="006E709F">
        <w:tab/>
        <w:t>(b)</w:t>
      </w:r>
      <w:r w:rsidRPr="006E709F">
        <w:tab/>
        <w:t>there are different types of contributions available to a person (for example, employer contributions, voluntary contributions, government co</w:t>
      </w:r>
      <w:r w:rsidR="000C4237">
        <w:noBreakHyphen/>
      </w:r>
      <w:r w:rsidRPr="006E709F">
        <w:t>contributions); and</w:t>
      </w:r>
    </w:p>
    <w:p w:rsidR="003638DE" w:rsidRPr="006E709F" w:rsidRDefault="003638DE" w:rsidP="00A801D0">
      <w:pPr>
        <w:pStyle w:val="paragraph"/>
      </w:pPr>
      <w:r w:rsidRPr="006E709F">
        <w:tab/>
        <w:t>(c)</w:t>
      </w:r>
      <w:r w:rsidRPr="006E709F">
        <w:tab/>
        <w:t>there are limitations on contributions to, and withdrawals from, superannuation; and</w:t>
      </w:r>
    </w:p>
    <w:p w:rsidR="003638DE" w:rsidRPr="006E709F" w:rsidRDefault="003638DE" w:rsidP="00A801D0">
      <w:pPr>
        <w:pStyle w:val="paragraph"/>
      </w:pPr>
      <w:r w:rsidRPr="006E709F">
        <w:tab/>
        <w:t>(d)</w:t>
      </w:r>
      <w:r w:rsidRPr="006E709F">
        <w:tab/>
        <w:t>tax savings are provided by the Government; and</w:t>
      </w:r>
    </w:p>
    <w:p w:rsidR="003638DE" w:rsidRPr="006E709F" w:rsidRDefault="003638DE" w:rsidP="00A801D0">
      <w:pPr>
        <w:pStyle w:val="paragraph"/>
      </w:pPr>
      <w:r w:rsidRPr="006E709F">
        <w:tab/>
        <w:t>(e)</w:t>
      </w:r>
      <w:r w:rsidRPr="006E709F">
        <w:tab/>
        <w:t xml:space="preserve">most people have the right to choose into which </w:t>
      </w:r>
      <w:r w:rsidR="00C01C82" w:rsidRPr="006E709F">
        <w:t>superannuation entity</w:t>
      </w:r>
      <w:r w:rsidRPr="006E709F">
        <w:t xml:space="preserve"> the employer should direct their superannuation guarantee contributions.</w:t>
      </w:r>
    </w:p>
    <w:p w:rsidR="003638DE" w:rsidRPr="006E709F" w:rsidRDefault="003638DE" w:rsidP="00A801D0">
      <w:pPr>
        <w:pStyle w:val="subsection"/>
      </w:pPr>
      <w:r w:rsidRPr="006E709F">
        <w:tab/>
        <w:t>(2)</w:t>
      </w:r>
      <w:r w:rsidRPr="006E709F">
        <w:tab/>
        <w:t xml:space="preserve">The superannuation trustee may provide more detailed information on the matters set out in </w:t>
      </w:r>
      <w:r w:rsidR="00DA13DE" w:rsidRPr="006E709F">
        <w:t>subclause (</w:t>
      </w:r>
      <w:r w:rsidRPr="006E709F">
        <w:t>1) by:</w:t>
      </w:r>
    </w:p>
    <w:p w:rsidR="003638DE" w:rsidRPr="006E709F" w:rsidRDefault="003638DE" w:rsidP="00A801D0">
      <w:pPr>
        <w:pStyle w:val="paragraph"/>
      </w:pPr>
      <w:r w:rsidRPr="006E709F">
        <w:tab/>
        <w:t>(a)</w:t>
      </w:r>
      <w:r w:rsidRPr="006E709F">
        <w:tab/>
        <w:t>applying, adopting or incorporating a matter in writing; or</w:t>
      </w:r>
    </w:p>
    <w:p w:rsidR="003638DE" w:rsidRPr="006E709F" w:rsidRDefault="003638DE" w:rsidP="00A801D0">
      <w:pPr>
        <w:pStyle w:val="paragraph"/>
      </w:pPr>
      <w:r w:rsidRPr="006E709F">
        <w:tab/>
        <w:t>(b)</w:t>
      </w:r>
      <w:r w:rsidRPr="006E709F">
        <w:tab/>
        <w:t>providing a reference to a website, operated by or on behalf of the Commonwealth, that contains the information.</w:t>
      </w:r>
    </w:p>
    <w:p w:rsidR="003638DE" w:rsidRPr="006E709F" w:rsidRDefault="00102067" w:rsidP="00A801D0">
      <w:pPr>
        <w:pStyle w:val="ActHead5"/>
      </w:pPr>
      <w:bookmarkStart w:id="151" w:name="_Toc160609838"/>
      <w:r w:rsidRPr="000C4237">
        <w:rPr>
          <w:rStyle w:val="CharSectno"/>
        </w:rPr>
        <w:t>5</w:t>
      </w:r>
      <w:r w:rsidRPr="006E709F">
        <w:t xml:space="preserve">  </w:t>
      </w:r>
      <w:r w:rsidR="003638DE" w:rsidRPr="006E709F">
        <w:t>Contents of section</w:t>
      </w:r>
      <w:r w:rsidR="00DA13DE" w:rsidRPr="006E709F">
        <w:t> </w:t>
      </w:r>
      <w:r w:rsidR="003638DE" w:rsidRPr="006E709F">
        <w:t>3 (Benefits of investing with [name of superannuation product])</w:t>
      </w:r>
      <w:bookmarkEnd w:id="151"/>
    </w:p>
    <w:p w:rsidR="003638DE" w:rsidRPr="006E709F" w:rsidRDefault="003638DE" w:rsidP="00A801D0">
      <w:pPr>
        <w:pStyle w:val="subsection"/>
      </w:pPr>
      <w:r w:rsidRPr="006E709F">
        <w:tab/>
        <w:t>(1)</w:t>
      </w:r>
      <w:r w:rsidRPr="006E709F">
        <w:tab/>
        <w:t>Section</w:t>
      </w:r>
      <w:r w:rsidR="00DA13DE" w:rsidRPr="006E709F">
        <w:t> </w:t>
      </w:r>
      <w:r w:rsidRPr="006E709F">
        <w:t>3 of the Product Disclosure Statement must describe the superannuation product covered by the Statement, including a summary of its significant features and the benefits it provides.</w:t>
      </w:r>
    </w:p>
    <w:p w:rsidR="003638DE" w:rsidRPr="006E709F" w:rsidRDefault="003638DE" w:rsidP="00A801D0">
      <w:pPr>
        <w:pStyle w:val="subsection"/>
      </w:pPr>
      <w:r w:rsidRPr="006E709F">
        <w:tab/>
        <w:t>(2)</w:t>
      </w:r>
      <w:r w:rsidRPr="006E709F">
        <w:tab/>
        <w:t>The superannuation trustee may provide additional information about significant benefits of superannuation or other significant features of the superannuation product by applying, adopting or incorporating a matter in writing.</w:t>
      </w:r>
    </w:p>
    <w:p w:rsidR="003638DE" w:rsidRPr="006E709F" w:rsidRDefault="00102067" w:rsidP="00A801D0">
      <w:pPr>
        <w:pStyle w:val="ActHead5"/>
      </w:pPr>
      <w:bookmarkStart w:id="152" w:name="_Toc160609839"/>
      <w:r w:rsidRPr="000C4237">
        <w:rPr>
          <w:rStyle w:val="CharSectno"/>
        </w:rPr>
        <w:t>6</w:t>
      </w:r>
      <w:r w:rsidRPr="006E709F">
        <w:t xml:space="preserve">  </w:t>
      </w:r>
      <w:r w:rsidR="003638DE" w:rsidRPr="006E709F">
        <w:t>Contents of section</w:t>
      </w:r>
      <w:r w:rsidR="00DA13DE" w:rsidRPr="006E709F">
        <w:t> </w:t>
      </w:r>
      <w:r w:rsidR="003638DE" w:rsidRPr="006E709F">
        <w:t>4 (Risks of super)</w:t>
      </w:r>
      <w:bookmarkEnd w:id="152"/>
    </w:p>
    <w:p w:rsidR="003638DE" w:rsidRPr="006E709F" w:rsidRDefault="003638DE" w:rsidP="00A801D0">
      <w:pPr>
        <w:pStyle w:val="subsection"/>
      </w:pPr>
      <w:r w:rsidRPr="006E709F">
        <w:tab/>
        <w:t>(1)</w:t>
      </w:r>
      <w:r w:rsidRPr="006E709F">
        <w:tab/>
        <w:t>Section</w:t>
      </w:r>
      <w:r w:rsidR="00DA13DE" w:rsidRPr="006E709F">
        <w:t> </w:t>
      </w:r>
      <w:r w:rsidRPr="006E709F">
        <w:t>4 of the Product Disclosure Statement must include statements to the following effect:</w:t>
      </w:r>
    </w:p>
    <w:p w:rsidR="003638DE" w:rsidRPr="006E709F" w:rsidRDefault="003638DE" w:rsidP="00A801D0">
      <w:pPr>
        <w:pStyle w:val="paragraph"/>
      </w:pPr>
      <w:r w:rsidRPr="006E709F">
        <w:tab/>
        <w:t>(a)</w:t>
      </w:r>
      <w:r w:rsidRPr="006E709F">
        <w:tab/>
        <w:t>all investments carry risk;</w:t>
      </w:r>
    </w:p>
    <w:p w:rsidR="003638DE" w:rsidRPr="006E709F" w:rsidRDefault="003638DE" w:rsidP="00A801D0">
      <w:pPr>
        <w:pStyle w:val="paragraph"/>
      </w:pPr>
      <w:r w:rsidRPr="006E709F">
        <w:tab/>
        <w:t>(b)</w:t>
      </w:r>
      <w:r w:rsidRPr="006E709F">
        <w:tab/>
        <w:t>different strategies may carry different levels of risk, depending on the assets that make up the strategy;</w:t>
      </w:r>
    </w:p>
    <w:p w:rsidR="003638DE" w:rsidRPr="006E709F" w:rsidRDefault="003638DE" w:rsidP="00A801D0">
      <w:pPr>
        <w:pStyle w:val="paragraph"/>
      </w:pPr>
      <w:r w:rsidRPr="006E709F">
        <w:tab/>
        <w:t>(c)</w:t>
      </w:r>
      <w:r w:rsidRPr="006E709F">
        <w:tab/>
        <w:t>assets with the highest long</w:t>
      </w:r>
      <w:r w:rsidR="000C4237">
        <w:noBreakHyphen/>
      </w:r>
      <w:r w:rsidRPr="006E709F">
        <w:t>term returns may also carry the highest level of short</w:t>
      </w:r>
      <w:r w:rsidR="000C4237">
        <w:noBreakHyphen/>
      </w:r>
      <w:r w:rsidRPr="006E709F">
        <w:t>term risk.</w:t>
      </w:r>
    </w:p>
    <w:p w:rsidR="003638DE" w:rsidRPr="006E709F" w:rsidRDefault="003638DE" w:rsidP="00A801D0">
      <w:pPr>
        <w:pStyle w:val="subsection"/>
      </w:pPr>
      <w:r w:rsidRPr="006E709F">
        <w:tab/>
        <w:t>(2)</w:t>
      </w:r>
      <w:r w:rsidRPr="006E709F">
        <w:tab/>
        <w:t>Section</w:t>
      </w:r>
      <w:r w:rsidR="00DA13DE" w:rsidRPr="006E709F">
        <w:t> </w:t>
      </w:r>
      <w:r w:rsidRPr="006E709F">
        <w:t>4 must describe, in the form of a summary, the significant risks of the particular superannuation product.</w:t>
      </w:r>
    </w:p>
    <w:p w:rsidR="003638DE" w:rsidRPr="006E709F" w:rsidRDefault="003638DE" w:rsidP="00A801D0">
      <w:pPr>
        <w:pStyle w:val="subsection"/>
      </w:pPr>
      <w:r w:rsidRPr="006E709F">
        <w:tab/>
        <w:t>(3)</w:t>
      </w:r>
      <w:r w:rsidRPr="006E709F">
        <w:tab/>
        <w:t>Section</w:t>
      </w:r>
      <w:r w:rsidR="00DA13DE" w:rsidRPr="006E709F">
        <w:t> </w:t>
      </w:r>
      <w:r w:rsidRPr="006E709F">
        <w:t xml:space="preserve">4 must describe the significant risks of superannuation (to the extent only that the description required by </w:t>
      </w:r>
      <w:r w:rsidR="00DA13DE" w:rsidRPr="006E709F">
        <w:t>subitem (</w:t>
      </w:r>
      <w:r w:rsidRPr="006E709F">
        <w:t>2) has not already described the risk) by including statements to the following effect:</w:t>
      </w:r>
    </w:p>
    <w:p w:rsidR="003638DE" w:rsidRPr="006E709F" w:rsidRDefault="003638DE" w:rsidP="00A801D0">
      <w:pPr>
        <w:pStyle w:val="paragraph"/>
      </w:pPr>
      <w:r w:rsidRPr="006E709F">
        <w:tab/>
        <w:t>(a)</w:t>
      </w:r>
      <w:r w:rsidRPr="006E709F">
        <w:tab/>
        <w:t>the value of investments will vary;</w:t>
      </w:r>
    </w:p>
    <w:p w:rsidR="003638DE" w:rsidRPr="006E709F" w:rsidRDefault="003638DE" w:rsidP="00A801D0">
      <w:pPr>
        <w:pStyle w:val="paragraph"/>
      </w:pPr>
      <w:r w:rsidRPr="006E709F">
        <w:tab/>
        <w:t>(b)</w:t>
      </w:r>
      <w:r w:rsidRPr="006E709F">
        <w:tab/>
        <w:t>the level of returns will vary, and future returns may differ from past returns;</w:t>
      </w:r>
    </w:p>
    <w:p w:rsidR="003638DE" w:rsidRPr="006E709F" w:rsidRDefault="003638DE" w:rsidP="00A801D0">
      <w:pPr>
        <w:pStyle w:val="paragraph"/>
      </w:pPr>
      <w:r w:rsidRPr="006E709F">
        <w:tab/>
        <w:t>(c)</w:t>
      </w:r>
      <w:r w:rsidRPr="006E709F">
        <w:tab/>
        <w:t>returns are not guaranteed, and persons may lose some of their money;</w:t>
      </w:r>
    </w:p>
    <w:p w:rsidR="003638DE" w:rsidRPr="006E709F" w:rsidRDefault="003638DE" w:rsidP="00A801D0">
      <w:pPr>
        <w:pStyle w:val="paragraph"/>
      </w:pPr>
      <w:r w:rsidRPr="006E709F">
        <w:tab/>
        <w:t>(d)</w:t>
      </w:r>
      <w:r w:rsidRPr="006E709F">
        <w:tab/>
        <w:t>superannuation laws may change in the future;</w:t>
      </w:r>
    </w:p>
    <w:p w:rsidR="003638DE" w:rsidRPr="006E709F" w:rsidRDefault="003638DE" w:rsidP="00A801D0">
      <w:pPr>
        <w:pStyle w:val="paragraph"/>
      </w:pPr>
      <w:r w:rsidRPr="006E709F">
        <w:tab/>
        <w:t>(e)</w:t>
      </w:r>
      <w:r w:rsidRPr="006E709F">
        <w:tab/>
        <w:t>the amount of a person’s future superannuation savings (including contributions and returns) may not be enough to provide adequately for the person’s retirement;</w:t>
      </w:r>
    </w:p>
    <w:p w:rsidR="003638DE" w:rsidRPr="006E709F" w:rsidRDefault="003638DE" w:rsidP="00A801D0">
      <w:pPr>
        <w:pStyle w:val="paragraph"/>
      </w:pPr>
      <w:r w:rsidRPr="006E709F">
        <w:tab/>
        <w:t>(f)</w:t>
      </w:r>
      <w:r w:rsidRPr="006E709F">
        <w:tab/>
        <w:t>the level of risk for each person will vary depending on a range of factors, including:</w:t>
      </w:r>
    </w:p>
    <w:p w:rsidR="003638DE" w:rsidRPr="006E709F" w:rsidRDefault="003638DE" w:rsidP="00A801D0">
      <w:pPr>
        <w:pStyle w:val="paragraphsub"/>
      </w:pPr>
      <w:r w:rsidRPr="006E709F">
        <w:tab/>
        <w:t>(i)</w:t>
      </w:r>
      <w:r w:rsidRPr="006E709F">
        <w:tab/>
        <w:t>age; and</w:t>
      </w:r>
    </w:p>
    <w:p w:rsidR="003638DE" w:rsidRPr="006E709F" w:rsidRDefault="003638DE" w:rsidP="00A801D0">
      <w:pPr>
        <w:pStyle w:val="paragraphsub"/>
      </w:pPr>
      <w:r w:rsidRPr="006E709F">
        <w:tab/>
        <w:t>(ii)</w:t>
      </w:r>
      <w:r w:rsidRPr="006E709F">
        <w:tab/>
        <w:t>investment time frames; and</w:t>
      </w:r>
    </w:p>
    <w:p w:rsidR="003638DE" w:rsidRPr="006E709F" w:rsidRDefault="003638DE" w:rsidP="00A801D0">
      <w:pPr>
        <w:pStyle w:val="paragraphsub"/>
      </w:pPr>
      <w:r w:rsidRPr="006E709F">
        <w:tab/>
        <w:t>(iii)</w:t>
      </w:r>
      <w:r w:rsidRPr="006E709F">
        <w:tab/>
        <w:t>where other parts of the person’s wealth are invested; and</w:t>
      </w:r>
    </w:p>
    <w:p w:rsidR="003638DE" w:rsidRPr="006E709F" w:rsidRDefault="003638DE" w:rsidP="00A801D0">
      <w:pPr>
        <w:pStyle w:val="paragraphsub"/>
      </w:pPr>
      <w:r w:rsidRPr="006E709F">
        <w:tab/>
        <w:t>(iv)</w:t>
      </w:r>
      <w:r w:rsidRPr="006E709F">
        <w:tab/>
        <w:t>the person’s risk tolerance.</w:t>
      </w:r>
    </w:p>
    <w:p w:rsidR="003638DE" w:rsidRPr="006E709F" w:rsidRDefault="003638DE" w:rsidP="00A801D0">
      <w:pPr>
        <w:pStyle w:val="subsection"/>
      </w:pPr>
      <w:r w:rsidRPr="006E709F">
        <w:tab/>
        <w:t>(4)</w:t>
      </w:r>
      <w:r w:rsidRPr="006E709F">
        <w:tab/>
        <w:t>The superannuation trustee may provide additional information about significant risks of superannuation by applying, adopting or incorporating a matter in writing.</w:t>
      </w:r>
    </w:p>
    <w:p w:rsidR="003638DE" w:rsidRPr="006E709F" w:rsidRDefault="00102067" w:rsidP="00A801D0">
      <w:pPr>
        <w:pStyle w:val="ActHead5"/>
      </w:pPr>
      <w:bookmarkStart w:id="153" w:name="_Toc160609840"/>
      <w:r w:rsidRPr="000C4237">
        <w:rPr>
          <w:rStyle w:val="CharSectno"/>
        </w:rPr>
        <w:t>7</w:t>
      </w:r>
      <w:r w:rsidRPr="006E709F">
        <w:t xml:space="preserve">  </w:t>
      </w:r>
      <w:r w:rsidR="003638DE" w:rsidRPr="006E709F">
        <w:t>Contents of section</w:t>
      </w:r>
      <w:r w:rsidR="00DA13DE" w:rsidRPr="006E709F">
        <w:t> </w:t>
      </w:r>
      <w:r w:rsidR="003638DE" w:rsidRPr="006E709F">
        <w:t>5 (How we invest your money)</w:t>
      </w:r>
      <w:bookmarkEnd w:id="153"/>
    </w:p>
    <w:p w:rsidR="003638DE" w:rsidRPr="006E709F" w:rsidRDefault="003638DE" w:rsidP="00A801D0">
      <w:pPr>
        <w:pStyle w:val="subsection"/>
      </w:pPr>
      <w:r w:rsidRPr="006E709F">
        <w:tab/>
        <w:t>(1)</w:t>
      </w:r>
      <w:r w:rsidRPr="006E709F">
        <w:tab/>
        <w:t>Section</w:t>
      </w:r>
      <w:r w:rsidR="00DA13DE" w:rsidRPr="006E709F">
        <w:t> </w:t>
      </w:r>
      <w:r w:rsidRPr="006E709F">
        <w:t>5 of the Product Disclosure Statement must describe, in the form of a summary:</w:t>
      </w:r>
    </w:p>
    <w:p w:rsidR="00C01C82" w:rsidRPr="006E709F" w:rsidRDefault="00C01C82" w:rsidP="00C01C82">
      <w:pPr>
        <w:pStyle w:val="paragraph"/>
      </w:pPr>
      <w:r w:rsidRPr="006E709F">
        <w:tab/>
        <w:t>(a)</w:t>
      </w:r>
      <w:r w:rsidRPr="006E709F">
        <w:tab/>
        <w:t>the MySuper products and investment options being offered; and</w:t>
      </w:r>
    </w:p>
    <w:p w:rsidR="003638DE" w:rsidRPr="006E709F" w:rsidRDefault="003638DE" w:rsidP="00A801D0">
      <w:pPr>
        <w:pStyle w:val="paragraph"/>
      </w:pPr>
      <w:r w:rsidRPr="006E709F">
        <w:tab/>
        <w:t>(b)</w:t>
      </w:r>
      <w:r w:rsidRPr="006E709F">
        <w:tab/>
        <w:t>what happens if the person does not make a choice of where to invest.</w:t>
      </w:r>
    </w:p>
    <w:p w:rsidR="003638DE" w:rsidRPr="006E709F" w:rsidRDefault="003638DE" w:rsidP="00A801D0">
      <w:pPr>
        <w:pStyle w:val="subsection"/>
      </w:pPr>
      <w:r w:rsidRPr="006E709F">
        <w:tab/>
        <w:t>(2)</w:t>
      </w:r>
      <w:r w:rsidRPr="006E709F">
        <w:tab/>
        <w:t>Section</w:t>
      </w:r>
      <w:r w:rsidR="00DA13DE" w:rsidRPr="006E709F">
        <w:t> </w:t>
      </w:r>
      <w:r w:rsidRPr="006E709F">
        <w:t>5 must state, in the form of a warning, that the person must consider:</w:t>
      </w:r>
    </w:p>
    <w:p w:rsidR="003638DE" w:rsidRPr="006E709F" w:rsidRDefault="003638DE" w:rsidP="00A801D0">
      <w:pPr>
        <w:pStyle w:val="paragraph"/>
      </w:pPr>
      <w:r w:rsidRPr="006E709F">
        <w:tab/>
        <w:t>(a)</w:t>
      </w:r>
      <w:r w:rsidRPr="006E709F">
        <w:tab/>
        <w:t>the likely investment return; and</w:t>
      </w:r>
    </w:p>
    <w:p w:rsidR="003638DE" w:rsidRPr="006E709F" w:rsidRDefault="003638DE" w:rsidP="00A801D0">
      <w:pPr>
        <w:pStyle w:val="paragraph"/>
      </w:pPr>
      <w:r w:rsidRPr="006E709F">
        <w:tab/>
        <w:t>(b)</w:t>
      </w:r>
      <w:r w:rsidRPr="006E709F">
        <w:tab/>
        <w:t>the risk; and</w:t>
      </w:r>
    </w:p>
    <w:p w:rsidR="003638DE" w:rsidRPr="006E709F" w:rsidRDefault="003638DE" w:rsidP="00A801D0">
      <w:pPr>
        <w:pStyle w:val="paragraph"/>
      </w:pPr>
      <w:r w:rsidRPr="006E709F">
        <w:tab/>
        <w:t>(c)</w:t>
      </w:r>
      <w:r w:rsidRPr="006E709F">
        <w:tab/>
        <w:t>the person’s investment timeframe;</w:t>
      </w:r>
    </w:p>
    <w:p w:rsidR="003638DE" w:rsidRPr="006E709F" w:rsidRDefault="003638DE" w:rsidP="00A801D0">
      <w:pPr>
        <w:pStyle w:val="subsection2"/>
      </w:pPr>
      <w:r w:rsidRPr="006E709F">
        <w:t xml:space="preserve">when choosing </w:t>
      </w:r>
      <w:r w:rsidR="00C01C82" w:rsidRPr="006E709F">
        <w:t>a MySuper product or an investment option</w:t>
      </w:r>
      <w:r w:rsidRPr="006E709F">
        <w:t xml:space="preserve"> in which to invest.</w:t>
      </w:r>
    </w:p>
    <w:p w:rsidR="003638DE" w:rsidRPr="006E709F" w:rsidRDefault="003638DE" w:rsidP="00A801D0">
      <w:pPr>
        <w:pStyle w:val="subsection"/>
      </w:pPr>
      <w:r w:rsidRPr="006E709F">
        <w:tab/>
        <w:t>(3)</w:t>
      </w:r>
      <w:r w:rsidRPr="006E709F">
        <w:tab/>
      </w:r>
      <w:r w:rsidR="00C01C82" w:rsidRPr="006E709F">
        <w:t>For at least one MySuper product or investment option,</w:t>
      </w:r>
      <w:r w:rsidRPr="006E709F">
        <w:t xml:space="preserve"> section</w:t>
      </w:r>
      <w:r w:rsidR="00DA13DE" w:rsidRPr="006E709F">
        <w:t> </w:t>
      </w:r>
      <w:r w:rsidRPr="006E709F">
        <w:t>5 must:</w:t>
      </w:r>
    </w:p>
    <w:p w:rsidR="003638DE" w:rsidRPr="006E709F" w:rsidRDefault="003638DE" w:rsidP="00A801D0">
      <w:pPr>
        <w:pStyle w:val="paragraph"/>
      </w:pPr>
      <w:r w:rsidRPr="006E709F">
        <w:tab/>
        <w:t>(a)</w:t>
      </w:r>
      <w:r w:rsidRPr="006E709F">
        <w:tab/>
        <w:t xml:space="preserve">state the name of </w:t>
      </w:r>
      <w:r w:rsidR="00C01C82" w:rsidRPr="006E709F">
        <w:t>the MySuper product or investment option</w:t>
      </w:r>
      <w:r w:rsidRPr="006E709F">
        <w:t xml:space="preserve"> and give a short description of it, including the type of investors for whom it is intended to be suitable; and</w:t>
      </w:r>
    </w:p>
    <w:p w:rsidR="003638DE" w:rsidRPr="006E709F" w:rsidRDefault="003638DE" w:rsidP="00A801D0">
      <w:pPr>
        <w:pStyle w:val="paragraph"/>
      </w:pPr>
      <w:r w:rsidRPr="006E709F">
        <w:tab/>
        <w:t>(b)</w:t>
      </w:r>
      <w:r w:rsidRPr="006E709F">
        <w:tab/>
        <w:t xml:space="preserve">list the asset classes in which </w:t>
      </w:r>
      <w:r w:rsidR="00C01C82" w:rsidRPr="006E709F">
        <w:t>the MySuper product or investment option</w:t>
      </w:r>
      <w:r w:rsidRPr="006E709F">
        <w:t xml:space="preserve"> invests, and set out, in the form of a range or otherwise, the strategic asset allocation of the asset classes; and</w:t>
      </w:r>
    </w:p>
    <w:p w:rsidR="003638DE" w:rsidRPr="006E709F" w:rsidRDefault="003638DE" w:rsidP="00A801D0">
      <w:pPr>
        <w:pStyle w:val="paragraph"/>
      </w:pPr>
      <w:r w:rsidRPr="006E709F">
        <w:tab/>
        <w:t>(c)</w:t>
      </w:r>
      <w:r w:rsidRPr="006E709F">
        <w:tab/>
        <w:t xml:space="preserve">describe the investment return objective of </w:t>
      </w:r>
      <w:r w:rsidR="00C01C82" w:rsidRPr="006E709F">
        <w:t>the MySuper product or investment option</w:t>
      </w:r>
      <w:r w:rsidRPr="006E709F">
        <w:t>; and</w:t>
      </w:r>
    </w:p>
    <w:p w:rsidR="003638DE" w:rsidRPr="006E709F" w:rsidRDefault="003638DE" w:rsidP="00A801D0">
      <w:pPr>
        <w:pStyle w:val="paragraph"/>
      </w:pPr>
      <w:r w:rsidRPr="006E709F">
        <w:tab/>
        <w:t>(d)</w:t>
      </w:r>
      <w:r w:rsidRPr="006E709F">
        <w:tab/>
        <w:t xml:space="preserve">state the minimum suggested time frame for holding </w:t>
      </w:r>
      <w:r w:rsidR="00C01C82" w:rsidRPr="006E709F">
        <w:t>the MySuper product or investment option</w:t>
      </w:r>
      <w:r w:rsidRPr="006E709F">
        <w:t>; and</w:t>
      </w:r>
    </w:p>
    <w:p w:rsidR="003638DE" w:rsidRPr="006E709F" w:rsidRDefault="003638DE" w:rsidP="00A801D0">
      <w:pPr>
        <w:pStyle w:val="paragraph"/>
      </w:pPr>
      <w:r w:rsidRPr="006E709F">
        <w:tab/>
        <w:t>(e)</w:t>
      </w:r>
      <w:r w:rsidRPr="006E709F">
        <w:tab/>
        <w:t xml:space="preserve">describe, in the form of a summary, the risk level of </w:t>
      </w:r>
      <w:r w:rsidR="00C01C82" w:rsidRPr="006E709F">
        <w:t>the MySuper product or investment option</w:t>
      </w:r>
      <w:r w:rsidRPr="006E709F">
        <w:t>.</w:t>
      </w:r>
    </w:p>
    <w:p w:rsidR="00C01C82" w:rsidRPr="006E709F" w:rsidRDefault="00C01C82" w:rsidP="00C01C82">
      <w:pPr>
        <w:pStyle w:val="subsection"/>
      </w:pPr>
      <w:r w:rsidRPr="006E709F">
        <w:tab/>
        <w:t>(4)</w:t>
      </w:r>
      <w:r w:rsidRPr="006E709F">
        <w:tab/>
        <w:t>If the superannuation product includes a generic MySuper product, section</w:t>
      </w:r>
      <w:r w:rsidR="00DA13DE" w:rsidRPr="006E709F">
        <w:t> </w:t>
      </w:r>
      <w:r w:rsidRPr="006E709F">
        <w:t xml:space="preserve">5 must give the information mentioned in </w:t>
      </w:r>
      <w:r w:rsidR="00DA13DE" w:rsidRPr="006E709F">
        <w:t>subclause (</w:t>
      </w:r>
      <w:r w:rsidRPr="006E709F">
        <w:t>3) for the generic MySuper product, whether or not section</w:t>
      </w:r>
      <w:r w:rsidR="00DA13DE" w:rsidRPr="006E709F">
        <w:t> </w:t>
      </w:r>
      <w:r w:rsidRPr="006E709F">
        <w:t>5 gives that information for another MySuper product or investment option.</w:t>
      </w:r>
    </w:p>
    <w:p w:rsidR="00C01C82" w:rsidRPr="006E709F" w:rsidRDefault="00C01C82" w:rsidP="00C01C82">
      <w:pPr>
        <w:pStyle w:val="subsection"/>
      </w:pPr>
      <w:r w:rsidRPr="006E709F">
        <w:tab/>
        <w:t>(5)</w:t>
      </w:r>
      <w:r w:rsidRPr="006E709F">
        <w:tab/>
        <w:t>If the superannuation product does not include a generic MySuper product, and has a balanced investment option (within the meaning given by clause</w:t>
      </w:r>
      <w:r w:rsidR="00DA13DE" w:rsidRPr="006E709F">
        <w:t> </w:t>
      </w:r>
      <w:r w:rsidRPr="006E709F">
        <w:t>101 of Schedule</w:t>
      </w:r>
      <w:r w:rsidR="00DA13DE" w:rsidRPr="006E709F">
        <w:t> </w:t>
      </w:r>
      <w:r w:rsidRPr="006E709F">
        <w:t>10), section</w:t>
      </w:r>
      <w:r w:rsidR="00DA13DE" w:rsidRPr="006E709F">
        <w:t> </w:t>
      </w:r>
      <w:r w:rsidRPr="006E709F">
        <w:t xml:space="preserve">5 must give the information mentioned in </w:t>
      </w:r>
      <w:r w:rsidR="00DA13DE" w:rsidRPr="006E709F">
        <w:t>subclause (</w:t>
      </w:r>
      <w:r w:rsidRPr="006E709F">
        <w:t>3) for the balanced investment option under which most assets of the superannuation entity are invested, whether or not section</w:t>
      </w:r>
      <w:r w:rsidR="00DA13DE" w:rsidRPr="006E709F">
        <w:t> </w:t>
      </w:r>
      <w:r w:rsidRPr="006E709F">
        <w:t>5 gives that information for any MySuper product or other investment option.</w:t>
      </w:r>
    </w:p>
    <w:p w:rsidR="00C01C82" w:rsidRPr="006E709F" w:rsidRDefault="00C01C82" w:rsidP="00C01C82">
      <w:pPr>
        <w:pStyle w:val="subsection"/>
      </w:pPr>
      <w:r w:rsidRPr="006E709F">
        <w:tab/>
        <w:t>(6)</w:t>
      </w:r>
      <w:r w:rsidRPr="006E709F">
        <w:tab/>
        <w:t>If the superannuation product does not include a generic MySuper product or a balanced investment option (within the meaning given by clause</w:t>
      </w:r>
      <w:r w:rsidR="00DA13DE" w:rsidRPr="006E709F">
        <w:t> </w:t>
      </w:r>
      <w:r w:rsidRPr="006E709F">
        <w:t>101 of Schedule</w:t>
      </w:r>
      <w:r w:rsidR="00DA13DE" w:rsidRPr="006E709F">
        <w:t> </w:t>
      </w:r>
      <w:r w:rsidRPr="006E709F">
        <w:t>10), section</w:t>
      </w:r>
      <w:r w:rsidR="00DA13DE" w:rsidRPr="006E709F">
        <w:t> </w:t>
      </w:r>
      <w:r w:rsidRPr="006E709F">
        <w:t xml:space="preserve">5 must give the information mentioned in </w:t>
      </w:r>
      <w:r w:rsidR="00DA13DE" w:rsidRPr="006E709F">
        <w:t>subclause (</w:t>
      </w:r>
      <w:r w:rsidRPr="006E709F">
        <w:t>3) for the investment option under which most assets of the superannuation entity are invested, whether or not section</w:t>
      </w:r>
      <w:r w:rsidR="00DA13DE" w:rsidRPr="006E709F">
        <w:t> </w:t>
      </w:r>
      <w:r w:rsidRPr="006E709F">
        <w:t>5 gives that information for any MySuper product or other investment option.</w:t>
      </w:r>
    </w:p>
    <w:p w:rsidR="003638DE" w:rsidRPr="006E709F" w:rsidRDefault="003638DE" w:rsidP="00A801D0">
      <w:pPr>
        <w:pStyle w:val="subsection"/>
      </w:pPr>
      <w:r w:rsidRPr="006E709F">
        <w:tab/>
        <w:t>(8)</w:t>
      </w:r>
      <w:r w:rsidRPr="006E709F">
        <w:tab/>
        <w:t>Section</w:t>
      </w:r>
      <w:r w:rsidR="00DA13DE" w:rsidRPr="006E709F">
        <w:t> </w:t>
      </w:r>
      <w:r w:rsidRPr="006E709F">
        <w:t>5:</w:t>
      </w:r>
    </w:p>
    <w:p w:rsidR="006937D5" w:rsidRPr="006E709F" w:rsidRDefault="006937D5" w:rsidP="006937D5">
      <w:pPr>
        <w:pStyle w:val="paragraph"/>
      </w:pPr>
      <w:r w:rsidRPr="006E709F">
        <w:tab/>
        <w:t>(a)</w:t>
      </w:r>
      <w:r w:rsidRPr="006E709F">
        <w:tab/>
        <w:t>must make provision for each MySuper product and investment option which is not presented in section</w:t>
      </w:r>
      <w:r w:rsidR="00DA13DE" w:rsidRPr="006E709F">
        <w:t> </w:t>
      </w:r>
      <w:r w:rsidRPr="006E709F">
        <w:t xml:space="preserve">5 in accordance with </w:t>
      </w:r>
      <w:r w:rsidR="00DA13DE" w:rsidRPr="006E709F">
        <w:t>subclause (</w:t>
      </w:r>
      <w:r w:rsidRPr="006E709F">
        <w:t>3), (4), (5) or (6); and</w:t>
      </w:r>
    </w:p>
    <w:p w:rsidR="003638DE" w:rsidRPr="006E709F" w:rsidRDefault="003638DE" w:rsidP="00A801D0">
      <w:pPr>
        <w:pStyle w:val="paragraph"/>
      </w:pPr>
      <w:r w:rsidRPr="006E709F">
        <w:tab/>
        <w:t>(b)</w:t>
      </w:r>
      <w:r w:rsidRPr="006E709F">
        <w:tab/>
        <w:t xml:space="preserve">may make provision for </w:t>
      </w:r>
      <w:r w:rsidR="006937D5" w:rsidRPr="006E709F">
        <w:t>the MySuper product or investment option</w:t>
      </w:r>
      <w:r w:rsidRPr="006E709F">
        <w:t xml:space="preserve"> by applying, adopting or incorporating matter in a document that:</w:t>
      </w:r>
    </w:p>
    <w:p w:rsidR="003638DE" w:rsidRPr="006E709F" w:rsidRDefault="003638DE" w:rsidP="00A801D0">
      <w:pPr>
        <w:pStyle w:val="paragraphsub"/>
      </w:pPr>
      <w:r w:rsidRPr="006E709F">
        <w:tab/>
        <w:t>(i)</w:t>
      </w:r>
      <w:r w:rsidRPr="006E709F">
        <w:tab/>
        <w:t xml:space="preserve">includes the information mentioned in </w:t>
      </w:r>
      <w:r w:rsidR="00DA13DE" w:rsidRPr="006E709F">
        <w:t>subclause (</w:t>
      </w:r>
      <w:r w:rsidRPr="006E709F">
        <w:t>3); and</w:t>
      </w:r>
    </w:p>
    <w:p w:rsidR="003638DE" w:rsidRPr="006E709F" w:rsidRDefault="003638DE" w:rsidP="00A801D0">
      <w:pPr>
        <w:pStyle w:val="paragraphsub"/>
      </w:pPr>
      <w:r w:rsidRPr="006E709F">
        <w:tab/>
        <w:t>(ii)</w:t>
      </w:r>
      <w:r w:rsidRPr="006E709F">
        <w:tab/>
        <w:t>presents it in the way mentioned in the subclause.</w:t>
      </w:r>
    </w:p>
    <w:p w:rsidR="003638DE" w:rsidRPr="006E709F" w:rsidRDefault="003638DE" w:rsidP="00A801D0">
      <w:pPr>
        <w:pStyle w:val="subsection"/>
      </w:pPr>
      <w:r w:rsidRPr="006E709F">
        <w:tab/>
        <w:t>(9)</w:t>
      </w:r>
      <w:r w:rsidRPr="006E709F">
        <w:tab/>
        <w:t>The superannuation trustee:</w:t>
      </w:r>
    </w:p>
    <w:p w:rsidR="003638DE" w:rsidRPr="006E709F" w:rsidRDefault="003638DE" w:rsidP="00A801D0">
      <w:pPr>
        <w:pStyle w:val="paragraph"/>
      </w:pPr>
      <w:r w:rsidRPr="006E709F">
        <w:tab/>
        <w:t>(a)</w:t>
      </w:r>
      <w:r w:rsidRPr="006E709F">
        <w:tab/>
        <w:t>must provide information about how a person may switch the person’s investments; and</w:t>
      </w:r>
    </w:p>
    <w:p w:rsidR="006937D5" w:rsidRPr="006E709F" w:rsidRDefault="006937D5" w:rsidP="006937D5">
      <w:pPr>
        <w:pStyle w:val="paragraph"/>
      </w:pPr>
      <w:r w:rsidRPr="006E709F">
        <w:tab/>
        <w:t>(b)</w:t>
      </w:r>
      <w:r w:rsidRPr="006E709F">
        <w:tab/>
        <w:t>whether the superannuation product’s MySuper products and investment options may be changed and, if so, how; and</w:t>
      </w:r>
    </w:p>
    <w:p w:rsidR="003638DE" w:rsidRPr="006E709F" w:rsidRDefault="003638DE" w:rsidP="00A801D0">
      <w:pPr>
        <w:pStyle w:val="paragraph"/>
      </w:pPr>
      <w:r w:rsidRPr="006E709F">
        <w:tab/>
        <w:t>(c)</w:t>
      </w:r>
      <w:r w:rsidRPr="006E709F">
        <w:tab/>
        <w:t>must describe, in the form of a summary, the extent to which labour standards or environmental, social or ethical considerations are taken into account in the selection, retention or realisation of investments relating to the superannuation product; and</w:t>
      </w:r>
    </w:p>
    <w:p w:rsidR="003638DE" w:rsidRPr="006E709F" w:rsidRDefault="003638DE" w:rsidP="00A801D0">
      <w:pPr>
        <w:pStyle w:val="paragraph"/>
      </w:pPr>
      <w:r w:rsidRPr="006E709F">
        <w:tab/>
        <w:t>(d)</w:t>
      </w:r>
      <w:r w:rsidRPr="006E709F">
        <w:tab/>
        <w:t xml:space="preserve">may provide the information in </w:t>
      </w:r>
      <w:r w:rsidR="00DA13DE" w:rsidRPr="006E709F">
        <w:t>paragraphs (</w:t>
      </w:r>
      <w:r w:rsidRPr="006E709F">
        <w:t xml:space="preserve">a) to (c), and any additional information about </w:t>
      </w:r>
      <w:r w:rsidR="006937D5" w:rsidRPr="006E709F">
        <w:t>MySuper products or investment options</w:t>
      </w:r>
      <w:r w:rsidRPr="006E709F">
        <w:t>, by applying, adopting or incorporating a matter in writing.</w:t>
      </w:r>
    </w:p>
    <w:p w:rsidR="003638DE" w:rsidRPr="006E709F" w:rsidRDefault="00102067" w:rsidP="00A801D0">
      <w:pPr>
        <w:pStyle w:val="ActHead5"/>
      </w:pPr>
      <w:bookmarkStart w:id="154" w:name="_Toc160609841"/>
      <w:r w:rsidRPr="000C4237">
        <w:rPr>
          <w:rStyle w:val="CharSectno"/>
        </w:rPr>
        <w:t>8</w:t>
      </w:r>
      <w:r w:rsidRPr="006E709F">
        <w:t xml:space="preserve">  </w:t>
      </w:r>
      <w:r w:rsidR="003638DE" w:rsidRPr="006E709F">
        <w:t>Contents of section</w:t>
      </w:r>
      <w:r w:rsidR="00DA13DE" w:rsidRPr="006E709F">
        <w:t> </w:t>
      </w:r>
      <w:r w:rsidR="003638DE" w:rsidRPr="006E709F">
        <w:t>6 (Fees and costs)</w:t>
      </w:r>
      <w:bookmarkEnd w:id="154"/>
    </w:p>
    <w:p w:rsidR="006937D5" w:rsidRPr="006E709F" w:rsidRDefault="006937D5" w:rsidP="006937D5">
      <w:pPr>
        <w:pStyle w:val="subsection"/>
      </w:pPr>
      <w:r w:rsidRPr="006E709F">
        <w:tab/>
        <w:t>(1)</w:t>
      </w:r>
      <w:r w:rsidRPr="006E709F">
        <w:tab/>
        <w:t>For each MySuper product or investment option within a superannuation product that is presented in section</w:t>
      </w:r>
      <w:r w:rsidR="00DA13DE" w:rsidRPr="006E709F">
        <w:t> </w:t>
      </w:r>
      <w:r w:rsidRPr="006E709F">
        <w:t>5 in detail in accordance with subclause</w:t>
      </w:r>
      <w:r w:rsidR="00DA13DE" w:rsidRPr="006E709F">
        <w:t> </w:t>
      </w:r>
      <w:r w:rsidRPr="006E709F">
        <w:t>7(3), section</w:t>
      </w:r>
      <w:r w:rsidR="00DA13DE" w:rsidRPr="006E709F">
        <w:t> </w:t>
      </w:r>
      <w:r w:rsidRPr="006E709F">
        <w:t>6 of the Product Disclosure Statement must state:</w:t>
      </w:r>
    </w:p>
    <w:p w:rsidR="006937D5" w:rsidRPr="006E709F" w:rsidRDefault="006937D5" w:rsidP="006937D5">
      <w:pPr>
        <w:pStyle w:val="paragraph"/>
      </w:pPr>
      <w:r w:rsidRPr="006E709F">
        <w:tab/>
        <w:t>(a)</w:t>
      </w:r>
      <w:r w:rsidRPr="006E709F">
        <w:tab/>
        <w:t>the cost of acquiring the MySuper product or investment option; and</w:t>
      </w:r>
    </w:p>
    <w:p w:rsidR="006937D5" w:rsidRPr="006E709F" w:rsidRDefault="006937D5" w:rsidP="006937D5">
      <w:pPr>
        <w:pStyle w:val="paragraph"/>
      </w:pPr>
      <w:r w:rsidRPr="006E709F">
        <w:tab/>
        <w:t>(b)</w:t>
      </w:r>
      <w:r w:rsidRPr="006E709F">
        <w:tab/>
        <w:t>the fees and costs that are charged in relation to the MySuper product or investment option.</w:t>
      </w:r>
    </w:p>
    <w:p w:rsidR="006937D5" w:rsidRPr="006E709F" w:rsidRDefault="006937D5" w:rsidP="006937D5">
      <w:pPr>
        <w:pStyle w:val="notetext"/>
      </w:pPr>
      <w:r w:rsidRPr="006E709F">
        <w:t>Note:</w:t>
      </w:r>
      <w:r w:rsidRPr="006E709F">
        <w:tab/>
        <w:t xml:space="preserve">The statement will be made using the template set out in </w:t>
      </w:r>
      <w:r w:rsidR="00DA13DE" w:rsidRPr="006E709F">
        <w:t>subclause (</w:t>
      </w:r>
      <w:r w:rsidRPr="006E709F">
        <w:t>3).</w:t>
      </w:r>
    </w:p>
    <w:p w:rsidR="003638DE" w:rsidRPr="006E709F" w:rsidRDefault="003638DE" w:rsidP="00A801D0">
      <w:pPr>
        <w:pStyle w:val="subsection"/>
      </w:pPr>
      <w:r w:rsidRPr="006E709F">
        <w:tab/>
        <w:t>(2)</w:t>
      </w:r>
      <w:r w:rsidRPr="006E709F">
        <w:tab/>
        <w:t>Before setting out any other substantive material, section</w:t>
      </w:r>
      <w:r w:rsidR="00DA13DE" w:rsidRPr="006E709F">
        <w:t> </w:t>
      </w:r>
      <w:r w:rsidRPr="006E709F">
        <w:t>6 must:</w:t>
      </w:r>
    </w:p>
    <w:p w:rsidR="003638DE" w:rsidRPr="006E709F" w:rsidRDefault="003638DE" w:rsidP="00A801D0">
      <w:pPr>
        <w:pStyle w:val="paragraph"/>
      </w:pPr>
      <w:r w:rsidRPr="006E709F">
        <w:tab/>
        <w:t>(a)</w:t>
      </w:r>
      <w:r w:rsidRPr="006E709F">
        <w:tab/>
        <w:t>set out the Consumer Advisory Warning in clause</w:t>
      </w:r>
      <w:r w:rsidR="00DA13DE" w:rsidRPr="006E709F">
        <w:t> </w:t>
      </w:r>
      <w:r w:rsidRPr="006E709F">
        <w:t xml:space="preserve">221 of </w:t>
      </w:r>
      <w:r w:rsidR="00A801D0" w:rsidRPr="006E709F">
        <w:t>Schedule</w:t>
      </w:r>
      <w:r w:rsidR="00DA13DE" w:rsidRPr="006E709F">
        <w:t> </w:t>
      </w:r>
      <w:r w:rsidRPr="006E709F">
        <w:t>10</w:t>
      </w:r>
      <w:r w:rsidRPr="006E709F">
        <w:rPr>
          <w:szCs w:val="22"/>
        </w:rPr>
        <w:t>; and</w:t>
      </w:r>
    </w:p>
    <w:p w:rsidR="003638DE" w:rsidRPr="006E709F" w:rsidRDefault="003638DE" w:rsidP="00A801D0">
      <w:pPr>
        <w:pStyle w:val="paragraph"/>
      </w:pPr>
      <w:r w:rsidRPr="006E709F">
        <w:tab/>
        <w:t>(b)</w:t>
      </w:r>
      <w:r w:rsidRPr="006E709F">
        <w:tab/>
        <w:t>give a concise example in the form set out in the Consumer Advisory Warning in clause</w:t>
      </w:r>
      <w:r w:rsidR="00DA13DE" w:rsidRPr="006E709F">
        <w:t> </w:t>
      </w:r>
      <w:r w:rsidRPr="006E709F">
        <w:t>221 of Schedule</w:t>
      </w:r>
      <w:r w:rsidR="00DA13DE" w:rsidRPr="006E709F">
        <w:t> </w:t>
      </w:r>
      <w:r w:rsidRPr="006E709F">
        <w:t>10.</w:t>
      </w:r>
    </w:p>
    <w:p w:rsidR="006937D5" w:rsidRPr="006E709F" w:rsidRDefault="006937D5" w:rsidP="006937D5">
      <w:pPr>
        <w:pStyle w:val="subsection"/>
      </w:pPr>
      <w:r w:rsidRPr="006E709F">
        <w:tab/>
        <w:t>(3)</w:t>
      </w:r>
      <w:r w:rsidRPr="006E709F">
        <w:tab/>
        <w:t>Section</w:t>
      </w:r>
      <w:r w:rsidR="00DA13DE" w:rsidRPr="006E709F">
        <w:t> </w:t>
      </w:r>
      <w:r w:rsidRPr="006E709F">
        <w:t>6 must set out the fees and costs for each MySuper product or other investment option that is presented in section</w:t>
      </w:r>
      <w:r w:rsidR="00DA13DE" w:rsidRPr="006E709F">
        <w:t> </w:t>
      </w:r>
      <w:r w:rsidRPr="006E709F">
        <w:t>5 in detail in accordance with subclause</w:t>
      </w:r>
      <w:r w:rsidR="00DA13DE" w:rsidRPr="006E709F">
        <w:t> </w:t>
      </w:r>
      <w:r w:rsidRPr="006E709F">
        <w:t>7(3), using the following templates:</w:t>
      </w:r>
    </w:p>
    <w:p w:rsidR="006937D5" w:rsidRPr="006E709F" w:rsidRDefault="006937D5" w:rsidP="006937D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843"/>
        <w:gridCol w:w="2844"/>
        <w:gridCol w:w="2842"/>
      </w:tblGrid>
      <w:tr w:rsidR="006937D5" w:rsidRPr="006E709F" w:rsidTr="00E118FA">
        <w:trPr>
          <w:tblHeader/>
        </w:trPr>
        <w:tc>
          <w:tcPr>
            <w:tcW w:w="5000" w:type="pct"/>
            <w:gridSpan w:val="3"/>
            <w:tcBorders>
              <w:top w:val="single" w:sz="12" w:space="0" w:color="auto"/>
              <w:bottom w:val="single" w:sz="6" w:space="0" w:color="auto"/>
            </w:tcBorders>
            <w:shd w:val="clear" w:color="auto" w:fill="auto"/>
          </w:tcPr>
          <w:p w:rsidR="006937D5" w:rsidRPr="006E709F" w:rsidRDefault="006937D5" w:rsidP="005133DE">
            <w:pPr>
              <w:pStyle w:val="TableHeading"/>
              <w:rPr>
                <w:i/>
              </w:rPr>
            </w:pPr>
            <w:r w:rsidRPr="006E709F">
              <w:rPr>
                <w:i/>
              </w:rPr>
              <w:t>[Name of superannuation product]</w:t>
            </w:r>
          </w:p>
        </w:tc>
      </w:tr>
      <w:tr w:rsidR="006937D5" w:rsidRPr="006E709F" w:rsidTr="00E118FA">
        <w:trPr>
          <w:tblHeader/>
        </w:trPr>
        <w:tc>
          <w:tcPr>
            <w:tcW w:w="1667" w:type="pct"/>
            <w:tcBorders>
              <w:top w:val="single" w:sz="6" w:space="0" w:color="auto"/>
              <w:bottom w:val="single" w:sz="12" w:space="0" w:color="auto"/>
            </w:tcBorders>
            <w:shd w:val="clear" w:color="auto" w:fill="auto"/>
          </w:tcPr>
          <w:p w:rsidR="006937D5" w:rsidRPr="006E709F" w:rsidRDefault="006937D5" w:rsidP="005133DE">
            <w:pPr>
              <w:pStyle w:val="TableHeading"/>
            </w:pPr>
            <w:r w:rsidRPr="006E709F">
              <w:t>Type of fee</w:t>
            </w:r>
          </w:p>
        </w:tc>
        <w:tc>
          <w:tcPr>
            <w:tcW w:w="1667" w:type="pct"/>
            <w:tcBorders>
              <w:top w:val="single" w:sz="6" w:space="0" w:color="auto"/>
              <w:bottom w:val="single" w:sz="12" w:space="0" w:color="auto"/>
            </w:tcBorders>
            <w:shd w:val="clear" w:color="auto" w:fill="auto"/>
          </w:tcPr>
          <w:p w:rsidR="006937D5" w:rsidRPr="006E709F" w:rsidRDefault="006937D5" w:rsidP="005133DE">
            <w:pPr>
              <w:pStyle w:val="TableHeading"/>
            </w:pPr>
            <w:r w:rsidRPr="006E709F">
              <w:t>Amount</w:t>
            </w:r>
          </w:p>
        </w:tc>
        <w:tc>
          <w:tcPr>
            <w:tcW w:w="1666" w:type="pct"/>
            <w:tcBorders>
              <w:top w:val="single" w:sz="6" w:space="0" w:color="auto"/>
              <w:bottom w:val="single" w:sz="12" w:space="0" w:color="auto"/>
            </w:tcBorders>
            <w:shd w:val="clear" w:color="auto" w:fill="auto"/>
          </w:tcPr>
          <w:p w:rsidR="006937D5" w:rsidRPr="006E709F" w:rsidRDefault="006937D5" w:rsidP="005133DE">
            <w:pPr>
              <w:pStyle w:val="TableHeading"/>
            </w:pPr>
            <w:r w:rsidRPr="006E709F">
              <w:t>How and when paid</w:t>
            </w:r>
          </w:p>
        </w:tc>
      </w:tr>
      <w:tr w:rsidR="006937D5" w:rsidRPr="006E709F" w:rsidTr="00E118FA">
        <w:tc>
          <w:tcPr>
            <w:tcW w:w="1667" w:type="pct"/>
            <w:tcBorders>
              <w:top w:val="single" w:sz="12" w:space="0" w:color="auto"/>
            </w:tcBorders>
            <w:shd w:val="clear" w:color="auto" w:fill="auto"/>
          </w:tcPr>
          <w:p w:rsidR="006937D5" w:rsidRPr="006E709F" w:rsidRDefault="00636892" w:rsidP="00A27064">
            <w:pPr>
              <w:pStyle w:val="Tabletext"/>
              <w:rPr>
                <w:i/>
              </w:rPr>
            </w:pPr>
            <w:r w:rsidRPr="006E709F">
              <w:rPr>
                <w:i/>
              </w:rPr>
              <w:t>Investment fee¹</w:t>
            </w:r>
          </w:p>
        </w:tc>
        <w:tc>
          <w:tcPr>
            <w:tcW w:w="1667" w:type="pct"/>
            <w:tcBorders>
              <w:top w:val="single" w:sz="12" w:space="0" w:color="auto"/>
            </w:tcBorders>
            <w:shd w:val="clear" w:color="auto" w:fill="auto"/>
          </w:tcPr>
          <w:p w:rsidR="006937D5" w:rsidRPr="006E709F" w:rsidRDefault="006937D5" w:rsidP="00A27064">
            <w:pPr>
              <w:pStyle w:val="Tabletext"/>
            </w:pPr>
          </w:p>
        </w:tc>
        <w:tc>
          <w:tcPr>
            <w:tcW w:w="1666" w:type="pct"/>
            <w:tcBorders>
              <w:top w:val="single" w:sz="12" w:space="0" w:color="auto"/>
            </w:tcBorders>
            <w:shd w:val="clear" w:color="auto" w:fill="auto"/>
          </w:tcPr>
          <w:p w:rsidR="006937D5" w:rsidRPr="006E709F" w:rsidRDefault="006937D5" w:rsidP="00A27064">
            <w:pPr>
              <w:pStyle w:val="Tabletext"/>
            </w:pPr>
          </w:p>
        </w:tc>
      </w:tr>
      <w:tr w:rsidR="006937D5" w:rsidRPr="006E709F" w:rsidTr="00E118FA">
        <w:tc>
          <w:tcPr>
            <w:tcW w:w="1667" w:type="pct"/>
            <w:shd w:val="clear" w:color="auto" w:fill="auto"/>
          </w:tcPr>
          <w:p w:rsidR="006937D5" w:rsidRPr="006E709F" w:rsidRDefault="00636892" w:rsidP="00A27064">
            <w:pPr>
              <w:pStyle w:val="Tabletext"/>
              <w:rPr>
                <w:i/>
              </w:rPr>
            </w:pPr>
            <w:r w:rsidRPr="006E709F">
              <w:rPr>
                <w:i/>
              </w:rPr>
              <w:t>Administration fee¹</w:t>
            </w:r>
          </w:p>
        </w:tc>
        <w:tc>
          <w:tcPr>
            <w:tcW w:w="1667" w:type="pct"/>
            <w:shd w:val="clear" w:color="auto" w:fill="auto"/>
          </w:tcPr>
          <w:p w:rsidR="006937D5" w:rsidRPr="006E709F" w:rsidRDefault="006937D5" w:rsidP="00A27064">
            <w:pPr>
              <w:pStyle w:val="Tabletext"/>
            </w:pPr>
          </w:p>
        </w:tc>
        <w:tc>
          <w:tcPr>
            <w:tcW w:w="1666" w:type="pct"/>
            <w:shd w:val="clear" w:color="auto" w:fill="auto"/>
          </w:tcPr>
          <w:p w:rsidR="006937D5" w:rsidRPr="006E709F" w:rsidRDefault="006937D5" w:rsidP="00A27064">
            <w:pPr>
              <w:pStyle w:val="Tabletext"/>
            </w:pPr>
          </w:p>
        </w:tc>
      </w:tr>
      <w:tr w:rsidR="006937D5" w:rsidRPr="006E709F" w:rsidTr="00E118FA">
        <w:tc>
          <w:tcPr>
            <w:tcW w:w="1667" w:type="pct"/>
            <w:shd w:val="clear" w:color="auto" w:fill="auto"/>
          </w:tcPr>
          <w:p w:rsidR="006937D5" w:rsidRPr="006E709F" w:rsidRDefault="006937D5" w:rsidP="00A27064">
            <w:pPr>
              <w:pStyle w:val="Tabletext"/>
              <w:rPr>
                <w:i/>
              </w:rPr>
            </w:pPr>
            <w:r w:rsidRPr="006E709F">
              <w:rPr>
                <w:i/>
              </w:rPr>
              <w:t>Buy</w:t>
            </w:r>
            <w:r w:rsidR="000C4237">
              <w:rPr>
                <w:i/>
              </w:rPr>
              <w:noBreakHyphen/>
            </w:r>
            <w:r w:rsidRPr="006E709F">
              <w:rPr>
                <w:i/>
              </w:rPr>
              <w:t>sell spread</w:t>
            </w:r>
          </w:p>
        </w:tc>
        <w:tc>
          <w:tcPr>
            <w:tcW w:w="1667" w:type="pct"/>
            <w:shd w:val="clear" w:color="auto" w:fill="auto"/>
          </w:tcPr>
          <w:p w:rsidR="006937D5" w:rsidRPr="006E709F" w:rsidRDefault="006937D5" w:rsidP="00A27064">
            <w:pPr>
              <w:pStyle w:val="Tabletext"/>
            </w:pPr>
          </w:p>
        </w:tc>
        <w:tc>
          <w:tcPr>
            <w:tcW w:w="1666" w:type="pct"/>
            <w:shd w:val="clear" w:color="auto" w:fill="auto"/>
          </w:tcPr>
          <w:p w:rsidR="006937D5" w:rsidRPr="006E709F" w:rsidRDefault="006937D5" w:rsidP="00A27064">
            <w:pPr>
              <w:pStyle w:val="Tabletext"/>
            </w:pPr>
          </w:p>
        </w:tc>
      </w:tr>
      <w:tr w:rsidR="006937D5" w:rsidRPr="006E709F" w:rsidTr="00E118FA">
        <w:tc>
          <w:tcPr>
            <w:tcW w:w="1667" w:type="pct"/>
            <w:shd w:val="clear" w:color="auto" w:fill="auto"/>
          </w:tcPr>
          <w:p w:rsidR="006937D5" w:rsidRPr="006E709F" w:rsidRDefault="006937D5" w:rsidP="00A27064">
            <w:pPr>
              <w:pStyle w:val="Tabletext"/>
              <w:rPr>
                <w:i/>
              </w:rPr>
            </w:pPr>
            <w:r w:rsidRPr="006E709F">
              <w:rPr>
                <w:i/>
              </w:rPr>
              <w:t>Switching fee</w:t>
            </w:r>
          </w:p>
        </w:tc>
        <w:tc>
          <w:tcPr>
            <w:tcW w:w="1667" w:type="pct"/>
            <w:shd w:val="clear" w:color="auto" w:fill="auto"/>
          </w:tcPr>
          <w:p w:rsidR="006937D5" w:rsidRPr="006E709F" w:rsidRDefault="006937D5" w:rsidP="00A27064">
            <w:pPr>
              <w:pStyle w:val="Tabletext"/>
            </w:pPr>
          </w:p>
        </w:tc>
        <w:tc>
          <w:tcPr>
            <w:tcW w:w="1666" w:type="pct"/>
            <w:shd w:val="clear" w:color="auto" w:fill="auto"/>
          </w:tcPr>
          <w:p w:rsidR="006937D5" w:rsidRPr="006E709F" w:rsidRDefault="006937D5" w:rsidP="00A27064">
            <w:pPr>
              <w:pStyle w:val="Tabletext"/>
            </w:pPr>
          </w:p>
        </w:tc>
      </w:tr>
      <w:tr w:rsidR="006937D5" w:rsidRPr="006E709F" w:rsidTr="00E118FA">
        <w:tc>
          <w:tcPr>
            <w:tcW w:w="1667" w:type="pct"/>
            <w:tcBorders>
              <w:bottom w:val="single" w:sz="4" w:space="0" w:color="auto"/>
            </w:tcBorders>
            <w:shd w:val="clear" w:color="auto" w:fill="auto"/>
          </w:tcPr>
          <w:p w:rsidR="006937D5" w:rsidRPr="006E709F" w:rsidRDefault="006937D5" w:rsidP="00A27064">
            <w:pPr>
              <w:pStyle w:val="Tabletext"/>
              <w:rPr>
                <w:i/>
              </w:rPr>
            </w:pPr>
            <w:r w:rsidRPr="006E709F">
              <w:rPr>
                <w:i/>
              </w:rPr>
              <w:t>Advice fees</w:t>
            </w:r>
          </w:p>
          <w:p w:rsidR="006937D5" w:rsidRPr="006E709F" w:rsidRDefault="006937D5" w:rsidP="00A27064">
            <w:pPr>
              <w:pStyle w:val="Tabletext"/>
            </w:pPr>
            <w:r w:rsidRPr="006E709F">
              <w:t>relating to all members investing in a particular MySuper product or investment option</w:t>
            </w:r>
          </w:p>
        </w:tc>
        <w:tc>
          <w:tcPr>
            <w:tcW w:w="1667" w:type="pct"/>
            <w:tcBorders>
              <w:bottom w:val="single" w:sz="4" w:space="0" w:color="auto"/>
            </w:tcBorders>
            <w:shd w:val="clear" w:color="auto" w:fill="auto"/>
          </w:tcPr>
          <w:p w:rsidR="006937D5" w:rsidRPr="006E709F" w:rsidRDefault="006937D5" w:rsidP="00A27064">
            <w:pPr>
              <w:pStyle w:val="Tabletext"/>
            </w:pPr>
          </w:p>
        </w:tc>
        <w:tc>
          <w:tcPr>
            <w:tcW w:w="1666" w:type="pct"/>
            <w:tcBorders>
              <w:bottom w:val="single" w:sz="4" w:space="0" w:color="auto"/>
            </w:tcBorders>
            <w:shd w:val="clear" w:color="auto" w:fill="auto"/>
          </w:tcPr>
          <w:p w:rsidR="006937D5" w:rsidRPr="006E709F" w:rsidRDefault="006937D5" w:rsidP="00A27064">
            <w:pPr>
              <w:pStyle w:val="Tabletext"/>
            </w:pPr>
          </w:p>
        </w:tc>
      </w:tr>
      <w:tr w:rsidR="006937D5" w:rsidRPr="006E709F" w:rsidTr="00E118FA">
        <w:tc>
          <w:tcPr>
            <w:tcW w:w="1667" w:type="pct"/>
            <w:shd w:val="clear" w:color="auto" w:fill="auto"/>
          </w:tcPr>
          <w:p w:rsidR="006937D5" w:rsidRPr="006E709F" w:rsidRDefault="00636892" w:rsidP="00A27064">
            <w:pPr>
              <w:pStyle w:val="Tabletext"/>
              <w:rPr>
                <w:i/>
              </w:rPr>
            </w:pPr>
            <w:r w:rsidRPr="006E709F">
              <w:rPr>
                <w:i/>
              </w:rPr>
              <w:t>Other fees and costs²</w:t>
            </w:r>
          </w:p>
        </w:tc>
        <w:tc>
          <w:tcPr>
            <w:tcW w:w="1667" w:type="pct"/>
            <w:shd w:val="clear" w:color="auto" w:fill="auto"/>
          </w:tcPr>
          <w:p w:rsidR="006937D5" w:rsidRPr="006E709F" w:rsidRDefault="006937D5" w:rsidP="00A27064">
            <w:pPr>
              <w:pStyle w:val="Tabletext"/>
            </w:pPr>
          </w:p>
        </w:tc>
        <w:tc>
          <w:tcPr>
            <w:tcW w:w="1666" w:type="pct"/>
            <w:shd w:val="clear" w:color="auto" w:fill="auto"/>
          </w:tcPr>
          <w:p w:rsidR="006937D5" w:rsidRPr="006E709F" w:rsidRDefault="006937D5" w:rsidP="00A27064">
            <w:pPr>
              <w:pStyle w:val="Tabletext"/>
            </w:pPr>
          </w:p>
        </w:tc>
      </w:tr>
      <w:tr w:rsidR="006937D5" w:rsidRPr="006E709F" w:rsidTr="00E118FA">
        <w:tc>
          <w:tcPr>
            <w:tcW w:w="1667" w:type="pct"/>
            <w:tcBorders>
              <w:bottom w:val="single" w:sz="12" w:space="0" w:color="auto"/>
            </w:tcBorders>
            <w:shd w:val="clear" w:color="auto" w:fill="auto"/>
          </w:tcPr>
          <w:p w:rsidR="006937D5" w:rsidRPr="006E709F" w:rsidRDefault="00636892" w:rsidP="00A27064">
            <w:pPr>
              <w:pStyle w:val="Tabletext"/>
              <w:rPr>
                <w:i/>
              </w:rPr>
            </w:pPr>
            <w:r w:rsidRPr="006E709F">
              <w:rPr>
                <w:i/>
              </w:rPr>
              <w:t>Indirect cost ratio¹</w:t>
            </w:r>
          </w:p>
        </w:tc>
        <w:tc>
          <w:tcPr>
            <w:tcW w:w="1667" w:type="pct"/>
            <w:tcBorders>
              <w:bottom w:val="single" w:sz="12" w:space="0" w:color="auto"/>
            </w:tcBorders>
            <w:shd w:val="clear" w:color="auto" w:fill="auto"/>
          </w:tcPr>
          <w:p w:rsidR="006937D5" w:rsidRPr="006E709F" w:rsidRDefault="006937D5" w:rsidP="00A27064">
            <w:pPr>
              <w:pStyle w:val="Tabletext"/>
            </w:pPr>
          </w:p>
        </w:tc>
        <w:tc>
          <w:tcPr>
            <w:tcW w:w="1666" w:type="pct"/>
            <w:tcBorders>
              <w:bottom w:val="single" w:sz="12" w:space="0" w:color="auto"/>
            </w:tcBorders>
            <w:shd w:val="clear" w:color="auto" w:fill="auto"/>
          </w:tcPr>
          <w:p w:rsidR="006937D5" w:rsidRPr="006E709F" w:rsidRDefault="006937D5" w:rsidP="00A27064">
            <w:pPr>
              <w:pStyle w:val="Tabletext"/>
            </w:pPr>
          </w:p>
        </w:tc>
      </w:tr>
    </w:tbl>
    <w:p w:rsidR="00636892" w:rsidRPr="006E709F" w:rsidRDefault="00636892" w:rsidP="00636892">
      <w:pPr>
        <w:pStyle w:val="notemargin"/>
      </w:pPr>
      <w:r w:rsidRPr="006E709F">
        <w:t>1.</w:t>
      </w:r>
      <w:r w:rsidRPr="006E709F">
        <w:tab/>
        <w:t>If your account balance for a product offered by the superannuation entity is less than $6,000 at the end of the entity’s income year, the total combined amount of administration fees, investment fees and indirect costs charged to you is capped at 3% of the account balance. Any amount charged in excess of that cap must be refunded.</w:t>
      </w:r>
    </w:p>
    <w:p w:rsidR="006937D5" w:rsidRPr="006E709F" w:rsidRDefault="00636892" w:rsidP="006937D5">
      <w:pPr>
        <w:pStyle w:val="notemargin"/>
      </w:pPr>
      <w:r w:rsidRPr="006E709F">
        <w:t>2</w:t>
      </w:r>
      <w:r w:rsidR="006937D5" w:rsidRPr="006E709F">
        <w:t>.</w:t>
      </w:r>
      <w:r w:rsidR="006937D5" w:rsidRPr="006E709F">
        <w:tab/>
      </w:r>
      <w:r w:rsidR="006937D5" w:rsidRPr="006E709F">
        <w:rPr>
          <w:i/>
        </w:rPr>
        <w:t>[If there are other fees and costs, such as activity fees, advice fees for personal advice or insurance fees, include a cross</w:t>
      </w:r>
      <w:r w:rsidR="000C4237">
        <w:rPr>
          <w:i/>
        </w:rPr>
        <w:noBreakHyphen/>
      </w:r>
      <w:r w:rsidR="006937D5" w:rsidRPr="006E709F">
        <w:rPr>
          <w:i/>
        </w:rPr>
        <w:t>reference to the “Additional Explanation of Fees and Costs”.]</w:t>
      </w:r>
    </w:p>
    <w:p w:rsidR="003638DE" w:rsidRPr="006E709F" w:rsidRDefault="003638DE" w:rsidP="00A801D0">
      <w:pPr>
        <w:pStyle w:val="subsection"/>
      </w:pPr>
      <w:r w:rsidRPr="006E709F">
        <w:tab/>
        <w:t>(4)</w:t>
      </w:r>
      <w:r w:rsidRPr="006E709F">
        <w:tab/>
        <w:t>The template is to be completed in accordance with Division</w:t>
      </w:r>
      <w:r w:rsidR="00DA13DE" w:rsidRPr="006E709F">
        <w:t> </w:t>
      </w:r>
      <w:r w:rsidRPr="006E709F">
        <w:t xml:space="preserve">3 of </w:t>
      </w:r>
      <w:r w:rsidR="00A801D0" w:rsidRPr="006E709F">
        <w:t>Schedule</w:t>
      </w:r>
      <w:r w:rsidR="00DA13DE" w:rsidRPr="006E709F">
        <w:t> </w:t>
      </w:r>
      <w:r w:rsidRPr="006E709F">
        <w:t>10 (including definitions applicable to that Division), except that:</w:t>
      </w:r>
    </w:p>
    <w:p w:rsidR="003638DE" w:rsidRPr="006E709F" w:rsidRDefault="003638DE" w:rsidP="00A801D0">
      <w:pPr>
        <w:pStyle w:val="paragraph"/>
      </w:pPr>
      <w:r w:rsidRPr="006E709F">
        <w:tab/>
        <w:t>(a)</w:t>
      </w:r>
      <w:r w:rsidRPr="006E709F">
        <w:tab/>
        <w:t>clauses</w:t>
      </w:r>
      <w:r w:rsidR="00DA13DE" w:rsidRPr="006E709F">
        <w:t> </w:t>
      </w:r>
      <w:r w:rsidRPr="006E709F">
        <w:t>203, 205, 206 and 207 and subclause</w:t>
      </w:r>
      <w:r w:rsidR="00DA13DE" w:rsidRPr="006E709F">
        <w:t> </w:t>
      </w:r>
      <w:r w:rsidRPr="006E709F">
        <w:t>208(2) do not apply; and</w:t>
      </w:r>
    </w:p>
    <w:p w:rsidR="003638DE" w:rsidRPr="006E709F" w:rsidRDefault="003638DE" w:rsidP="00A801D0">
      <w:pPr>
        <w:pStyle w:val="paragraph"/>
      </w:pPr>
      <w:r w:rsidRPr="006E709F">
        <w:tab/>
        <w:t>(b)</w:t>
      </w:r>
      <w:r w:rsidRPr="006E709F">
        <w:tab/>
        <w:t>the reference in clause</w:t>
      </w:r>
      <w:r w:rsidR="00DA13DE" w:rsidRPr="006E709F">
        <w:t> </w:t>
      </w:r>
      <w:r w:rsidRPr="006E709F">
        <w:t>204 to clause</w:t>
      </w:r>
      <w:r w:rsidR="00DA13DE" w:rsidRPr="006E709F">
        <w:t> </w:t>
      </w:r>
      <w:r w:rsidRPr="006E709F">
        <w:t>205 and clause</w:t>
      </w:r>
      <w:r w:rsidR="00DA13DE" w:rsidRPr="006E709F">
        <w:t> </w:t>
      </w:r>
      <w:r w:rsidRPr="006E709F">
        <w:t>206 does not apply; and</w:t>
      </w:r>
    </w:p>
    <w:p w:rsidR="003638DE" w:rsidRPr="006E709F" w:rsidRDefault="003638DE" w:rsidP="00A801D0">
      <w:pPr>
        <w:pStyle w:val="paragraph"/>
      </w:pPr>
      <w:r w:rsidRPr="006E709F">
        <w:tab/>
        <w:t>(c)</w:t>
      </w:r>
      <w:r w:rsidRPr="006E709F">
        <w:tab/>
        <w:t>the example in subclause</w:t>
      </w:r>
      <w:r w:rsidR="00DA13DE" w:rsidRPr="006E709F">
        <w:t> </w:t>
      </w:r>
      <w:r w:rsidRPr="006E709F">
        <w:t>208(1) is to be treated as stating:</w:t>
      </w:r>
    </w:p>
    <w:p w:rsidR="003638DE" w:rsidRPr="006E709F" w:rsidRDefault="003638DE" w:rsidP="00A801D0">
      <w:pPr>
        <w:pStyle w:val="paragraph"/>
      </w:pPr>
      <w:r w:rsidRPr="006E709F">
        <w:tab/>
      </w:r>
      <w:r w:rsidRPr="006E709F">
        <w:tab/>
        <w:t>“(for example, by using an asterisk with a footnote stating ‘The amount of this fee can be negotiated’)”.</w:t>
      </w:r>
    </w:p>
    <w:p w:rsidR="003638DE" w:rsidRPr="006E709F" w:rsidRDefault="003638DE" w:rsidP="00A801D0">
      <w:pPr>
        <w:pStyle w:val="subsection"/>
      </w:pPr>
      <w:r w:rsidRPr="006E709F">
        <w:tab/>
        <w:t>(5)</w:t>
      </w:r>
      <w:r w:rsidRPr="006E709F">
        <w:tab/>
        <w:t>Section</w:t>
      </w:r>
      <w:r w:rsidR="00DA13DE" w:rsidRPr="006E709F">
        <w:t> </w:t>
      </w:r>
      <w:r w:rsidRPr="006E709F">
        <w:t>6 must set out the information about fee changes set out in paragraph</w:t>
      </w:r>
      <w:r w:rsidR="00DA13DE" w:rsidRPr="006E709F">
        <w:t> </w:t>
      </w:r>
      <w:r w:rsidRPr="006E709F">
        <w:t xml:space="preserve">209(k) of </w:t>
      </w:r>
      <w:r w:rsidR="00A801D0" w:rsidRPr="006E709F">
        <w:t>Schedule</w:t>
      </w:r>
      <w:r w:rsidR="00DA13DE" w:rsidRPr="006E709F">
        <w:t> </w:t>
      </w:r>
      <w:r w:rsidRPr="006E709F">
        <w:t>10.</w:t>
      </w:r>
    </w:p>
    <w:p w:rsidR="003638DE" w:rsidRPr="006E709F" w:rsidRDefault="003638DE" w:rsidP="00A801D0">
      <w:pPr>
        <w:pStyle w:val="subsection"/>
      </w:pPr>
      <w:r w:rsidRPr="006E709F">
        <w:tab/>
        <w:t>(6)</w:t>
      </w:r>
      <w:r w:rsidRPr="006E709F">
        <w:tab/>
        <w:t>Section</w:t>
      </w:r>
      <w:r w:rsidR="00DA13DE" w:rsidRPr="006E709F">
        <w:t> </w:t>
      </w:r>
      <w:r w:rsidRPr="006E709F">
        <w:t>6 must:</w:t>
      </w:r>
    </w:p>
    <w:p w:rsidR="003638DE" w:rsidRPr="006E709F" w:rsidRDefault="003638DE" w:rsidP="00A801D0">
      <w:pPr>
        <w:pStyle w:val="paragraph"/>
      </w:pPr>
      <w:r w:rsidRPr="006E709F">
        <w:tab/>
        <w:t>(a)</w:t>
      </w:r>
      <w:r w:rsidRPr="006E709F">
        <w:tab/>
        <w:t>state that the information in the template can be used to compare costs between different superannuation products; and</w:t>
      </w:r>
    </w:p>
    <w:p w:rsidR="003638DE" w:rsidRPr="006E709F" w:rsidRDefault="003638DE" w:rsidP="00A801D0">
      <w:pPr>
        <w:pStyle w:val="paragraph"/>
      </w:pPr>
      <w:r w:rsidRPr="006E709F">
        <w:tab/>
        <w:t>(b)</w:t>
      </w:r>
      <w:r w:rsidRPr="006E709F">
        <w:tab/>
        <w:t>state concisely, and in general terms, that fees and costs can be paid directly from the person’s account or deducted from investment returns.</w:t>
      </w:r>
    </w:p>
    <w:p w:rsidR="006937D5" w:rsidRPr="006E709F" w:rsidRDefault="006937D5" w:rsidP="006937D5">
      <w:pPr>
        <w:pStyle w:val="subsection"/>
      </w:pPr>
      <w:r w:rsidRPr="006E709F">
        <w:tab/>
        <w:t>(6A)</w:t>
      </w:r>
      <w:r w:rsidRPr="006E709F">
        <w:tab/>
        <w:t>Section</w:t>
      </w:r>
      <w:r w:rsidR="00DA13DE" w:rsidRPr="006E709F">
        <w:t> </w:t>
      </w:r>
      <w:r w:rsidRPr="006E709F">
        <w:t>6 must:</w:t>
      </w:r>
    </w:p>
    <w:p w:rsidR="006937D5" w:rsidRPr="006E709F" w:rsidRDefault="006937D5" w:rsidP="006937D5">
      <w:pPr>
        <w:pStyle w:val="paragraph"/>
      </w:pPr>
      <w:r w:rsidRPr="006E709F">
        <w:tab/>
        <w:t>(a)</w:t>
      </w:r>
      <w:r w:rsidRPr="006E709F">
        <w:tab/>
        <w:t>apply, adopt or incorporate the definitions in relation to fees mentioned in section</w:t>
      </w:r>
      <w:r w:rsidR="00DA13DE" w:rsidRPr="006E709F">
        <w:t> </w:t>
      </w:r>
      <w:r w:rsidRPr="006E709F">
        <w:t xml:space="preserve">29V </w:t>
      </w:r>
      <w:r w:rsidR="00636892" w:rsidRPr="006E709F">
        <w:t>or subsection</w:t>
      </w:r>
      <w:r w:rsidR="00DA13DE" w:rsidRPr="006E709F">
        <w:t> </w:t>
      </w:r>
      <w:r w:rsidR="00636892" w:rsidRPr="006E709F">
        <w:t xml:space="preserve">99BA(2) </w:t>
      </w:r>
      <w:r w:rsidRPr="006E709F">
        <w:t>of the SIS Act; and</w:t>
      </w:r>
    </w:p>
    <w:p w:rsidR="006937D5" w:rsidRPr="006E709F" w:rsidRDefault="006937D5" w:rsidP="006937D5">
      <w:pPr>
        <w:pStyle w:val="paragraph"/>
      </w:pPr>
      <w:r w:rsidRPr="006E709F">
        <w:tab/>
        <w:t>(b)</w:t>
      </w:r>
      <w:r w:rsidRPr="006E709F">
        <w:tab/>
        <w:t>include the address of a link to the definitions maintained on a website.</w:t>
      </w:r>
    </w:p>
    <w:p w:rsidR="006937D5" w:rsidRPr="006E709F" w:rsidRDefault="006937D5" w:rsidP="006937D5">
      <w:pPr>
        <w:pStyle w:val="subsection"/>
      </w:pPr>
      <w:r w:rsidRPr="006E709F">
        <w:tab/>
        <w:t>(7)</w:t>
      </w:r>
      <w:r w:rsidRPr="006E709F">
        <w:tab/>
        <w:t>Section</w:t>
      </w:r>
      <w:r w:rsidR="00DA13DE" w:rsidRPr="006E709F">
        <w:t> </w:t>
      </w:r>
      <w:r w:rsidRPr="006E709F">
        <w:t>6 must give a worked example for each MySuper product or investment option described in section</w:t>
      </w:r>
      <w:r w:rsidR="00DA13DE" w:rsidRPr="006E709F">
        <w:t> </w:t>
      </w:r>
      <w:r w:rsidRPr="006E709F">
        <w:t>5.</w:t>
      </w:r>
    </w:p>
    <w:p w:rsidR="006937D5" w:rsidRPr="006E709F" w:rsidRDefault="006937D5" w:rsidP="006937D5">
      <w:pPr>
        <w:pStyle w:val="subsection"/>
      </w:pPr>
      <w:r w:rsidRPr="006E709F">
        <w:tab/>
        <w:t>(7A)</w:t>
      </w:r>
      <w:r w:rsidRPr="006E709F">
        <w:tab/>
        <w:t>The example given must be in accordance with Divisions</w:t>
      </w:r>
      <w:r w:rsidR="00DA13DE" w:rsidRPr="006E709F">
        <w:t> </w:t>
      </w:r>
      <w:r w:rsidRPr="006E709F">
        <w:t>5 and 6 of Schedule</w:t>
      </w:r>
      <w:r w:rsidR="00DA13DE" w:rsidRPr="006E709F">
        <w:t> </w:t>
      </w:r>
      <w:r w:rsidRPr="006E709F">
        <w:t>10 (including the definitions applicable to those Divisions).</w:t>
      </w:r>
    </w:p>
    <w:p w:rsidR="003638DE" w:rsidRPr="006E709F" w:rsidRDefault="003638DE" w:rsidP="00A801D0">
      <w:pPr>
        <w:pStyle w:val="subsection"/>
      </w:pPr>
      <w:r w:rsidRPr="006E709F">
        <w:tab/>
        <w:t>(8)</w:t>
      </w:r>
      <w:r w:rsidRPr="006E709F">
        <w:tab/>
        <w:t>Section</w:t>
      </w:r>
      <w:r w:rsidR="00DA13DE" w:rsidRPr="006E709F">
        <w:t> </w:t>
      </w:r>
      <w:r w:rsidRPr="006E709F">
        <w:t>6:</w:t>
      </w:r>
    </w:p>
    <w:p w:rsidR="003638DE" w:rsidRPr="006E709F" w:rsidRDefault="003638DE" w:rsidP="00A801D0">
      <w:pPr>
        <w:pStyle w:val="paragraph"/>
      </w:pPr>
      <w:r w:rsidRPr="006E709F">
        <w:tab/>
        <w:t>(a)</w:t>
      </w:r>
      <w:r w:rsidRPr="006E709F">
        <w:tab/>
        <w:t>must refer to the calculator provided by ASIC on its FIDO website or a similar website operated by or on behalf of ASIC; and</w:t>
      </w:r>
    </w:p>
    <w:p w:rsidR="003638DE" w:rsidRPr="006E709F" w:rsidRDefault="003638DE" w:rsidP="00A801D0">
      <w:pPr>
        <w:pStyle w:val="paragraph"/>
      </w:pPr>
      <w:r w:rsidRPr="006E709F">
        <w:tab/>
        <w:t>(b)</w:t>
      </w:r>
      <w:r w:rsidRPr="006E709F">
        <w:tab/>
        <w:t>may also refer to the calculator (if any) provided by the superannuation trustee on its website; and</w:t>
      </w:r>
    </w:p>
    <w:p w:rsidR="003638DE" w:rsidRPr="006E709F" w:rsidRDefault="003638DE" w:rsidP="00A801D0">
      <w:pPr>
        <w:pStyle w:val="paragraph"/>
      </w:pPr>
      <w:r w:rsidRPr="006E709F">
        <w:tab/>
        <w:t>(c)</w:t>
      </w:r>
      <w:r w:rsidRPr="006E709F">
        <w:tab/>
        <w:t>must state that each calculator referred to can be used to calculate the effect of fees and costs on account balances.</w:t>
      </w:r>
    </w:p>
    <w:p w:rsidR="003638DE" w:rsidRPr="006E709F" w:rsidRDefault="003638DE" w:rsidP="00A801D0">
      <w:pPr>
        <w:pStyle w:val="subsection"/>
      </w:pPr>
      <w:r w:rsidRPr="006E709F">
        <w:tab/>
        <w:t>(9)</w:t>
      </w:r>
      <w:r w:rsidRPr="006E709F">
        <w:tab/>
        <w:t>If additional fees may be payable to a financial advisor, section</w:t>
      </w:r>
      <w:r w:rsidR="00DA13DE" w:rsidRPr="006E709F">
        <w:t> </w:t>
      </w:r>
      <w:r w:rsidRPr="006E709F">
        <w:t>6 must:</w:t>
      </w:r>
    </w:p>
    <w:p w:rsidR="003638DE" w:rsidRPr="006E709F" w:rsidRDefault="003638DE" w:rsidP="00A801D0">
      <w:pPr>
        <w:pStyle w:val="paragraph"/>
      </w:pPr>
      <w:r w:rsidRPr="006E709F">
        <w:tab/>
        <w:t>(a)</w:t>
      </w:r>
      <w:r w:rsidRPr="006E709F">
        <w:tab/>
        <w:t>state, in the form of a warning, that additional fees may be paid to a financial advisor if a financial advisor is consulted; and</w:t>
      </w:r>
    </w:p>
    <w:p w:rsidR="003638DE" w:rsidRPr="006E709F" w:rsidRDefault="003638DE" w:rsidP="00A801D0">
      <w:pPr>
        <w:pStyle w:val="paragraph"/>
      </w:pPr>
      <w:r w:rsidRPr="006E709F">
        <w:tab/>
        <w:t>(b)</w:t>
      </w:r>
      <w:r w:rsidRPr="006E709F">
        <w:tab/>
        <w:t>refer to the Statement of Advice in which details of the fees are set out; and</w:t>
      </w:r>
    </w:p>
    <w:p w:rsidR="003638DE" w:rsidRPr="006E709F" w:rsidRDefault="003638DE" w:rsidP="00A801D0">
      <w:pPr>
        <w:pStyle w:val="paragraph"/>
      </w:pPr>
      <w:r w:rsidRPr="006E709F">
        <w:tab/>
        <w:t>(c)</w:t>
      </w:r>
      <w:r w:rsidRPr="006E709F">
        <w:tab/>
        <w:t>if applicable:</w:t>
      </w:r>
    </w:p>
    <w:p w:rsidR="003638DE" w:rsidRPr="006E709F" w:rsidRDefault="003638DE" w:rsidP="00A801D0">
      <w:pPr>
        <w:pStyle w:val="paragraphsub"/>
      </w:pPr>
      <w:r w:rsidRPr="006E709F">
        <w:tab/>
        <w:t>(i)</w:t>
      </w:r>
      <w:r w:rsidRPr="006E709F">
        <w:tab/>
        <w:t>state that fees may be paid to the employer entity’s financial adviser; and</w:t>
      </w:r>
    </w:p>
    <w:p w:rsidR="003638DE" w:rsidRPr="006E709F" w:rsidRDefault="003638DE" w:rsidP="00A801D0">
      <w:pPr>
        <w:pStyle w:val="paragraphsub"/>
      </w:pPr>
      <w:r w:rsidRPr="006E709F">
        <w:tab/>
        <w:t>(ii)</w:t>
      </w:r>
      <w:r w:rsidRPr="006E709F">
        <w:tab/>
        <w:t>explain how the fees are determined.</w:t>
      </w:r>
    </w:p>
    <w:p w:rsidR="003638DE" w:rsidRPr="006E709F" w:rsidRDefault="003638DE" w:rsidP="00A801D0">
      <w:pPr>
        <w:pStyle w:val="subsection"/>
      </w:pPr>
      <w:r w:rsidRPr="006E709F">
        <w:tab/>
        <w:t>(10)</w:t>
      </w:r>
      <w:r w:rsidRPr="006E709F">
        <w:tab/>
        <w:t>The superannuation trustee:</w:t>
      </w:r>
    </w:p>
    <w:p w:rsidR="003638DE" w:rsidRPr="006E709F" w:rsidRDefault="003638DE" w:rsidP="00A801D0">
      <w:pPr>
        <w:pStyle w:val="paragraph"/>
      </w:pPr>
      <w:r w:rsidRPr="006E709F">
        <w:tab/>
        <w:t>(a)</w:t>
      </w:r>
      <w:r w:rsidRPr="006E709F">
        <w:tab/>
        <w:t xml:space="preserve">must provide the fees and costs of </w:t>
      </w:r>
      <w:r w:rsidR="006937D5" w:rsidRPr="006E709F">
        <w:t>each of the MySuper products and investment options</w:t>
      </w:r>
      <w:r w:rsidRPr="006E709F">
        <w:t xml:space="preserve"> in accordance with Schedule</w:t>
      </w:r>
      <w:r w:rsidR="00DA13DE" w:rsidRPr="006E709F">
        <w:t> </w:t>
      </w:r>
      <w:r w:rsidRPr="006E709F">
        <w:t>10, and may do so by applying, adopting or incorporating a matter in writing; and</w:t>
      </w:r>
    </w:p>
    <w:p w:rsidR="003638DE" w:rsidRPr="006E709F" w:rsidRDefault="003638DE" w:rsidP="00A801D0">
      <w:pPr>
        <w:pStyle w:val="paragraph"/>
      </w:pPr>
      <w:r w:rsidRPr="006E709F">
        <w:tab/>
        <w:t>(b)</w:t>
      </w:r>
      <w:r w:rsidRPr="006E709F">
        <w:tab/>
        <w:t>may provide more detailed information about fees and costs by applying, adopting or incorporating a matter in writing.</w:t>
      </w:r>
    </w:p>
    <w:p w:rsidR="003638DE" w:rsidRPr="006E709F" w:rsidRDefault="00102067" w:rsidP="00A801D0">
      <w:pPr>
        <w:pStyle w:val="ActHead5"/>
      </w:pPr>
      <w:bookmarkStart w:id="155" w:name="_Toc160609842"/>
      <w:r w:rsidRPr="000C4237">
        <w:rPr>
          <w:rStyle w:val="CharSectno"/>
        </w:rPr>
        <w:t>9</w:t>
      </w:r>
      <w:r w:rsidRPr="006E709F">
        <w:t xml:space="preserve">  </w:t>
      </w:r>
      <w:r w:rsidR="003638DE" w:rsidRPr="006E709F">
        <w:t>Contents of section</w:t>
      </w:r>
      <w:r w:rsidR="00DA13DE" w:rsidRPr="006E709F">
        <w:t> </w:t>
      </w:r>
      <w:r w:rsidR="003638DE" w:rsidRPr="006E709F">
        <w:t>7 (How super is taxed)</w:t>
      </w:r>
      <w:bookmarkEnd w:id="155"/>
    </w:p>
    <w:p w:rsidR="003638DE" w:rsidRPr="006E709F" w:rsidRDefault="003638DE" w:rsidP="00A801D0">
      <w:pPr>
        <w:pStyle w:val="subsection"/>
      </w:pPr>
      <w:r w:rsidRPr="006E709F">
        <w:tab/>
        <w:t>(1)</w:t>
      </w:r>
      <w:r w:rsidRPr="006E709F">
        <w:tab/>
        <w:t>Section</w:t>
      </w:r>
      <w:r w:rsidR="00DA13DE" w:rsidRPr="006E709F">
        <w:t> </w:t>
      </w:r>
      <w:r w:rsidRPr="006E709F">
        <w:t>7 of the Product Disclosure Statement must describe, in the form of a summary, the significant tax information relating to superannuation products, including:</w:t>
      </w:r>
    </w:p>
    <w:p w:rsidR="003638DE" w:rsidRPr="006E709F" w:rsidRDefault="003638DE" w:rsidP="00A801D0">
      <w:pPr>
        <w:pStyle w:val="paragraph"/>
      </w:pPr>
      <w:r w:rsidRPr="006E709F">
        <w:tab/>
        <w:t>(a)</w:t>
      </w:r>
      <w:r w:rsidRPr="006E709F">
        <w:tab/>
        <w:t>how tax amounts due are paid; and</w:t>
      </w:r>
    </w:p>
    <w:p w:rsidR="003638DE" w:rsidRPr="006E709F" w:rsidRDefault="003638DE" w:rsidP="00A801D0">
      <w:pPr>
        <w:pStyle w:val="paragraph"/>
      </w:pPr>
      <w:r w:rsidRPr="006E709F">
        <w:tab/>
        <w:t>(b)</w:t>
      </w:r>
      <w:r w:rsidRPr="006E709F">
        <w:tab/>
        <w:t>the main taxes that are payable in relation to contributions (if contributions are permitted), fund earnings and withdrawals.</w:t>
      </w:r>
    </w:p>
    <w:p w:rsidR="003638DE" w:rsidRPr="006E709F" w:rsidRDefault="003638DE" w:rsidP="00A801D0">
      <w:pPr>
        <w:pStyle w:val="subsection"/>
      </w:pPr>
      <w:r w:rsidRPr="006E709F">
        <w:tab/>
        <w:t>(2)</w:t>
      </w:r>
      <w:r w:rsidRPr="006E709F">
        <w:tab/>
        <w:t>Section</w:t>
      </w:r>
      <w:r w:rsidR="00DA13DE" w:rsidRPr="006E709F">
        <w:t> </w:t>
      </w:r>
      <w:r w:rsidRPr="006E709F">
        <w:t>7 must:</w:t>
      </w:r>
    </w:p>
    <w:p w:rsidR="003638DE" w:rsidRPr="006E709F" w:rsidRDefault="003638DE" w:rsidP="00A801D0">
      <w:pPr>
        <w:pStyle w:val="paragraph"/>
      </w:pPr>
      <w:r w:rsidRPr="006E709F">
        <w:tab/>
        <w:t>(a)</w:t>
      </w:r>
      <w:r w:rsidRPr="006E709F">
        <w:tab/>
        <w:t>state, in the form of a warning, that the person should provide the person’s tax file number as part of acquiring the superannuation product; and</w:t>
      </w:r>
    </w:p>
    <w:p w:rsidR="003638DE" w:rsidRPr="006E709F" w:rsidRDefault="003638DE" w:rsidP="00A801D0">
      <w:pPr>
        <w:pStyle w:val="paragraph"/>
      </w:pPr>
      <w:r w:rsidRPr="006E709F">
        <w:tab/>
        <w:t>(b)</w:t>
      </w:r>
      <w:r w:rsidRPr="006E709F">
        <w:tab/>
        <w:t>explain, in the form of a summary, the consequences if the person does not provide the person’s tax file number; and</w:t>
      </w:r>
    </w:p>
    <w:p w:rsidR="003638DE" w:rsidRPr="006E709F" w:rsidRDefault="003638DE" w:rsidP="00A801D0">
      <w:pPr>
        <w:pStyle w:val="paragraph"/>
      </w:pPr>
      <w:r w:rsidRPr="006E709F">
        <w:tab/>
        <w:t>(c)</w:t>
      </w:r>
      <w:r w:rsidRPr="006E709F">
        <w:tab/>
        <w:t>if contributions are permitted</w:t>
      </w:r>
      <w:r w:rsidR="00A801D0" w:rsidRPr="006E709F">
        <w:t>—</w:t>
      </w:r>
      <w:r w:rsidRPr="006E709F">
        <w:t>set out a warning that there will be taxation consequences if the contribution caps applicable to superannuation are exceeded.</w:t>
      </w:r>
    </w:p>
    <w:p w:rsidR="003638DE" w:rsidRPr="006E709F" w:rsidRDefault="003638DE" w:rsidP="00A801D0">
      <w:pPr>
        <w:pStyle w:val="subsection"/>
      </w:pPr>
      <w:r w:rsidRPr="006E709F">
        <w:tab/>
        <w:t>(3)</w:t>
      </w:r>
      <w:r w:rsidRPr="006E709F">
        <w:tab/>
        <w:t>The superannuation trustee may provide additional information about taxation matters relating to superannuation products by applying, adopting or incorporating a matter in writing.</w:t>
      </w:r>
    </w:p>
    <w:p w:rsidR="003638DE" w:rsidRPr="006E709F" w:rsidRDefault="00102067" w:rsidP="00A801D0">
      <w:pPr>
        <w:pStyle w:val="ActHead5"/>
      </w:pPr>
      <w:bookmarkStart w:id="156" w:name="_Toc160609843"/>
      <w:r w:rsidRPr="000C4237">
        <w:rPr>
          <w:rStyle w:val="CharSectno"/>
        </w:rPr>
        <w:t>10</w:t>
      </w:r>
      <w:r w:rsidRPr="006E709F">
        <w:t xml:space="preserve">  </w:t>
      </w:r>
      <w:r w:rsidR="003638DE" w:rsidRPr="006E709F">
        <w:t>Contents of section</w:t>
      </w:r>
      <w:r w:rsidR="00DA13DE" w:rsidRPr="006E709F">
        <w:t> </w:t>
      </w:r>
      <w:r w:rsidR="003638DE" w:rsidRPr="006E709F">
        <w:t>8 (Insurance in your super)</w:t>
      </w:r>
      <w:bookmarkEnd w:id="156"/>
    </w:p>
    <w:p w:rsidR="003638DE" w:rsidRPr="006E709F" w:rsidRDefault="003638DE" w:rsidP="00A801D0">
      <w:pPr>
        <w:pStyle w:val="subsection"/>
      </w:pPr>
      <w:r w:rsidRPr="006E709F">
        <w:tab/>
        <w:t>(1)</w:t>
      </w:r>
      <w:r w:rsidRPr="006E709F">
        <w:tab/>
        <w:t>If the superannuation product does not offer insurance cover, the Product Disclosure Statement is not required to include any of the information in this clause.</w:t>
      </w:r>
    </w:p>
    <w:p w:rsidR="003638DE" w:rsidRPr="006E709F" w:rsidRDefault="003638DE" w:rsidP="00A801D0">
      <w:pPr>
        <w:pStyle w:val="subsection"/>
      </w:pPr>
      <w:r w:rsidRPr="006E709F">
        <w:tab/>
        <w:t>(2)</w:t>
      </w:r>
      <w:r w:rsidRPr="006E709F">
        <w:tab/>
        <w:t>If the superannuation product offers insurance cover, section</w:t>
      </w:r>
      <w:r w:rsidR="00DA13DE" w:rsidRPr="006E709F">
        <w:t> </w:t>
      </w:r>
      <w:r w:rsidRPr="006E709F">
        <w:t>8 must:</w:t>
      </w:r>
    </w:p>
    <w:p w:rsidR="003638DE" w:rsidRPr="006E709F" w:rsidRDefault="003638DE" w:rsidP="00A801D0">
      <w:pPr>
        <w:pStyle w:val="paragraph"/>
      </w:pPr>
      <w:r w:rsidRPr="006E709F">
        <w:tab/>
        <w:t>(a)</w:t>
      </w:r>
      <w:r w:rsidRPr="006E709F">
        <w:tab/>
        <w:t>describe, in the form of a summary, the main types of insurance cover that a person can acquire; and</w:t>
      </w:r>
    </w:p>
    <w:p w:rsidR="003638DE" w:rsidRPr="006E709F" w:rsidRDefault="003638DE" w:rsidP="00A801D0">
      <w:pPr>
        <w:pStyle w:val="paragraph"/>
      </w:pPr>
      <w:r w:rsidRPr="006E709F">
        <w:tab/>
        <w:t>(b)</w:t>
      </w:r>
      <w:r w:rsidRPr="006E709F">
        <w:tab/>
        <w:t>describe, in the form of a summary, how to apply for insurance cover; and</w:t>
      </w:r>
    </w:p>
    <w:p w:rsidR="003638DE" w:rsidRPr="006E709F" w:rsidRDefault="003638DE" w:rsidP="00A801D0">
      <w:pPr>
        <w:pStyle w:val="paragraph"/>
      </w:pPr>
      <w:r w:rsidRPr="006E709F">
        <w:tab/>
        <w:t>(c)</w:t>
      </w:r>
      <w:r w:rsidRPr="006E709F">
        <w:tab/>
        <w:t>include a statement to the effect that there are costs associated with insurance cover; and</w:t>
      </w:r>
    </w:p>
    <w:p w:rsidR="003638DE" w:rsidRPr="006E709F" w:rsidRDefault="003638DE" w:rsidP="00A801D0">
      <w:pPr>
        <w:pStyle w:val="paragraph"/>
      </w:pPr>
      <w:r w:rsidRPr="006E709F">
        <w:tab/>
        <w:t>(d)</w:t>
      </w:r>
      <w:r w:rsidRPr="006E709F">
        <w:tab/>
        <w:t>describe, in the form of a summary, who is responsible for paying the insurance costs and how they are calculated.</w:t>
      </w:r>
    </w:p>
    <w:p w:rsidR="003638DE" w:rsidRPr="006E709F" w:rsidRDefault="003638DE" w:rsidP="00A801D0">
      <w:pPr>
        <w:pStyle w:val="subsection"/>
      </w:pPr>
      <w:r w:rsidRPr="006E709F">
        <w:tab/>
        <w:t>(3)</w:t>
      </w:r>
      <w:r w:rsidRPr="006E709F">
        <w:tab/>
        <w:t>If the superannuation product offers insurance cover by default, section</w:t>
      </w:r>
      <w:r w:rsidR="00DA13DE" w:rsidRPr="006E709F">
        <w:t> </w:t>
      </w:r>
      <w:r w:rsidRPr="006E709F">
        <w:t>8 must:</w:t>
      </w:r>
    </w:p>
    <w:p w:rsidR="003638DE" w:rsidRPr="006E709F" w:rsidRDefault="003638DE" w:rsidP="00A801D0">
      <w:pPr>
        <w:pStyle w:val="paragraph"/>
      </w:pPr>
      <w:r w:rsidRPr="006E709F">
        <w:tab/>
        <w:t>(a)</w:t>
      </w:r>
      <w:r w:rsidRPr="006E709F">
        <w:tab/>
        <w:t>describe, in the form of a summary, the level and type of cover; and</w:t>
      </w:r>
    </w:p>
    <w:p w:rsidR="003638DE" w:rsidRPr="006E709F" w:rsidRDefault="003638DE" w:rsidP="00A801D0">
      <w:pPr>
        <w:pStyle w:val="paragraph"/>
      </w:pPr>
      <w:r w:rsidRPr="006E709F">
        <w:tab/>
        <w:t>(b)</w:t>
      </w:r>
      <w:r w:rsidRPr="006E709F">
        <w:tab/>
        <w:t>state:</w:t>
      </w:r>
    </w:p>
    <w:p w:rsidR="003638DE" w:rsidRPr="006E709F" w:rsidRDefault="003638DE" w:rsidP="00A801D0">
      <w:pPr>
        <w:pStyle w:val="paragraphsub"/>
      </w:pPr>
      <w:r w:rsidRPr="006E709F">
        <w:tab/>
        <w:t>(i)</w:t>
      </w:r>
      <w:r w:rsidRPr="006E709F">
        <w:tab/>
        <w:t>the actual cost of the cover in dollars, or the range of costs that would be payable depending on a person’s circumstances; and</w:t>
      </w:r>
    </w:p>
    <w:p w:rsidR="003638DE" w:rsidRPr="006E709F" w:rsidRDefault="003638DE" w:rsidP="00A801D0">
      <w:pPr>
        <w:pStyle w:val="paragraphsub"/>
      </w:pPr>
      <w:r w:rsidRPr="006E709F">
        <w:tab/>
        <w:t>(ii)</w:t>
      </w:r>
      <w:r w:rsidRPr="006E709F">
        <w:tab/>
        <w:t>who is responsible for paying the costs; and</w:t>
      </w:r>
    </w:p>
    <w:p w:rsidR="003638DE" w:rsidRPr="006E709F" w:rsidRDefault="003638DE" w:rsidP="00A801D0">
      <w:pPr>
        <w:pStyle w:val="paragraph"/>
      </w:pPr>
      <w:r w:rsidRPr="006E709F">
        <w:tab/>
        <w:t>(c)</w:t>
      </w:r>
      <w:r w:rsidRPr="006E709F">
        <w:tab/>
        <w:t>state whether a person can:</w:t>
      </w:r>
    </w:p>
    <w:p w:rsidR="003638DE" w:rsidRPr="006E709F" w:rsidRDefault="003638DE" w:rsidP="00A801D0">
      <w:pPr>
        <w:pStyle w:val="paragraphsub"/>
      </w:pPr>
      <w:r w:rsidRPr="006E709F">
        <w:tab/>
        <w:t>(i)</w:t>
      </w:r>
      <w:r w:rsidRPr="006E709F">
        <w:tab/>
        <w:t>decline to acquire the cover; or</w:t>
      </w:r>
    </w:p>
    <w:p w:rsidR="003638DE" w:rsidRPr="006E709F" w:rsidRDefault="003638DE" w:rsidP="00A801D0">
      <w:pPr>
        <w:pStyle w:val="paragraphsub"/>
      </w:pPr>
      <w:r w:rsidRPr="006E709F">
        <w:tab/>
        <w:t>(ii)</w:t>
      </w:r>
      <w:r w:rsidRPr="006E709F">
        <w:tab/>
        <w:t>cancel the cover; and</w:t>
      </w:r>
    </w:p>
    <w:p w:rsidR="003638DE" w:rsidRPr="006E709F" w:rsidRDefault="003638DE" w:rsidP="00A801D0">
      <w:pPr>
        <w:pStyle w:val="paragraph"/>
      </w:pPr>
      <w:r w:rsidRPr="006E709F">
        <w:tab/>
        <w:t>(d)</w:t>
      </w:r>
      <w:r w:rsidRPr="006E709F">
        <w:tab/>
        <w:t>state how a person can decline to acquire the cover or cancel the cover; and</w:t>
      </w:r>
    </w:p>
    <w:p w:rsidR="003638DE" w:rsidRPr="006E709F" w:rsidRDefault="003638DE" w:rsidP="00A801D0">
      <w:pPr>
        <w:pStyle w:val="paragraph"/>
      </w:pPr>
      <w:r w:rsidRPr="006E709F">
        <w:tab/>
        <w:t>(e)</w:t>
      </w:r>
      <w:r w:rsidRPr="006E709F">
        <w:tab/>
        <w:t>state whether a person can change the person’s insurance cover; and</w:t>
      </w:r>
    </w:p>
    <w:p w:rsidR="003638DE" w:rsidRPr="006E709F" w:rsidRDefault="003638DE" w:rsidP="00A801D0">
      <w:pPr>
        <w:pStyle w:val="paragraph"/>
      </w:pPr>
      <w:r w:rsidRPr="006E709F">
        <w:tab/>
        <w:t>(f)</w:t>
      </w:r>
      <w:r w:rsidRPr="006E709F">
        <w:tab/>
        <w:t>state how a person can change the person’s insurance cover; and</w:t>
      </w:r>
    </w:p>
    <w:p w:rsidR="003638DE" w:rsidRPr="006E709F" w:rsidRDefault="003638DE" w:rsidP="00A801D0">
      <w:pPr>
        <w:pStyle w:val="paragraph"/>
      </w:pPr>
      <w:r w:rsidRPr="006E709F">
        <w:tab/>
        <w:t>(g)</w:t>
      </w:r>
      <w:r w:rsidRPr="006E709F">
        <w:tab/>
        <w:t>state, in the form of a warning, that, unless a person declines to acquire the default insurance cover or cancels it, the cost of the cover will be deducted from the person’s account or from the person’s contributions (as applicable); and</w:t>
      </w:r>
    </w:p>
    <w:p w:rsidR="003638DE" w:rsidRPr="006E709F" w:rsidRDefault="003638DE" w:rsidP="00A801D0">
      <w:pPr>
        <w:pStyle w:val="paragraph"/>
      </w:pPr>
      <w:r w:rsidRPr="006E709F">
        <w:tab/>
        <w:t>(h)</w:t>
      </w:r>
      <w:r w:rsidRPr="006E709F">
        <w:tab/>
        <w:t>include information about eligibility for, and the cancellation of, the insurance cover; and</w:t>
      </w:r>
    </w:p>
    <w:p w:rsidR="003638DE" w:rsidRPr="006E709F" w:rsidRDefault="003638DE" w:rsidP="00A801D0">
      <w:pPr>
        <w:pStyle w:val="paragraph"/>
      </w:pPr>
      <w:r w:rsidRPr="006E709F">
        <w:tab/>
        <w:t>(i)</w:t>
      </w:r>
      <w:r w:rsidRPr="006E709F">
        <w:tab/>
        <w:t>include information about any conditions and exclusions that are applicable to the insurance cover.</w:t>
      </w:r>
    </w:p>
    <w:p w:rsidR="003638DE" w:rsidRPr="006E709F" w:rsidRDefault="003638DE" w:rsidP="00A801D0">
      <w:pPr>
        <w:pStyle w:val="subsection"/>
      </w:pPr>
      <w:r w:rsidRPr="006E709F">
        <w:tab/>
        <w:t>(4)</w:t>
      </w:r>
      <w:r w:rsidRPr="006E709F">
        <w:tab/>
        <w:t>If the superannuation product does not offer insurance cover by default but offers insurance cover as an option, section</w:t>
      </w:r>
      <w:r w:rsidR="00DA13DE" w:rsidRPr="006E709F">
        <w:t> </w:t>
      </w:r>
      <w:r w:rsidRPr="006E709F">
        <w:t>8 must include the following information:</w:t>
      </w:r>
    </w:p>
    <w:p w:rsidR="003638DE" w:rsidRPr="006E709F" w:rsidRDefault="003638DE" w:rsidP="00A801D0">
      <w:pPr>
        <w:pStyle w:val="paragraph"/>
      </w:pPr>
      <w:r w:rsidRPr="006E709F">
        <w:tab/>
        <w:t>(a)</w:t>
      </w:r>
      <w:r w:rsidRPr="006E709F">
        <w:tab/>
        <w:t>the level and type of insurance cover available;</w:t>
      </w:r>
    </w:p>
    <w:p w:rsidR="003638DE" w:rsidRPr="006E709F" w:rsidRDefault="003638DE" w:rsidP="00A801D0">
      <w:pPr>
        <w:pStyle w:val="paragraph"/>
      </w:pPr>
      <w:r w:rsidRPr="006E709F">
        <w:tab/>
        <w:t>(b)</w:t>
      </w:r>
      <w:r w:rsidRPr="006E709F">
        <w:tab/>
        <w:t>the actual cost of the cover in dollars, or the range of costs that would be payable depending on a person’s circumstances;</w:t>
      </w:r>
    </w:p>
    <w:p w:rsidR="003638DE" w:rsidRPr="006E709F" w:rsidRDefault="003638DE" w:rsidP="00A801D0">
      <w:pPr>
        <w:pStyle w:val="paragraph"/>
      </w:pPr>
      <w:r w:rsidRPr="006E709F">
        <w:tab/>
        <w:t>(c)</w:t>
      </w:r>
      <w:r w:rsidRPr="006E709F">
        <w:tab/>
        <w:t>eligibility for, and the cancellation of, the insurance cover;</w:t>
      </w:r>
    </w:p>
    <w:p w:rsidR="003638DE" w:rsidRPr="006E709F" w:rsidRDefault="003638DE" w:rsidP="00A801D0">
      <w:pPr>
        <w:pStyle w:val="paragraph"/>
      </w:pPr>
      <w:r w:rsidRPr="006E709F">
        <w:tab/>
        <w:t>(d)</w:t>
      </w:r>
      <w:r w:rsidRPr="006E709F">
        <w:tab/>
        <w:t>any conditions and exclusions that are applicable to the insurance cover;</w:t>
      </w:r>
    </w:p>
    <w:p w:rsidR="003638DE" w:rsidRPr="006E709F" w:rsidRDefault="003638DE" w:rsidP="00A801D0">
      <w:pPr>
        <w:pStyle w:val="paragraph"/>
      </w:pPr>
      <w:r w:rsidRPr="006E709F">
        <w:tab/>
        <w:t>(e)</w:t>
      </w:r>
      <w:r w:rsidRPr="006E709F">
        <w:tab/>
        <w:t>any other significant matter in relation to insurance cover.</w:t>
      </w:r>
    </w:p>
    <w:p w:rsidR="002739BF" w:rsidRPr="006E709F" w:rsidRDefault="003638DE" w:rsidP="007A71D2">
      <w:pPr>
        <w:pStyle w:val="notetext"/>
      </w:pPr>
      <w:r w:rsidRPr="006E709F">
        <w:t xml:space="preserve">Examples for </w:t>
      </w:r>
      <w:r w:rsidR="00DA13DE" w:rsidRPr="006E709F">
        <w:t>paragraph (</w:t>
      </w:r>
      <w:r w:rsidRPr="006E709F">
        <w:t>e)</w:t>
      </w:r>
      <w:r w:rsidR="002739BF" w:rsidRPr="006E709F">
        <w:t>:</w:t>
      </w:r>
    </w:p>
    <w:p w:rsidR="002739BF" w:rsidRPr="006E709F" w:rsidRDefault="003638DE" w:rsidP="007A71D2">
      <w:pPr>
        <w:pStyle w:val="notetext"/>
      </w:pPr>
      <w:r w:rsidRPr="006E709F">
        <w:t>1</w:t>
      </w:r>
      <w:r w:rsidR="002739BF" w:rsidRPr="006E709F">
        <w:tab/>
      </w:r>
      <w:r w:rsidRPr="006E709F">
        <w:t>Information about how a person can apply for the insurance cover.</w:t>
      </w:r>
    </w:p>
    <w:p w:rsidR="003638DE" w:rsidRPr="006E709F" w:rsidRDefault="003638DE" w:rsidP="007A71D2">
      <w:pPr>
        <w:pStyle w:val="notetext"/>
      </w:pPr>
      <w:r w:rsidRPr="006E709F">
        <w:t>2</w:t>
      </w:r>
      <w:r w:rsidR="002739BF" w:rsidRPr="006E709F">
        <w:tab/>
      </w:r>
      <w:r w:rsidRPr="006E709F">
        <w:t>Information about how a person can subsequently change or cancel the insurance cover.</w:t>
      </w:r>
    </w:p>
    <w:p w:rsidR="003638DE" w:rsidRPr="006E709F" w:rsidRDefault="003638DE" w:rsidP="00A801D0">
      <w:pPr>
        <w:pStyle w:val="subsection"/>
      </w:pPr>
      <w:r w:rsidRPr="006E709F">
        <w:tab/>
        <w:t>(5)</w:t>
      </w:r>
      <w:r w:rsidRPr="006E709F">
        <w:tab/>
        <w:t>The superannuation trustee:</w:t>
      </w:r>
    </w:p>
    <w:p w:rsidR="003638DE" w:rsidRPr="006E709F" w:rsidRDefault="003638DE" w:rsidP="00A801D0">
      <w:pPr>
        <w:pStyle w:val="paragraph"/>
      </w:pPr>
      <w:r w:rsidRPr="006E709F">
        <w:tab/>
        <w:t>(a)</w:t>
      </w:r>
      <w:r w:rsidRPr="006E709F">
        <w:tab/>
        <w:t xml:space="preserve">may provide the information in </w:t>
      </w:r>
      <w:r w:rsidR="00DA13DE" w:rsidRPr="006E709F">
        <w:t>paragraphs (</w:t>
      </w:r>
      <w:r w:rsidRPr="006E709F">
        <w:t>3</w:t>
      </w:r>
      <w:r w:rsidR="00A801D0" w:rsidRPr="006E709F">
        <w:t>)(</w:t>
      </w:r>
      <w:r w:rsidRPr="006E709F">
        <w:t xml:space="preserve">h) and (i) and </w:t>
      </w:r>
      <w:r w:rsidR="00DA13DE" w:rsidRPr="006E709F">
        <w:t>subclause (</w:t>
      </w:r>
      <w:r w:rsidRPr="006E709F">
        <w:t>4); and</w:t>
      </w:r>
    </w:p>
    <w:p w:rsidR="003638DE" w:rsidRPr="006E709F" w:rsidRDefault="003638DE" w:rsidP="00A801D0">
      <w:pPr>
        <w:pStyle w:val="paragraph"/>
      </w:pPr>
      <w:r w:rsidRPr="006E709F">
        <w:tab/>
        <w:t>(b)</w:t>
      </w:r>
      <w:r w:rsidRPr="006E709F">
        <w:tab/>
        <w:t>may provide additional information about insurance cover;</w:t>
      </w:r>
    </w:p>
    <w:p w:rsidR="003638DE" w:rsidRPr="006E709F" w:rsidRDefault="003638DE" w:rsidP="00A801D0">
      <w:pPr>
        <w:pStyle w:val="subsection2"/>
      </w:pPr>
      <w:r w:rsidRPr="006E709F">
        <w:t>by applying, adopting or incorporating a matter in writing.</w:t>
      </w:r>
    </w:p>
    <w:p w:rsidR="003638DE" w:rsidRPr="006E709F" w:rsidRDefault="003638DE" w:rsidP="00A801D0">
      <w:pPr>
        <w:pStyle w:val="subsection"/>
      </w:pPr>
      <w:r w:rsidRPr="006E709F">
        <w:tab/>
        <w:t>(6)</w:t>
      </w:r>
      <w:r w:rsidRPr="006E709F">
        <w:tab/>
        <w:t>If information about:</w:t>
      </w:r>
    </w:p>
    <w:p w:rsidR="003638DE" w:rsidRPr="006E709F" w:rsidRDefault="003638DE" w:rsidP="00A801D0">
      <w:pPr>
        <w:pStyle w:val="paragraph"/>
      </w:pPr>
      <w:r w:rsidRPr="006E709F">
        <w:tab/>
        <w:t>(a)</w:t>
      </w:r>
      <w:r w:rsidRPr="006E709F">
        <w:tab/>
        <w:t>eligibility for, or the cancellation of, the insurance cover; or</w:t>
      </w:r>
    </w:p>
    <w:p w:rsidR="003638DE" w:rsidRPr="006E709F" w:rsidRDefault="003638DE" w:rsidP="00A801D0">
      <w:pPr>
        <w:pStyle w:val="paragraph"/>
      </w:pPr>
      <w:r w:rsidRPr="006E709F">
        <w:tab/>
        <w:t>(b)</w:t>
      </w:r>
      <w:r w:rsidRPr="006E709F">
        <w:tab/>
        <w:t>any conditions and exclusions that are applicable to the insurance cover;</w:t>
      </w:r>
    </w:p>
    <w:p w:rsidR="003638DE" w:rsidRPr="006E709F" w:rsidRDefault="003638DE" w:rsidP="00A801D0">
      <w:pPr>
        <w:pStyle w:val="subsection2"/>
      </w:pPr>
      <w:r w:rsidRPr="006E709F">
        <w:t xml:space="preserve">is provided for in accordance with </w:t>
      </w:r>
      <w:r w:rsidR="00DA13DE" w:rsidRPr="006E709F">
        <w:t>subclause (</w:t>
      </w:r>
      <w:r w:rsidRPr="006E709F">
        <w:t>5), section</w:t>
      </w:r>
      <w:r w:rsidR="00DA13DE" w:rsidRPr="006E709F">
        <w:t> </w:t>
      </w:r>
      <w:r w:rsidRPr="006E709F">
        <w:t>8 must include a warning to the effect that the matter may affect a person’s entitlement to insurance cover and that the information should be read before deciding whether the insurance is appropriate.</w:t>
      </w:r>
    </w:p>
    <w:p w:rsidR="003638DE" w:rsidRPr="006E709F" w:rsidRDefault="003638DE" w:rsidP="00A801D0">
      <w:pPr>
        <w:pStyle w:val="subsection"/>
      </w:pPr>
      <w:r w:rsidRPr="006E709F">
        <w:tab/>
        <w:t>(7)</w:t>
      </w:r>
      <w:r w:rsidRPr="006E709F">
        <w:tab/>
        <w:t>If information about:</w:t>
      </w:r>
    </w:p>
    <w:p w:rsidR="003638DE" w:rsidRPr="006E709F" w:rsidRDefault="003638DE" w:rsidP="00A801D0">
      <w:pPr>
        <w:pStyle w:val="paragraph"/>
      </w:pPr>
      <w:r w:rsidRPr="006E709F">
        <w:tab/>
        <w:t>(a)</w:t>
      </w:r>
      <w:r w:rsidRPr="006E709F">
        <w:tab/>
        <w:t>the level and type of optional insurance cover available; or</w:t>
      </w:r>
    </w:p>
    <w:p w:rsidR="003638DE" w:rsidRPr="006E709F" w:rsidRDefault="003638DE" w:rsidP="00A801D0">
      <w:pPr>
        <w:pStyle w:val="paragraph"/>
      </w:pPr>
      <w:r w:rsidRPr="006E709F">
        <w:tab/>
        <w:t>(b)</w:t>
      </w:r>
      <w:r w:rsidRPr="006E709F">
        <w:tab/>
        <w:t>the actual cost of the optional insurance cover in dollars, or the range of costs that would be payable depending on a person’s circumstances; or</w:t>
      </w:r>
    </w:p>
    <w:p w:rsidR="003638DE" w:rsidRPr="006E709F" w:rsidRDefault="003638DE" w:rsidP="00A801D0">
      <w:pPr>
        <w:pStyle w:val="paragraph"/>
      </w:pPr>
      <w:r w:rsidRPr="006E709F">
        <w:tab/>
        <w:t>(c)</w:t>
      </w:r>
      <w:r w:rsidRPr="006E709F">
        <w:tab/>
        <w:t>any other significant matter in relation to insurance cover;</w:t>
      </w:r>
    </w:p>
    <w:p w:rsidR="003638DE" w:rsidRPr="006E709F" w:rsidRDefault="003638DE" w:rsidP="00A801D0">
      <w:pPr>
        <w:pStyle w:val="subsection2"/>
      </w:pPr>
      <w:r w:rsidRPr="006E709F">
        <w:t xml:space="preserve">is provided for in accordance with </w:t>
      </w:r>
      <w:r w:rsidR="00DA13DE" w:rsidRPr="006E709F">
        <w:t>subclause (</w:t>
      </w:r>
      <w:r w:rsidRPr="006E709F">
        <w:t>5), section</w:t>
      </w:r>
      <w:r w:rsidR="00DA13DE" w:rsidRPr="006E709F">
        <w:t> </w:t>
      </w:r>
      <w:r w:rsidRPr="006E709F">
        <w:t>8 must include a warning to the effect that the information should be read before deciding whether the insurance is appropriate.</w:t>
      </w:r>
    </w:p>
    <w:p w:rsidR="003638DE" w:rsidRPr="006E709F" w:rsidRDefault="00102067" w:rsidP="00A801D0">
      <w:pPr>
        <w:pStyle w:val="ActHead5"/>
      </w:pPr>
      <w:bookmarkStart w:id="157" w:name="_Toc160609844"/>
      <w:r w:rsidRPr="000C4237">
        <w:rPr>
          <w:rStyle w:val="CharSectno"/>
        </w:rPr>
        <w:t>11</w:t>
      </w:r>
      <w:r w:rsidRPr="006E709F">
        <w:t xml:space="preserve">  </w:t>
      </w:r>
      <w:r w:rsidR="003638DE" w:rsidRPr="006E709F">
        <w:t>Contents of section</w:t>
      </w:r>
      <w:r w:rsidR="00DA13DE" w:rsidRPr="006E709F">
        <w:t> </w:t>
      </w:r>
      <w:r w:rsidR="003638DE" w:rsidRPr="006E709F">
        <w:t>9 (How to open an account)</w:t>
      </w:r>
      <w:bookmarkEnd w:id="157"/>
    </w:p>
    <w:p w:rsidR="003638DE" w:rsidRPr="006E709F" w:rsidRDefault="003638DE" w:rsidP="00A801D0">
      <w:pPr>
        <w:pStyle w:val="subsection"/>
      </w:pPr>
      <w:r w:rsidRPr="006E709F">
        <w:tab/>
        <w:t>(1)</w:t>
      </w:r>
      <w:r w:rsidRPr="006E709F">
        <w:tab/>
        <w:t>Section</w:t>
      </w:r>
      <w:r w:rsidR="00DA13DE" w:rsidRPr="006E709F">
        <w:t> </w:t>
      </w:r>
      <w:r w:rsidRPr="006E709F">
        <w:t>9 of the Product Disclosure Statement must, if applicable:</w:t>
      </w:r>
    </w:p>
    <w:p w:rsidR="003638DE" w:rsidRPr="006E709F" w:rsidRDefault="003638DE" w:rsidP="00A801D0">
      <w:pPr>
        <w:pStyle w:val="paragraph"/>
      </w:pPr>
      <w:r w:rsidRPr="006E709F">
        <w:tab/>
        <w:t>(a)</w:t>
      </w:r>
      <w:r w:rsidRPr="006E709F">
        <w:tab/>
        <w:t>describe, in the form of a summary, how to open an account with the superannuation provider; and</w:t>
      </w:r>
    </w:p>
    <w:p w:rsidR="003638DE" w:rsidRPr="006E709F" w:rsidRDefault="003638DE" w:rsidP="00A801D0">
      <w:pPr>
        <w:pStyle w:val="paragraph"/>
      </w:pPr>
      <w:r w:rsidRPr="006E709F">
        <w:tab/>
        <w:t>(b)</w:t>
      </w:r>
      <w:r w:rsidRPr="006E709F">
        <w:tab/>
        <w:t>explain the cooling</w:t>
      </w:r>
      <w:r w:rsidR="000C4237">
        <w:noBreakHyphen/>
      </w:r>
      <w:r w:rsidRPr="006E709F">
        <w:t>off period that applies to the superannuation product; and</w:t>
      </w:r>
    </w:p>
    <w:p w:rsidR="003638DE" w:rsidRPr="006E709F" w:rsidRDefault="003638DE" w:rsidP="00A801D0">
      <w:pPr>
        <w:pStyle w:val="paragraph"/>
      </w:pPr>
      <w:r w:rsidRPr="006E709F">
        <w:tab/>
        <w:t>(c)</w:t>
      </w:r>
      <w:r w:rsidRPr="006E709F">
        <w:tab/>
        <w:t>explain how to make a complaint (by means that include the provision of relevant contact details).</w:t>
      </w:r>
    </w:p>
    <w:p w:rsidR="003638DE" w:rsidRPr="006E709F" w:rsidRDefault="00A801D0" w:rsidP="00A801D0">
      <w:pPr>
        <w:pStyle w:val="notetext"/>
      </w:pPr>
      <w:r w:rsidRPr="006E709F">
        <w:t>Note:</w:t>
      </w:r>
      <w:r w:rsidRPr="006E709F">
        <w:tab/>
      </w:r>
      <w:r w:rsidR="003638DE" w:rsidRPr="006E709F">
        <w:t>The effect of subclause</w:t>
      </w:r>
      <w:r w:rsidR="00DA13DE" w:rsidRPr="006E709F">
        <w:t> </w:t>
      </w:r>
      <w:r w:rsidR="003638DE" w:rsidRPr="006E709F">
        <w:t>10(1) is that the Product Disclosure Statement is not required to include section</w:t>
      </w:r>
      <w:r w:rsidR="00DA13DE" w:rsidRPr="006E709F">
        <w:t> </w:t>
      </w:r>
      <w:r w:rsidR="003638DE" w:rsidRPr="006E709F">
        <w:t>8 (as set out in clause</w:t>
      </w:r>
      <w:r w:rsidR="00DA13DE" w:rsidRPr="006E709F">
        <w:t> </w:t>
      </w:r>
      <w:r w:rsidR="003638DE" w:rsidRPr="006E709F">
        <w:t>10) if the superannuation product does not offer insurance cover. In that case, subclause</w:t>
      </w:r>
      <w:r w:rsidR="00DA13DE" w:rsidRPr="006E709F">
        <w:t> </w:t>
      </w:r>
      <w:r w:rsidR="003638DE" w:rsidRPr="006E709F">
        <w:t>2(2) allows the Statement to present the information in this clause as “section</w:t>
      </w:r>
      <w:r w:rsidR="00DA13DE" w:rsidRPr="006E709F">
        <w:t> </w:t>
      </w:r>
      <w:r w:rsidR="003638DE" w:rsidRPr="006E709F">
        <w:t>8” or “section</w:t>
      </w:r>
      <w:r w:rsidR="00DA13DE" w:rsidRPr="006E709F">
        <w:t> </w:t>
      </w:r>
      <w:r w:rsidR="003638DE" w:rsidRPr="006E709F">
        <w:t>9”.</w:t>
      </w:r>
    </w:p>
    <w:p w:rsidR="003638DE" w:rsidRPr="006E709F" w:rsidRDefault="003638DE" w:rsidP="00A801D0">
      <w:pPr>
        <w:pStyle w:val="subsection"/>
      </w:pPr>
      <w:r w:rsidRPr="006E709F">
        <w:tab/>
        <w:t>(2)</w:t>
      </w:r>
      <w:r w:rsidRPr="006E709F">
        <w:tab/>
        <w:t>The superannuation trustee:</w:t>
      </w:r>
    </w:p>
    <w:p w:rsidR="003638DE" w:rsidRPr="006E709F" w:rsidRDefault="003638DE" w:rsidP="00A801D0">
      <w:pPr>
        <w:pStyle w:val="paragraph"/>
      </w:pPr>
      <w:r w:rsidRPr="006E709F">
        <w:tab/>
        <w:t>(a)</w:t>
      </w:r>
      <w:r w:rsidRPr="006E709F">
        <w:tab/>
        <w:t>may provide more detailed information about cooling</w:t>
      </w:r>
      <w:r w:rsidR="000C4237">
        <w:noBreakHyphen/>
      </w:r>
      <w:r w:rsidRPr="006E709F">
        <w:t>off periods, complaints and dispute resolution; and</w:t>
      </w:r>
    </w:p>
    <w:p w:rsidR="003638DE" w:rsidRPr="006E709F" w:rsidRDefault="003638DE" w:rsidP="00A801D0">
      <w:pPr>
        <w:pStyle w:val="paragraph"/>
      </w:pPr>
      <w:r w:rsidRPr="006E709F">
        <w:tab/>
        <w:t>(b)</w:t>
      </w:r>
      <w:r w:rsidRPr="006E709F">
        <w:tab/>
        <w:t>may provide that information by applying, adopting or incorporating a matter in writing.</w:t>
      </w:r>
    </w:p>
    <w:p w:rsidR="003638DE" w:rsidRPr="006E709F" w:rsidRDefault="00A801D0" w:rsidP="00A801D0">
      <w:pPr>
        <w:pStyle w:val="ActHead1"/>
        <w:pageBreakBefore/>
      </w:pPr>
      <w:bookmarkStart w:id="158" w:name="_Toc160609845"/>
      <w:r w:rsidRPr="000C4237">
        <w:rPr>
          <w:rStyle w:val="CharChapNo"/>
        </w:rPr>
        <w:t>Schedule</w:t>
      </w:r>
      <w:r w:rsidR="00DA13DE" w:rsidRPr="000C4237">
        <w:rPr>
          <w:rStyle w:val="CharChapNo"/>
        </w:rPr>
        <w:t> </w:t>
      </w:r>
      <w:r w:rsidR="003638DE" w:rsidRPr="000C4237">
        <w:rPr>
          <w:rStyle w:val="CharChapNo"/>
        </w:rPr>
        <w:t>10E</w:t>
      </w:r>
      <w:r w:rsidRPr="006E709F">
        <w:t>—</w:t>
      </w:r>
      <w:r w:rsidR="003638DE" w:rsidRPr="000C4237">
        <w:rPr>
          <w:rStyle w:val="CharChapText"/>
        </w:rPr>
        <w:t>Form and content of Product Disclosure Statement</w:t>
      </w:r>
      <w:r w:rsidRPr="000C4237">
        <w:rPr>
          <w:rStyle w:val="CharChapText"/>
        </w:rPr>
        <w:t>—</w:t>
      </w:r>
      <w:r w:rsidR="003638DE" w:rsidRPr="000C4237">
        <w:rPr>
          <w:rStyle w:val="CharChapText"/>
        </w:rPr>
        <w:t>simple managed investment scheme</w:t>
      </w:r>
      <w:bookmarkEnd w:id="158"/>
    </w:p>
    <w:p w:rsidR="003638DE" w:rsidRPr="006E709F" w:rsidRDefault="003638DE" w:rsidP="00A801D0">
      <w:pPr>
        <w:pStyle w:val="notemargin"/>
      </w:pPr>
      <w:r w:rsidRPr="006E709F">
        <w:t>(</w:t>
      </w:r>
      <w:r w:rsidR="005378CE" w:rsidRPr="006E709F">
        <w:t>regulation 7</w:t>
      </w:r>
      <w:r w:rsidRPr="006E709F">
        <w:t>.9.11W)</w:t>
      </w:r>
    </w:p>
    <w:p w:rsidR="003638DE" w:rsidRPr="006E709F" w:rsidRDefault="00A801D0" w:rsidP="003638DE">
      <w:pPr>
        <w:pStyle w:val="Header"/>
      </w:pPr>
      <w:r w:rsidRPr="000C4237">
        <w:rPr>
          <w:rStyle w:val="CharPartNo"/>
        </w:rPr>
        <w:t xml:space="preserve"> </w:t>
      </w:r>
      <w:r w:rsidRPr="000C4237">
        <w:rPr>
          <w:rStyle w:val="CharPartText"/>
        </w:rPr>
        <w:t xml:space="preserve"> </w:t>
      </w:r>
    </w:p>
    <w:p w:rsidR="003638DE" w:rsidRPr="006E709F" w:rsidRDefault="00102067" w:rsidP="00A801D0">
      <w:pPr>
        <w:pStyle w:val="ActHead5"/>
      </w:pPr>
      <w:bookmarkStart w:id="159" w:name="_Toc160609846"/>
      <w:r w:rsidRPr="000C4237">
        <w:rPr>
          <w:rStyle w:val="CharSectno"/>
        </w:rPr>
        <w:t>1</w:t>
      </w:r>
      <w:r w:rsidRPr="006E709F">
        <w:t xml:space="preserve">  </w:t>
      </w:r>
      <w:r w:rsidR="003638DE" w:rsidRPr="006E709F">
        <w:t>Length and font size for Product Disclosure Statement for simple managed investment scheme</w:t>
      </w:r>
      <w:bookmarkEnd w:id="159"/>
    </w:p>
    <w:p w:rsidR="003638DE" w:rsidRPr="006E709F" w:rsidRDefault="003638DE" w:rsidP="00A801D0">
      <w:pPr>
        <w:pStyle w:val="subsection"/>
      </w:pPr>
      <w:r w:rsidRPr="006E709F">
        <w:tab/>
        <w:t>(1)</w:t>
      </w:r>
      <w:r w:rsidRPr="006E709F">
        <w:tab/>
        <w:t xml:space="preserve">The length of a Product Disclosure Statement for a simple managed investment scheme to which </w:t>
      </w:r>
      <w:r w:rsidR="00A801D0" w:rsidRPr="006E709F">
        <w:t>Subdivision</w:t>
      </w:r>
      <w:r w:rsidR="00DA13DE" w:rsidRPr="006E709F">
        <w:t> </w:t>
      </w:r>
      <w:r w:rsidRPr="006E709F">
        <w:t xml:space="preserve">4.2C of </w:t>
      </w:r>
      <w:r w:rsidR="00A801D0" w:rsidRPr="006E709F">
        <w:t>Division</w:t>
      </w:r>
      <w:r w:rsidR="00DA13DE" w:rsidRPr="006E709F">
        <w:t> </w:t>
      </w:r>
      <w:r w:rsidRPr="006E709F">
        <w:t xml:space="preserve">4 of </w:t>
      </w:r>
      <w:r w:rsidR="00A801D0" w:rsidRPr="006E709F">
        <w:t>Part</w:t>
      </w:r>
      <w:r w:rsidR="00DA13DE" w:rsidRPr="006E709F">
        <w:t> </w:t>
      </w:r>
      <w:r w:rsidRPr="006E709F">
        <w:t>7.9 applies (not including any matter in writing that is applied, adopted or incorporated by the Statement) must not exceed:</w:t>
      </w:r>
    </w:p>
    <w:p w:rsidR="003638DE" w:rsidRPr="006E709F" w:rsidRDefault="003638DE" w:rsidP="00A801D0">
      <w:pPr>
        <w:pStyle w:val="paragraph"/>
      </w:pPr>
      <w:r w:rsidRPr="006E709F">
        <w:tab/>
        <w:t>(a)</w:t>
      </w:r>
      <w:r w:rsidRPr="006E709F">
        <w:tab/>
        <w:t>if it is printed on A4 pages</w:t>
      </w:r>
      <w:r w:rsidR="00A801D0" w:rsidRPr="006E709F">
        <w:t>—</w:t>
      </w:r>
      <w:r w:rsidRPr="006E709F">
        <w:t>8 pages; or</w:t>
      </w:r>
    </w:p>
    <w:p w:rsidR="003638DE" w:rsidRPr="006E709F" w:rsidRDefault="003638DE" w:rsidP="00A801D0">
      <w:pPr>
        <w:pStyle w:val="paragraph"/>
      </w:pPr>
      <w:r w:rsidRPr="006E709F">
        <w:tab/>
        <w:t>(b)</w:t>
      </w:r>
      <w:r w:rsidRPr="006E709F">
        <w:tab/>
        <w:t>if it is printed on A5 pages</w:t>
      </w:r>
      <w:r w:rsidR="00A801D0" w:rsidRPr="006E709F">
        <w:t>—</w:t>
      </w:r>
      <w:r w:rsidRPr="006E709F">
        <w:t>16 pages; or</w:t>
      </w:r>
    </w:p>
    <w:p w:rsidR="003638DE" w:rsidRPr="006E709F" w:rsidRDefault="003638DE" w:rsidP="00A801D0">
      <w:pPr>
        <w:pStyle w:val="paragraph"/>
      </w:pPr>
      <w:r w:rsidRPr="006E709F">
        <w:tab/>
        <w:t>(c)</w:t>
      </w:r>
      <w:r w:rsidRPr="006E709F">
        <w:tab/>
        <w:t>if it is printed on DL pages</w:t>
      </w:r>
      <w:r w:rsidR="00A801D0" w:rsidRPr="006E709F">
        <w:t>—</w:t>
      </w:r>
      <w:r w:rsidRPr="006E709F">
        <w:t>24 pages; or</w:t>
      </w:r>
    </w:p>
    <w:p w:rsidR="003638DE" w:rsidRPr="006E709F" w:rsidRDefault="003638DE" w:rsidP="00A801D0">
      <w:pPr>
        <w:pStyle w:val="paragraph"/>
      </w:pPr>
      <w:r w:rsidRPr="006E709F">
        <w:tab/>
        <w:t>(d)</w:t>
      </w:r>
      <w:r w:rsidRPr="006E709F">
        <w:tab/>
        <w:t>otherwise</w:t>
      </w:r>
      <w:r w:rsidR="00A801D0" w:rsidRPr="006E709F">
        <w:t>—</w:t>
      </w:r>
      <w:r w:rsidRPr="006E709F">
        <w:t>if it is formatted to be printed on A4 pages, 8</w:t>
      </w:r>
      <w:r w:rsidR="00E376FA" w:rsidRPr="006E709F">
        <w:t xml:space="preserve"> </w:t>
      </w:r>
      <w:r w:rsidRPr="006E709F">
        <w:t>A4 pages.</w:t>
      </w:r>
    </w:p>
    <w:p w:rsidR="003638DE" w:rsidRPr="006E709F" w:rsidRDefault="003638DE" w:rsidP="00A801D0">
      <w:pPr>
        <w:pStyle w:val="subsection"/>
      </w:pPr>
      <w:r w:rsidRPr="006E709F">
        <w:tab/>
        <w:t>(2)</w:t>
      </w:r>
      <w:r w:rsidRPr="006E709F">
        <w:tab/>
        <w:t>The minimum font size for text in the Statement is:</w:t>
      </w:r>
    </w:p>
    <w:p w:rsidR="003638DE" w:rsidRPr="006E709F" w:rsidRDefault="003638DE" w:rsidP="00A801D0">
      <w:pPr>
        <w:pStyle w:val="paragraph"/>
      </w:pPr>
      <w:r w:rsidRPr="006E709F">
        <w:tab/>
        <w:t>(a)</w:t>
      </w:r>
      <w:r w:rsidRPr="006E709F">
        <w:tab/>
        <w:t>for the name, address, ABN (if applicable), ACN (if applicable), ARSN and AFSL (if applicable) of the person giving the Statement</w:t>
      </w:r>
      <w:r w:rsidR="00A801D0" w:rsidRPr="006E709F">
        <w:t>—</w:t>
      </w:r>
      <w:r w:rsidRPr="006E709F">
        <w:t>8 points; and</w:t>
      </w:r>
    </w:p>
    <w:p w:rsidR="003638DE" w:rsidRPr="006E709F" w:rsidRDefault="003638DE" w:rsidP="00A801D0">
      <w:pPr>
        <w:pStyle w:val="paragraph"/>
      </w:pPr>
      <w:r w:rsidRPr="006E709F">
        <w:tab/>
        <w:t>(b)</w:t>
      </w:r>
      <w:r w:rsidRPr="006E709F">
        <w:tab/>
        <w:t>for all other text</w:t>
      </w:r>
      <w:r w:rsidR="00A801D0" w:rsidRPr="006E709F">
        <w:t>—</w:t>
      </w:r>
      <w:r w:rsidRPr="006E709F">
        <w:t>9 points.</w:t>
      </w:r>
    </w:p>
    <w:p w:rsidR="003638DE" w:rsidRPr="006E709F" w:rsidRDefault="00A801D0" w:rsidP="00A801D0">
      <w:pPr>
        <w:pStyle w:val="notetext"/>
      </w:pPr>
      <w:r w:rsidRPr="006E709F">
        <w:t>Note 1:</w:t>
      </w:r>
      <w:r w:rsidRPr="006E709F">
        <w:tab/>
      </w:r>
      <w:r w:rsidR="003638DE" w:rsidRPr="006E709F">
        <w:t>The Product Disclosure Statement must be worded and presented in a clear, concise and effective manner</w:t>
      </w:r>
      <w:r w:rsidRPr="006E709F">
        <w:t>—</w:t>
      </w:r>
      <w:r w:rsidR="003638DE" w:rsidRPr="006E709F">
        <w:t>see subsection</w:t>
      </w:r>
      <w:r w:rsidR="00DA13DE" w:rsidRPr="006E709F">
        <w:t> </w:t>
      </w:r>
      <w:r w:rsidR="003638DE" w:rsidRPr="006E709F">
        <w:t>1013C(3) of the Act.</w:t>
      </w:r>
    </w:p>
    <w:p w:rsidR="003638DE" w:rsidRPr="006E709F" w:rsidRDefault="00A801D0" w:rsidP="00A801D0">
      <w:pPr>
        <w:pStyle w:val="notetext"/>
      </w:pPr>
      <w:r w:rsidRPr="006E709F">
        <w:t>Note 2:</w:t>
      </w:r>
      <w:r w:rsidRPr="006E709F">
        <w:tab/>
      </w:r>
      <w:r w:rsidR="003638DE" w:rsidRPr="006E709F">
        <w:t>A person required to a give a Product Disclosure Statement to a vision</w:t>
      </w:r>
      <w:r w:rsidR="000C4237">
        <w:noBreakHyphen/>
      </w:r>
      <w:r w:rsidR="003638DE" w:rsidRPr="006E709F">
        <w:t xml:space="preserve">impaired person must comply with its obligations under the </w:t>
      </w:r>
      <w:r w:rsidR="003638DE" w:rsidRPr="006E709F">
        <w:rPr>
          <w:i/>
        </w:rPr>
        <w:t>Disability Discrimination Act 1992</w:t>
      </w:r>
      <w:r w:rsidR="003638DE" w:rsidRPr="006E709F">
        <w:t>.</w:t>
      </w:r>
    </w:p>
    <w:p w:rsidR="003638DE" w:rsidRPr="006E709F" w:rsidRDefault="00102067" w:rsidP="00A801D0">
      <w:pPr>
        <w:pStyle w:val="ActHead5"/>
      </w:pPr>
      <w:bookmarkStart w:id="160" w:name="_Toc160609847"/>
      <w:r w:rsidRPr="000C4237">
        <w:rPr>
          <w:rStyle w:val="CharSectno"/>
        </w:rPr>
        <w:t>2</w:t>
      </w:r>
      <w:r w:rsidRPr="006E709F">
        <w:t xml:space="preserve">  </w:t>
      </w:r>
      <w:r w:rsidR="003638DE" w:rsidRPr="006E709F">
        <w:t>Minimum content of Product Disclosure Statement for simple managed investment scheme</w:t>
      </w:r>
      <w:bookmarkEnd w:id="160"/>
    </w:p>
    <w:p w:rsidR="003638DE" w:rsidRPr="006E709F" w:rsidRDefault="003638DE" w:rsidP="00A801D0">
      <w:pPr>
        <w:pStyle w:val="subsection"/>
      </w:pPr>
      <w:r w:rsidRPr="006E709F">
        <w:tab/>
        <w:t>(1)</w:t>
      </w:r>
      <w:r w:rsidRPr="006E709F">
        <w:tab/>
        <w:t>The Product Disclosure Statement must include sections which must be numbered and titled as follows:</w:t>
      </w:r>
    </w:p>
    <w:p w:rsidR="003638DE" w:rsidRPr="006E709F" w:rsidRDefault="0048795D" w:rsidP="0048795D">
      <w:pPr>
        <w:pStyle w:val="paragraph"/>
      </w:pPr>
      <w:r w:rsidRPr="006E709F">
        <w:tab/>
      </w:r>
      <w:r w:rsidR="003638DE" w:rsidRPr="006E709F">
        <w:t>1.</w:t>
      </w:r>
      <w:r w:rsidR="003638DE" w:rsidRPr="006E709F">
        <w:tab/>
        <w:t>About [name of responsible entity]</w:t>
      </w:r>
    </w:p>
    <w:p w:rsidR="003638DE" w:rsidRPr="006E709F" w:rsidRDefault="0048795D" w:rsidP="0048795D">
      <w:pPr>
        <w:pStyle w:val="paragraph"/>
      </w:pPr>
      <w:r w:rsidRPr="006E709F">
        <w:tab/>
      </w:r>
      <w:r w:rsidR="003638DE" w:rsidRPr="006E709F">
        <w:t>2.</w:t>
      </w:r>
      <w:r w:rsidR="00102067" w:rsidRPr="006E709F">
        <w:tab/>
      </w:r>
      <w:r w:rsidR="003638DE" w:rsidRPr="006E709F">
        <w:t>How [name of simple managed investment scheme] works</w:t>
      </w:r>
    </w:p>
    <w:p w:rsidR="003638DE" w:rsidRPr="006E709F" w:rsidRDefault="0048795D" w:rsidP="0048795D">
      <w:pPr>
        <w:pStyle w:val="paragraph"/>
      </w:pPr>
      <w:r w:rsidRPr="006E709F">
        <w:tab/>
      </w:r>
      <w:r w:rsidR="003638DE" w:rsidRPr="006E709F">
        <w:t>3.</w:t>
      </w:r>
      <w:r w:rsidR="003638DE" w:rsidRPr="006E709F">
        <w:tab/>
        <w:t>Benefits of investing in [name of simple managed investment scheme]</w:t>
      </w:r>
    </w:p>
    <w:p w:rsidR="003638DE" w:rsidRPr="006E709F" w:rsidRDefault="0048795D" w:rsidP="0048795D">
      <w:pPr>
        <w:pStyle w:val="paragraph"/>
      </w:pPr>
      <w:r w:rsidRPr="006E709F">
        <w:tab/>
      </w:r>
      <w:r w:rsidR="003638DE" w:rsidRPr="006E709F">
        <w:t>4.</w:t>
      </w:r>
      <w:r w:rsidR="003638DE" w:rsidRPr="006E709F">
        <w:tab/>
        <w:t>Risks of managed investment schemes</w:t>
      </w:r>
    </w:p>
    <w:p w:rsidR="003638DE" w:rsidRPr="006E709F" w:rsidRDefault="0048795D" w:rsidP="0048795D">
      <w:pPr>
        <w:pStyle w:val="paragraph"/>
      </w:pPr>
      <w:r w:rsidRPr="006E709F">
        <w:tab/>
      </w:r>
      <w:r w:rsidR="003638DE" w:rsidRPr="006E709F">
        <w:t>5.</w:t>
      </w:r>
      <w:r w:rsidR="003638DE" w:rsidRPr="006E709F">
        <w:tab/>
        <w:t>How we invest your money</w:t>
      </w:r>
    </w:p>
    <w:p w:rsidR="003638DE" w:rsidRPr="006E709F" w:rsidRDefault="0048795D" w:rsidP="0048795D">
      <w:pPr>
        <w:pStyle w:val="paragraph"/>
      </w:pPr>
      <w:r w:rsidRPr="006E709F">
        <w:tab/>
      </w:r>
      <w:r w:rsidR="003638DE" w:rsidRPr="006E709F">
        <w:t>6.</w:t>
      </w:r>
      <w:r w:rsidR="003638DE" w:rsidRPr="006E709F">
        <w:tab/>
        <w:t>Fees and costs</w:t>
      </w:r>
    </w:p>
    <w:p w:rsidR="003638DE" w:rsidRPr="006E709F" w:rsidRDefault="0048795D" w:rsidP="0048795D">
      <w:pPr>
        <w:pStyle w:val="paragraph"/>
      </w:pPr>
      <w:r w:rsidRPr="006E709F">
        <w:tab/>
      </w:r>
      <w:r w:rsidR="003638DE" w:rsidRPr="006E709F">
        <w:t>7.</w:t>
      </w:r>
      <w:r w:rsidR="003638DE" w:rsidRPr="006E709F">
        <w:tab/>
        <w:t>How managed investment schemes are taxed</w:t>
      </w:r>
    </w:p>
    <w:p w:rsidR="003638DE" w:rsidRPr="006E709F" w:rsidRDefault="0048795D" w:rsidP="0048795D">
      <w:pPr>
        <w:pStyle w:val="paragraph"/>
      </w:pPr>
      <w:r w:rsidRPr="006E709F">
        <w:tab/>
      </w:r>
      <w:r w:rsidR="003638DE" w:rsidRPr="006E709F">
        <w:t>8.</w:t>
      </w:r>
      <w:r w:rsidR="003638DE" w:rsidRPr="006E709F">
        <w:tab/>
        <w:t>How to apply.</w:t>
      </w:r>
    </w:p>
    <w:p w:rsidR="003638DE" w:rsidRPr="006E709F" w:rsidRDefault="003638DE" w:rsidP="00A801D0">
      <w:pPr>
        <w:pStyle w:val="subsection"/>
      </w:pPr>
      <w:r w:rsidRPr="006E709F">
        <w:tab/>
        <w:t>(2)</w:t>
      </w:r>
      <w:r w:rsidRPr="006E709F">
        <w:tab/>
        <w:t>The Statement must include:</w:t>
      </w:r>
    </w:p>
    <w:p w:rsidR="003638DE" w:rsidRPr="006E709F" w:rsidRDefault="003638DE" w:rsidP="00A801D0">
      <w:pPr>
        <w:pStyle w:val="paragraph"/>
      </w:pPr>
      <w:r w:rsidRPr="006E709F">
        <w:tab/>
        <w:t>(a)</w:t>
      </w:r>
      <w:r w:rsidRPr="006E709F">
        <w:tab/>
        <w:t xml:space="preserve">a table of contents that sets out the titles mentioned in </w:t>
      </w:r>
      <w:r w:rsidR="00DA13DE" w:rsidRPr="006E709F">
        <w:t>subclause (</w:t>
      </w:r>
      <w:r w:rsidRPr="006E709F">
        <w:t>1); and</w:t>
      </w:r>
    </w:p>
    <w:p w:rsidR="003638DE" w:rsidRPr="006E709F" w:rsidRDefault="003638DE" w:rsidP="00A801D0">
      <w:pPr>
        <w:pStyle w:val="paragraph"/>
      </w:pPr>
      <w:r w:rsidRPr="006E709F">
        <w:tab/>
        <w:t>(b)</w:t>
      </w:r>
      <w:r w:rsidRPr="006E709F">
        <w:tab/>
        <w:t xml:space="preserve">the telephone number of the responsible entity for the simple managed investment scheme to enable a person who invests in the simple managed investment scheme to request a copy of the following under </w:t>
      </w:r>
      <w:r w:rsidR="005378CE" w:rsidRPr="006E709F">
        <w:t>regulation 7</w:t>
      </w:r>
      <w:r w:rsidRPr="006E709F">
        <w:t>.9.11Z:</w:t>
      </w:r>
    </w:p>
    <w:p w:rsidR="003638DE" w:rsidRPr="006E709F" w:rsidRDefault="003638DE" w:rsidP="00A801D0">
      <w:pPr>
        <w:pStyle w:val="paragraphsub"/>
      </w:pPr>
      <w:r w:rsidRPr="006E709F">
        <w:tab/>
        <w:t>(i)</w:t>
      </w:r>
      <w:r w:rsidRPr="006E709F">
        <w:tab/>
        <w:t>a copy of the Statement; and</w:t>
      </w:r>
    </w:p>
    <w:p w:rsidR="003638DE" w:rsidRPr="006E709F" w:rsidRDefault="003638DE" w:rsidP="00A801D0">
      <w:pPr>
        <w:pStyle w:val="paragraphsub"/>
      </w:pPr>
      <w:r w:rsidRPr="006E709F">
        <w:tab/>
        <w:t>(ii)</w:t>
      </w:r>
      <w:r w:rsidRPr="006E709F">
        <w:tab/>
        <w:t>a copy of a matter in writing that is applied, adopted or incorporated by the Statement.</w:t>
      </w:r>
    </w:p>
    <w:p w:rsidR="003638DE" w:rsidRPr="006E709F" w:rsidRDefault="003638DE" w:rsidP="00A801D0">
      <w:pPr>
        <w:pStyle w:val="subsection"/>
      </w:pPr>
      <w:r w:rsidRPr="006E709F">
        <w:tab/>
        <w:t>(3)</w:t>
      </w:r>
      <w:r w:rsidRPr="006E709F">
        <w:tab/>
        <w:t>The Statement must:</w:t>
      </w:r>
    </w:p>
    <w:p w:rsidR="003638DE" w:rsidRPr="006E709F" w:rsidRDefault="003638DE" w:rsidP="00A801D0">
      <w:pPr>
        <w:pStyle w:val="paragraph"/>
      </w:pPr>
      <w:r w:rsidRPr="006E709F">
        <w:tab/>
        <w:t>(a)</w:t>
      </w:r>
      <w:r w:rsidRPr="006E709F">
        <w:tab/>
        <w:t>advise a person reading the Statement that:</w:t>
      </w:r>
    </w:p>
    <w:p w:rsidR="003638DE" w:rsidRPr="006E709F" w:rsidRDefault="003638DE" w:rsidP="00A801D0">
      <w:pPr>
        <w:pStyle w:val="paragraphsub"/>
      </w:pPr>
      <w:r w:rsidRPr="006E709F">
        <w:tab/>
        <w:t>(i)</w:t>
      </w:r>
      <w:r w:rsidRPr="006E709F">
        <w:tab/>
        <w:t>it is a summary of significant information and contains a number of references to important information (each of which forms part of the Statement); and</w:t>
      </w:r>
    </w:p>
    <w:p w:rsidR="003638DE" w:rsidRPr="006E709F" w:rsidRDefault="003638DE" w:rsidP="00A801D0">
      <w:pPr>
        <w:pStyle w:val="paragraphsub"/>
      </w:pPr>
      <w:r w:rsidRPr="006E709F">
        <w:tab/>
        <w:t>(ii)</w:t>
      </w:r>
      <w:r w:rsidRPr="006E709F">
        <w:tab/>
        <w:t>persons should consider that information before making a decision about the simple managed investment scheme; and</w:t>
      </w:r>
    </w:p>
    <w:p w:rsidR="003638DE" w:rsidRPr="006E709F" w:rsidRDefault="003638DE" w:rsidP="00A801D0">
      <w:pPr>
        <w:pStyle w:val="paragraphsub"/>
      </w:pPr>
      <w:r w:rsidRPr="006E709F">
        <w:tab/>
        <w:t>(iii)</w:t>
      </w:r>
      <w:r w:rsidRPr="006E709F">
        <w:tab/>
        <w:t>the information provided in the Statement is general information only and does not take account of the person’s personal financial situation or needs; and</w:t>
      </w:r>
    </w:p>
    <w:p w:rsidR="003638DE" w:rsidRPr="006E709F" w:rsidRDefault="003638DE" w:rsidP="00A801D0">
      <w:pPr>
        <w:pStyle w:val="paragraphsub"/>
      </w:pPr>
      <w:r w:rsidRPr="006E709F">
        <w:tab/>
        <w:t>(iv)</w:t>
      </w:r>
      <w:r w:rsidRPr="006E709F">
        <w:tab/>
        <w:t>the person should obtain financial advice tailored to the person’s personal circumstances; and</w:t>
      </w:r>
    </w:p>
    <w:p w:rsidR="003638DE" w:rsidRPr="006E709F" w:rsidRDefault="003638DE" w:rsidP="00A801D0">
      <w:pPr>
        <w:pStyle w:val="paragraph"/>
      </w:pPr>
      <w:r w:rsidRPr="006E709F">
        <w:tab/>
        <w:t>(b)</w:t>
      </w:r>
      <w:r w:rsidRPr="006E709F">
        <w:tab/>
        <w:t>display the advice:</w:t>
      </w:r>
    </w:p>
    <w:p w:rsidR="003638DE" w:rsidRPr="006E709F" w:rsidRDefault="003638DE" w:rsidP="00A801D0">
      <w:pPr>
        <w:pStyle w:val="paragraphsub"/>
      </w:pPr>
      <w:r w:rsidRPr="006E709F">
        <w:tab/>
        <w:t>(i)</w:t>
      </w:r>
      <w:r w:rsidRPr="006E709F">
        <w:tab/>
        <w:t>at or near the beginning of the document; and</w:t>
      </w:r>
    </w:p>
    <w:p w:rsidR="003638DE" w:rsidRPr="006E709F" w:rsidRDefault="003638DE" w:rsidP="00A801D0">
      <w:pPr>
        <w:pStyle w:val="paragraphsub"/>
      </w:pPr>
      <w:r w:rsidRPr="006E709F">
        <w:tab/>
        <w:t>(ii)</w:t>
      </w:r>
      <w:r w:rsidRPr="006E709F">
        <w:tab/>
        <w:t>in a prominent position and style.</w:t>
      </w:r>
    </w:p>
    <w:p w:rsidR="003638DE" w:rsidRPr="006E709F" w:rsidRDefault="003638DE" w:rsidP="00A801D0">
      <w:pPr>
        <w:pStyle w:val="subsection"/>
      </w:pPr>
      <w:r w:rsidRPr="006E709F">
        <w:tab/>
        <w:t>(4)</w:t>
      </w:r>
      <w:r w:rsidRPr="006E709F">
        <w:tab/>
        <w:t>The Statement:</w:t>
      </w:r>
    </w:p>
    <w:p w:rsidR="003638DE" w:rsidRPr="006E709F" w:rsidRDefault="003638DE" w:rsidP="00A801D0">
      <w:pPr>
        <w:pStyle w:val="paragraph"/>
      </w:pPr>
      <w:r w:rsidRPr="006E709F">
        <w:tab/>
        <w:t>(a)</w:t>
      </w:r>
      <w:r w:rsidRPr="006E709F">
        <w:tab/>
        <w:t>may include additional sections after sections</w:t>
      </w:r>
      <w:r w:rsidR="00DA13DE" w:rsidRPr="006E709F">
        <w:t> </w:t>
      </w:r>
      <w:r w:rsidRPr="006E709F">
        <w:t>1 to 8; and</w:t>
      </w:r>
    </w:p>
    <w:p w:rsidR="003638DE" w:rsidRPr="006E709F" w:rsidRDefault="003638DE" w:rsidP="00A801D0">
      <w:pPr>
        <w:pStyle w:val="paragraph"/>
      </w:pPr>
      <w:r w:rsidRPr="006E709F">
        <w:tab/>
        <w:t>(b)</w:t>
      </w:r>
      <w:r w:rsidRPr="006E709F">
        <w:tab/>
        <w:t>may include other information;</w:t>
      </w:r>
    </w:p>
    <w:p w:rsidR="003638DE" w:rsidRPr="006E709F" w:rsidRDefault="003638DE" w:rsidP="00A801D0">
      <w:pPr>
        <w:pStyle w:val="subsection2"/>
      </w:pPr>
      <w:r w:rsidRPr="006E709F">
        <w:t>to an extent that does not have the effect of contravening subclause</w:t>
      </w:r>
      <w:r w:rsidR="00DA13DE" w:rsidRPr="006E709F">
        <w:t> </w:t>
      </w:r>
      <w:r w:rsidRPr="006E709F">
        <w:t>1(1).</w:t>
      </w:r>
    </w:p>
    <w:p w:rsidR="003638DE" w:rsidRPr="006E709F" w:rsidRDefault="003638DE" w:rsidP="00A801D0">
      <w:pPr>
        <w:pStyle w:val="subsection"/>
      </w:pPr>
      <w:r w:rsidRPr="006E709F">
        <w:tab/>
        <w:t>(5)</w:t>
      </w:r>
      <w:r w:rsidRPr="006E709F">
        <w:tab/>
        <w:t>The Product Disclosure Statement does not need to indicate that a particular requirement is not applicable to the simple managed investment scheme.</w:t>
      </w:r>
    </w:p>
    <w:p w:rsidR="003638DE" w:rsidRPr="006E709F" w:rsidRDefault="00A801D0" w:rsidP="00A801D0">
      <w:pPr>
        <w:pStyle w:val="notetext"/>
      </w:pPr>
      <w:r w:rsidRPr="006E709F">
        <w:t>Note:</w:t>
      </w:r>
      <w:r w:rsidRPr="006E709F">
        <w:tab/>
      </w:r>
      <w:r w:rsidR="003638DE" w:rsidRPr="006E709F">
        <w:t xml:space="preserve">The Act, as modified in accordance with </w:t>
      </w:r>
      <w:r w:rsidRPr="006E709F">
        <w:t>Subdivision</w:t>
      </w:r>
      <w:r w:rsidR="00DA13DE" w:rsidRPr="006E709F">
        <w:t> </w:t>
      </w:r>
      <w:r w:rsidR="003638DE" w:rsidRPr="006E709F">
        <w:t xml:space="preserve">4.2C of </w:t>
      </w:r>
      <w:r w:rsidRPr="006E709F">
        <w:t>Division</w:t>
      </w:r>
      <w:r w:rsidR="00DA13DE" w:rsidRPr="006E709F">
        <w:t> </w:t>
      </w:r>
      <w:r w:rsidR="003638DE" w:rsidRPr="006E709F">
        <w:t xml:space="preserve">4 of </w:t>
      </w:r>
      <w:r w:rsidRPr="006E709F">
        <w:t>Part</w:t>
      </w:r>
      <w:r w:rsidR="00DA13DE" w:rsidRPr="006E709F">
        <w:t> </w:t>
      </w:r>
      <w:r w:rsidR="003638DE" w:rsidRPr="006E709F">
        <w:t>7.9, requires information to be included in the Product Disclosure Statement only to the extent to which the requirement is applicable to the simple managed investment scheme.</w:t>
      </w:r>
    </w:p>
    <w:p w:rsidR="003638DE" w:rsidRPr="006E709F" w:rsidRDefault="00C44525" w:rsidP="00A801D0">
      <w:pPr>
        <w:pStyle w:val="ActHead5"/>
      </w:pPr>
      <w:bookmarkStart w:id="161" w:name="_Toc160609848"/>
      <w:r w:rsidRPr="000C4237">
        <w:rPr>
          <w:rStyle w:val="CharSectno"/>
        </w:rPr>
        <w:t>3</w:t>
      </w:r>
      <w:r w:rsidRPr="006E709F">
        <w:t xml:space="preserve">  </w:t>
      </w:r>
      <w:r w:rsidR="003638DE" w:rsidRPr="006E709F">
        <w:t>Contents of section</w:t>
      </w:r>
      <w:r w:rsidR="00DA13DE" w:rsidRPr="006E709F">
        <w:t> </w:t>
      </w:r>
      <w:r w:rsidR="003638DE" w:rsidRPr="006E709F">
        <w:t>1 (About [name of responsible entity])</w:t>
      </w:r>
      <w:bookmarkEnd w:id="161"/>
    </w:p>
    <w:p w:rsidR="003638DE" w:rsidRPr="006E709F" w:rsidRDefault="003638DE" w:rsidP="00A801D0">
      <w:pPr>
        <w:pStyle w:val="subsection"/>
      </w:pPr>
      <w:r w:rsidRPr="006E709F">
        <w:tab/>
        <w:t>(1)</w:t>
      </w:r>
      <w:r w:rsidRPr="006E709F">
        <w:tab/>
        <w:t>Section</w:t>
      </w:r>
      <w:r w:rsidR="00DA13DE" w:rsidRPr="006E709F">
        <w:t> </w:t>
      </w:r>
      <w:r w:rsidRPr="006E709F">
        <w:t>1 of the Product Disclosure Statement must describe, in the form of a summary:</w:t>
      </w:r>
    </w:p>
    <w:p w:rsidR="003638DE" w:rsidRPr="006E709F" w:rsidRDefault="003638DE" w:rsidP="00A801D0">
      <w:pPr>
        <w:pStyle w:val="paragraph"/>
      </w:pPr>
      <w:r w:rsidRPr="006E709F">
        <w:tab/>
        <w:t>(a)</w:t>
      </w:r>
      <w:r w:rsidRPr="006E709F">
        <w:tab/>
        <w:t>the responsible entity and its role in operating the simple managed investment scheme; and</w:t>
      </w:r>
    </w:p>
    <w:p w:rsidR="003638DE" w:rsidRPr="006E709F" w:rsidRDefault="003638DE" w:rsidP="00A801D0">
      <w:pPr>
        <w:pStyle w:val="paragraph"/>
      </w:pPr>
      <w:r w:rsidRPr="006E709F">
        <w:tab/>
        <w:t>(b)</w:t>
      </w:r>
      <w:r w:rsidRPr="006E709F">
        <w:tab/>
        <w:t>the investment manager, if the investment manager is different from the responsible entity.</w:t>
      </w:r>
    </w:p>
    <w:p w:rsidR="003638DE" w:rsidRPr="006E709F" w:rsidRDefault="003638DE" w:rsidP="00A801D0">
      <w:pPr>
        <w:pStyle w:val="subsection"/>
      </w:pPr>
      <w:r w:rsidRPr="006E709F">
        <w:tab/>
        <w:t>(2)</w:t>
      </w:r>
      <w:r w:rsidRPr="006E709F">
        <w:tab/>
        <w:t>If there is more than 1 investment manager, the Statement may describe a particular manager by applying, adopting or incorporating a matter in writing.</w:t>
      </w:r>
    </w:p>
    <w:p w:rsidR="003638DE" w:rsidRPr="006E709F" w:rsidRDefault="00C44525" w:rsidP="00A801D0">
      <w:pPr>
        <w:pStyle w:val="ActHead5"/>
      </w:pPr>
      <w:bookmarkStart w:id="162" w:name="_Toc160609849"/>
      <w:r w:rsidRPr="000C4237">
        <w:rPr>
          <w:rStyle w:val="CharSectno"/>
        </w:rPr>
        <w:t>4</w:t>
      </w:r>
      <w:r w:rsidRPr="006E709F">
        <w:t xml:space="preserve">  </w:t>
      </w:r>
      <w:r w:rsidR="003638DE" w:rsidRPr="006E709F">
        <w:t>Contents of section</w:t>
      </w:r>
      <w:r w:rsidR="00DA13DE" w:rsidRPr="006E709F">
        <w:t> </w:t>
      </w:r>
      <w:r w:rsidR="003638DE" w:rsidRPr="006E709F">
        <w:t>2 (How [name of simple managed investment scheme] works)</w:t>
      </w:r>
      <w:bookmarkEnd w:id="162"/>
    </w:p>
    <w:p w:rsidR="003638DE" w:rsidRPr="006E709F" w:rsidRDefault="003638DE" w:rsidP="00A801D0">
      <w:pPr>
        <w:pStyle w:val="subsection"/>
      </w:pPr>
      <w:r w:rsidRPr="006E709F">
        <w:tab/>
        <w:t>(1)</w:t>
      </w:r>
      <w:r w:rsidRPr="006E709F">
        <w:tab/>
        <w:t>Section</w:t>
      </w:r>
      <w:r w:rsidR="00DA13DE" w:rsidRPr="006E709F">
        <w:t> </w:t>
      </w:r>
      <w:r w:rsidRPr="006E709F">
        <w:t>2 of the Product Disclosure Statement must describe, in the form of a summary:</w:t>
      </w:r>
    </w:p>
    <w:p w:rsidR="003638DE" w:rsidRPr="006E709F" w:rsidRDefault="003638DE" w:rsidP="00A801D0">
      <w:pPr>
        <w:pStyle w:val="paragraph"/>
      </w:pPr>
      <w:r w:rsidRPr="006E709F">
        <w:tab/>
        <w:t>(a)</w:t>
      </w:r>
      <w:r w:rsidRPr="006E709F">
        <w:tab/>
        <w:t>how the simple managed investment works; and</w:t>
      </w:r>
    </w:p>
    <w:p w:rsidR="003638DE" w:rsidRPr="006E709F" w:rsidRDefault="003638DE" w:rsidP="00A801D0">
      <w:pPr>
        <w:pStyle w:val="paragraph"/>
      </w:pPr>
      <w:r w:rsidRPr="006E709F">
        <w:tab/>
        <w:t>(b)</w:t>
      </w:r>
      <w:r w:rsidRPr="006E709F">
        <w:tab/>
        <w:t>the interests that members acquire.</w:t>
      </w:r>
    </w:p>
    <w:p w:rsidR="003638DE" w:rsidRPr="006E709F" w:rsidRDefault="003638DE" w:rsidP="00A801D0">
      <w:pPr>
        <w:pStyle w:val="subsection"/>
      </w:pPr>
      <w:r w:rsidRPr="006E709F">
        <w:tab/>
        <w:t>(2)</w:t>
      </w:r>
      <w:r w:rsidRPr="006E709F">
        <w:tab/>
        <w:t>Section</w:t>
      </w:r>
      <w:r w:rsidR="00DA13DE" w:rsidRPr="006E709F">
        <w:t> </w:t>
      </w:r>
      <w:r w:rsidRPr="006E709F">
        <w:t>2 must:</w:t>
      </w:r>
    </w:p>
    <w:p w:rsidR="003638DE" w:rsidRPr="006E709F" w:rsidRDefault="003638DE" w:rsidP="00A801D0">
      <w:pPr>
        <w:pStyle w:val="paragraph"/>
      </w:pPr>
      <w:r w:rsidRPr="006E709F">
        <w:tab/>
        <w:t>(a)</w:t>
      </w:r>
      <w:r w:rsidRPr="006E709F">
        <w:tab/>
        <w:t>if applicable</w:t>
      </w:r>
      <w:r w:rsidR="00A801D0" w:rsidRPr="006E709F">
        <w:t>—</w:t>
      </w:r>
      <w:r w:rsidRPr="006E709F">
        <w:t>describe, in the form of a summary, the minimum investment amounts; and</w:t>
      </w:r>
    </w:p>
    <w:p w:rsidR="003638DE" w:rsidRPr="006E709F" w:rsidRDefault="003638DE" w:rsidP="00A801D0">
      <w:pPr>
        <w:pStyle w:val="paragraph"/>
      </w:pPr>
      <w:r w:rsidRPr="006E709F">
        <w:tab/>
        <w:t>(b)</w:t>
      </w:r>
      <w:r w:rsidRPr="006E709F">
        <w:tab/>
        <w:t>provide information about the structure of the simple managed investment scheme; and</w:t>
      </w:r>
    </w:p>
    <w:p w:rsidR="003638DE" w:rsidRPr="006E709F" w:rsidRDefault="003638DE" w:rsidP="00A801D0">
      <w:pPr>
        <w:pStyle w:val="paragraph"/>
      </w:pPr>
      <w:r w:rsidRPr="006E709F">
        <w:tab/>
        <w:t>(c)</w:t>
      </w:r>
      <w:r w:rsidRPr="006E709F">
        <w:tab/>
        <w:t>state, in general terms, that the price of interests will vary as the market value of assets in the simple managed investment scheme rises or falls; and</w:t>
      </w:r>
    </w:p>
    <w:p w:rsidR="003638DE" w:rsidRPr="006E709F" w:rsidRDefault="003638DE" w:rsidP="00A801D0">
      <w:pPr>
        <w:pStyle w:val="paragraph"/>
      </w:pPr>
      <w:r w:rsidRPr="006E709F">
        <w:tab/>
        <w:t>(d)</w:t>
      </w:r>
      <w:r w:rsidRPr="006E709F">
        <w:tab/>
        <w:t>describe, in the form of a summary, how members can increase or decrease their investment by acquiring interests or disposing of interests; and</w:t>
      </w:r>
    </w:p>
    <w:p w:rsidR="003638DE" w:rsidRPr="006E709F" w:rsidRDefault="003638DE" w:rsidP="00A801D0">
      <w:pPr>
        <w:pStyle w:val="paragraph"/>
      </w:pPr>
      <w:r w:rsidRPr="006E709F">
        <w:tab/>
        <w:t>(e)</w:t>
      </w:r>
      <w:r w:rsidRPr="006E709F">
        <w:tab/>
        <w:t>state, in general terms, that in some circumstances, such as when there is a freeze on withdrawals, members may not be able to withdraw their funds within the usual period upon request; and</w:t>
      </w:r>
    </w:p>
    <w:p w:rsidR="003638DE" w:rsidRPr="006E709F" w:rsidRDefault="003638DE" w:rsidP="00A801D0">
      <w:pPr>
        <w:pStyle w:val="paragraph"/>
      </w:pPr>
      <w:r w:rsidRPr="006E709F">
        <w:tab/>
        <w:t>(f)</w:t>
      </w:r>
      <w:r w:rsidRPr="006E709F">
        <w:tab/>
        <w:t>describe the frequency of distributions and explain how distributions are calculated.</w:t>
      </w:r>
    </w:p>
    <w:p w:rsidR="003638DE" w:rsidRPr="006E709F" w:rsidRDefault="003638DE" w:rsidP="00A801D0">
      <w:pPr>
        <w:pStyle w:val="subsection"/>
      </w:pPr>
      <w:r w:rsidRPr="006E709F">
        <w:tab/>
        <w:t>(3)</w:t>
      </w:r>
      <w:r w:rsidRPr="006E709F">
        <w:tab/>
        <w:t>The responsible entity:</w:t>
      </w:r>
    </w:p>
    <w:p w:rsidR="003638DE" w:rsidRPr="006E709F" w:rsidRDefault="003638DE" w:rsidP="00A801D0">
      <w:pPr>
        <w:pStyle w:val="paragraph"/>
      </w:pPr>
      <w:r w:rsidRPr="006E709F">
        <w:tab/>
        <w:t>(a)</w:t>
      </w:r>
      <w:r w:rsidRPr="006E709F">
        <w:tab/>
        <w:t>may provide more detailed information on the acquisition and disposal of interests; and</w:t>
      </w:r>
    </w:p>
    <w:p w:rsidR="003638DE" w:rsidRPr="006E709F" w:rsidRDefault="003638DE" w:rsidP="00A801D0">
      <w:pPr>
        <w:pStyle w:val="paragraph"/>
      </w:pPr>
      <w:r w:rsidRPr="006E709F">
        <w:tab/>
        <w:t>(b)</w:t>
      </w:r>
      <w:r w:rsidRPr="006E709F">
        <w:tab/>
        <w:t>may provide the information by applying, adopting or incorporating a matter in writing.</w:t>
      </w:r>
    </w:p>
    <w:p w:rsidR="003638DE" w:rsidRPr="006E709F" w:rsidRDefault="00C44525" w:rsidP="00A801D0">
      <w:pPr>
        <w:pStyle w:val="ActHead5"/>
      </w:pPr>
      <w:bookmarkStart w:id="163" w:name="_Toc160609850"/>
      <w:r w:rsidRPr="000C4237">
        <w:rPr>
          <w:rStyle w:val="CharSectno"/>
        </w:rPr>
        <w:t>5</w:t>
      </w:r>
      <w:r w:rsidRPr="006E709F">
        <w:t xml:space="preserve">  </w:t>
      </w:r>
      <w:r w:rsidR="003638DE" w:rsidRPr="006E709F">
        <w:t>Contents of section</w:t>
      </w:r>
      <w:r w:rsidR="00DA13DE" w:rsidRPr="006E709F">
        <w:t> </w:t>
      </w:r>
      <w:r w:rsidR="003638DE" w:rsidRPr="006E709F">
        <w:t>3 (Benefits of investing in [name of simple managed investment scheme])</w:t>
      </w:r>
      <w:bookmarkEnd w:id="163"/>
    </w:p>
    <w:p w:rsidR="003638DE" w:rsidRPr="006E709F" w:rsidRDefault="003638DE" w:rsidP="00A801D0">
      <w:pPr>
        <w:pStyle w:val="subsection"/>
      </w:pPr>
      <w:r w:rsidRPr="006E709F">
        <w:tab/>
        <w:t>(1)</w:t>
      </w:r>
      <w:r w:rsidRPr="006E709F">
        <w:tab/>
        <w:t>Section</w:t>
      </w:r>
      <w:r w:rsidR="00DA13DE" w:rsidRPr="006E709F">
        <w:t> </w:t>
      </w:r>
      <w:r w:rsidRPr="006E709F">
        <w:t>3 of the Product Disclosure Statement must, before setting out any other information, describe, in the form of a summary:</w:t>
      </w:r>
    </w:p>
    <w:p w:rsidR="003638DE" w:rsidRPr="006E709F" w:rsidRDefault="003638DE" w:rsidP="00A801D0">
      <w:pPr>
        <w:pStyle w:val="paragraph"/>
      </w:pPr>
      <w:r w:rsidRPr="006E709F">
        <w:tab/>
        <w:t>(a)</w:t>
      </w:r>
      <w:r w:rsidRPr="006E709F">
        <w:tab/>
        <w:t>the significant features of the simple managed investment scheme; and</w:t>
      </w:r>
    </w:p>
    <w:p w:rsidR="003638DE" w:rsidRPr="006E709F" w:rsidRDefault="003638DE" w:rsidP="00A801D0">
      <w:pPr>
        <w:pStyle w:val="paragraph"/>
      </w:pPr>
      <w:r w:rsidRPr="006E709F">
        <w:tab/>
        <w:t>(b)</w:t>
      </w:r>
      <w:r w:rsidRPr="006E709F">
        <w:tab/>
        <w:t>the significant benefits of the simple managed investment scheme.</w:t>
      </w:r>
    </w:p>
    <w:p w:rsidR="0060432E" w:rsidRPr="006E709F" w:rsidRDefault="0060432E" w:rsidP="00A801D0">
      <w:pPr>
        <w:pStyle w:val="subsection"/>
      </w:pPr>
      <w:r w:rsidRPr="006E709F">
        <w:tab/>
        <w:t>(2)</w:t>
      </w:r>
      <w:r w:rsidRPr="006E709F">
        <w:tab/>
        <w:t>The responsible entity may provide additional information about:</w:t>
      </w:r>
    </w:p>
    <w:p w:rsidR="0060432E" w:rsidRPr="006E709F" w:rsidRDefault="0060432E" w:rsidP="00A801D0">
      <w:pPr>
        <w:pStyle w:val="paragraph"/>
      </w:pPr>
      <w:r w:rsidRPr="006E709F">
        <w:tab/>
        <w:t>(a)</w:t>
      </w:r>
      <w:r w:rsidRPr="006E709F">
        <w:tab/>
        <w:t>any feature or benefit of the simple managed investment scheme; or</w:t>
      </w:r>
    </w:p>
    <w:p w:rsidR="0060432E" w:rsidRPr="006E709F" w:rsidRDefault="0060432E" w:rsidP="00A801D0">
      <w:pPr>
        <w:pStyle w:val="paragraph"/>
      </w:pPr>
      <w:r w:rsidRPr="006E709F">
        <w:tab/>
        <w:t>(b)</w:t>
      </w:r>
      <w:r w:rsidRPr="006E709F">
        <w:tab/>
        <w:t>other features and benefits of the simple managed investment scheme; or</w:t>
      </w:r>
    </w:p>
    <w:p w:rsidR="0060432E" w:rsidRPr="006E709F" w:rsidRDefault="0060432E" w:rsidP="00A801D0">
      <w:pPr>
        <w:pStyle w:val="paragraph"/>
      </w:pPr>
      <w:r w:rsidRPr="006E709F">
        <w:tab/>
        <w:t>(c)</w:t>
      </w:r>
      <w:r w:rsidRPr="006E709F">
        <w:tab/>
        <w:t>other features and benefits of simple managed investment schemes;</w:t>
      </w:r>
    </w:p>
    <w:p w:rsidR="0060432E" w:rsidRPr="006E709F" w:rsidRDefault="0060432E" w:rsidP="00A801D0">
      <w:pPr>
        <w:pStyle w:val="subsection2"/>
      </w:pPr>
      <w:r w:rsidRPr="006E709F">
        <w:t>by applying, adopting or incorporating a matter in writing.</w:t>
      </w:r>
    </w:p>
    <w:p w:rsidR="003638DE" w:rsidRPr="006E709F" w:rsidRDefault="00C44525" w:rsidP="00A801D0">
      <w:pPr>
        <w:pStyle w:val="ActHead5"/>
      </w:pPr>
      <w:bookmarkStart w:id="164" w:name="_Toc160609851"/>
      <w:r w:rsidRPr="000C4237">
        <w:rPr>
          <w:rStyle w:val="CharSectno"/>
        </w:rPr>
        <w:t>6</w:t>
      </w:r>
      <w:r w:rsidRPr="006E709F">
        <w:t xml:space="preserve">  </w:t>
      </w:r>
      <w:r w:rsidR="003638DE" w:rsidRPr="006E709F">
        <w:t>Contents of section</w:t>
      </w:r>
      <w:r w:rsidR="00DA13DE" w:rsidRPr="006E709F">
        <w:t> </w:t>
      </w:r>
      <w:r w:rsidR="003638DE" w:rsidRPr="006E709F">
        <w:t>4 (Risks of managed investment schemes)</w:t>
      </w:r>
      <w:bookmarkEnd w:id="164"/>
    </w:p>
    <w:p w:rsidR="003638DE" w:rsidRPr="006E709F" w:rsidRDefault="003638DE" w:rsidP="00A801D0">
      <w:pPr>
        <w:pStyle w:val="subsection"/>
      </w:pPr>
      <w:r w:rsidRPr="006E709F">
        <w:tab/>
        <w:t>(1)</w:t>
      </w:r>
      <w:r w:rsidRPr="006E709F">
        <w:tab/>
        <w:t>Section</w:t>
      </w:r>
      <w:r w:rsidR="00DA13DE" w:rsidRPr="006E709F">
        <w:t> </w:t>
      </w:r>
      <w:r w:rsidRPr="006E709F">
        <w:t>4 of the Product Disclosure Statement must include statements to the following effect:</w:t>
      </w:r>
    </w:p>
    <w:p w:rsidR="003638DE" w:rsidRPr="006E709F" w:rsidRDefault="003638DE" w:rsidP="00A801D0">
      <w:pPr>
        <w:pStyle w:val="paragraph"/>
      </w:pPr>
      <w:r w:rsidRPr="006E709F">
        <w:tab/>
        <w:t>(a)</w:t>
      </w:r>
      <w:r w:rsidRPr="006E709F">
        <w:tab/>
        <w:t>all investments carry risk;</w:t>
      </w:r>
    </w:p>
    <w:p w:rsidR="003638DE" w:rsidRPr="006E709F" w:rsidRDefault="003638DE" w:rsidP="00A801D0">
      <w:pPr>
        <w:pStyle w:val="paragraph"/>
      </w:pPr>
      <w:r w:rsidRPr="006E709F">
        <w:tab/>
        <w:t>(b)</w:t>
      </w:r>
      <w:r w:rsidRPr="006E709F">
        <w:tab/>
        <w:t>different strategies may carry different levels of risk, depending on the assets that make up the strategy;</w:t>
      </w:r>
    </w:p>
    <w:p w:rsidR="003638DE" w:rsidRPr="006E709F" w:rsidRDefault="003638DE" w:rsidP="00A801D0">
      <w:pPr>
        <w:pStyle w:val="paragraph"/>
      </w:pPr>
      <w:r w:rsidRPr="006E709F">
        <w:tab/>
        <w:t>(c)</w:t>
      </w:r>
      <w:r w:rsidRPr="006E709F">
        <w:tab/>
        <w:t>assets with the highest long</w:t>
      </w:r>
      <w:r w:rsidR="000C4237">
        <w:noBreakHyphen/>
      </w:r>
      <w:r w:rsidRPr="006E709F">
        <w:t>term returns may also carry the highest level of short</w:t>
      </w:r>
      <w:r w:rsidR="000C4237">
        <w:noBreakHyphen/>
      </w:r>
      <w:r w:rsidRPr="006E709F">
        <w:t>term risk.</w:t>
      </w:r>
    </w:p>
    <w:p w:rsidR="003638DE" w:rsidRPr="006E709F" w:rsidRDefault="003638DE" w:rsidP="00A801D0">
      <w:pPr>
        <w:pStyle w:val="subsection"/>
      </w:pPr>
      <w:r w:rsidRPr="006E709F">
        <w:tab/>
        <w:t>(2)</w:t>
      </w:r>
      <w:r w:rsidRPr="006E709F">
        <w:tab/>
        <w:t>Section</w:t>
      </w:r>
      <w:r w:rsidR="00DA13DE" w:rsidRPr="006E709F">
        <w:t> </w:t>
      </w:r>
      <w:r w:rsidRPr="006E709F">
        <w:t>4 must describe, in the form of a summary, the significant risks of the particular simple managed investment scheme.</w:t>
      </w:r>
    </w:p>
    <w:p w:rsidR="003638DE" w:rsidRPr="006E709F" w:rsidRDefault="003638DE" w:rsidP="00A801D0">
      <w:pPr>
        <w:pStyle w:val="subsection"/>
      </w:pPr>
      <w:r w:rsidRPr="006E709F">
        <w:tab/>
        <w:t>(3)</w:t>
      </w:r>
      <w:r w:rsidRPr="006E709F">
        <w:tab/>
        <w:t>Section</w:t>
      </w:r>
      <w:r w:rsidR="00DA13DE" w:rsidRPr="006E709F">
        <w:t> </w:t>
      </w:r>
      <w:r w:rsidRPr="006E709F">
        <w:t xml:space="preserve">4 must describe the significant risks of managed investment schemes (to the extent only that the description required by </w:t>
      </w:r>
      <w:r w:rsidR="00DA13DE" w:rsidRPr="006E709F">
        <w:t>subitem (</w:t>
      </w:r>
      <w:r w:rsidRPr="006E709F">
        <w:t>2) has not already described the risk) by including statements to the following effect:</w:t>
      </w:r>
    </w:p>
    <w:p w:rsidR="003638DE" w:rsidRPr="006E709F" w:rsidRDefault="003638DE" w:rsidP="00A801D0">
      <w:pPr>
        <w:pStyle w:val="paragraph"/>
      </w:pPr>
      <w:r w:rsidRPr="006E709F">
        <w:tab/>
        <w:t>(a)</w:t>
      </w:r>
      <w:r w:rsidRPr="006E709F">
        <w:tab/>
        <w:t>the value of investments will vary;</w:t>
      </w:r>
    </w:p>
    <w:p w:rsidR="003638DE" w:rsidRPr="006E709F" w:rsidRDefault="003638DE" w:rsidP="00A801D0">
      <w:pPr>
        <w:pStyle w:val="paragraph"/>
      </w:pPr>
      <w:r w:rsidRPr="006E709F">
        <w:tab/>
        <w:t>(b)</w:t>
      </w:r>
      <w:r w:rsidRPr="006E709F">
        <w:tab/>
        <w:t>the level of returns will vary, and future returns may differ from past returns;</w:t>
      </w:r>
    </w:p>
    <w:p w:rsidR="003638DE" w:rsidRPr="006E709F" w:rsidRDefault="003638DE" w:rsidP="00A801D0">
      <w:pPr>
        <w:pStyle w:val="paragraph"/>
      </w:pPr>
      <w:r w:rsidRPr="006E709F">
        <w:tab/>
        <w:t>(c)</w:t>
      </w:r>
      <w:r w:rsidRPr="006E709F">
        <w:tab/>
        <w:t>returns are not guaranteed, and members may lose some of their money;</w:t>
      </w:r>
    </w:p>
    <w:p w:rsidR="003638DE" w:rsidRPr="006E709F" w:rsidRDefault="003638DE" w:rsidP="00A801D0">
      <w:pPr>
        <w:pStyle w:val="paragraph"/>
      </w:pPr>
      <w:r w:rsidRPr="006E709F">
        <w:tab/>
        <w:t>(d)</w:t>
      </w:r>
      <w:r w:rsidRPr="006E709F">
        <w:tab/>
        <w:t xml:space="preserve">laws affecting </w:t>
      </w:r>
      <w:r w:rsidR="00333B75" w:rsidRPr="006E709F">
        <w:t>registered schemes</w:t>
      </w:r>
      <w:r w:rsidRPr="006E709F">
        <w:t xml:space="preserve"> may change in the future;</w:t>
      </w:r>
    </w:p>
    <w:p w:rsidR="003638DE" w:rsidRPr="006E709F" w:rsidRDefault="003638DE" w:rsidP="00A801D0">
      <w:pPr>
        <w:pStyle w:val="paragraph"/>
      </w:pPr>
      <w:r w:rsidRPr="006E709F">
        <w:tab/>
        <w:t>(e)</w:t>
      </w:r>
      <w:r w:rsidRPr="006E709F">
        <w:tab/>
        <w:t>the level of risk for each person will vary depending on a range of factors, including:</w:t>
      </w:r>
    </w:p>
    <w:p w:rsidR="003638DE" w:rsidRPr="006E709F" w:rsidRDefault="003638DE" w:rsidP="00A801D0">
      <w:pPr>
        <w:pStyle w:val="paragraphsub"/>
      </w:pPr>
      <w:r w:rsidRPr="006E709F">
        <w:tab/>
        <w:t>(i)</w:t>
      </w:r>
      <w:r w:rsidRPr="006E709F">
        <w:tab/>
        <w:t>age; and</w:t>
      </w:r>
    </w:p>
    <w:p w:rsidR="003638DE" w:rsidRPr="006E709F" w:rsidRDefault="003638DE" w:rsidP="00A801D0">
      <w:pPr>
        <w:pStyle w:val="paragraphsub"/>
      </w:pPr>
      <w:r w:rsidRPr="006E709F">
        <w:tab/>
        <w:t>(ii)</w:t>
      </w:r>
      <w:r w:rsidRPr="006E709F">
        <w:tab/>
        <w:t>investment time frames; and</w:t>
      </w:r>
    </w:p>
    <w:p w:rsidR="003638DE" w:rsidRPr="006E709F" w:rsidRDefault="003638DE" w:rsidP="00A801D0">
      <w:pPr>
        <w:pStyle w:val="paragraphsub"/>
      </w:pPr>
      <w:r w:rsidRPr="006E709F">
        <w:tab/>
        <w:t>(iii)</w:t>
      </w:r>
      <w:r w:rsidRPr="006E709F">
        <w:tab/>
        <w:t>where other parts of the member’s wealth are invested; and</w:t>
      </w:r>
    </w:p>
    <w:p w:rsidR="003638DE" w:rsidRPr="006E709F" w:rsidRDefault="003638DE" w:rsidP="00A801D0">
      <w:pPr>
        <w:pStyle w:val="paragraphsub"/>
      </w:pPr>
      <w:r w:rsidRPr="006E709F">
        <w:tab/>
        <w:t>(iv)</w:t>
      </w:r>
      <w:r w:rsidRPr="006E709F">
        <w:tab/>
        <w:t>the member’s risk tolerance.</w:t>
      </w:r>
    </w:p>
    <w:p w:rsidR="003638DE" w:rsidRPr="006E709F" w:rsidRDefault="003638DE" w:rsidP="00A801D0">
      <w:pPr>
        <w:pStyle w:val="subsection"/>
      </w:pPr>
      <w:r w:rsidRPr="006E709F">
        <w:tab/>
        <w:t>(4)</w:t>
      </w:r>
      <w:r w:rsidRPr="006E709F">
        <w:tab/>
        <w:t>The responsible entity may provide additional information about significant risks of managed investment schemes by applying, adopting or incorporating a matter in writing.</w:t>
      </w:r>
    </w:p>
    <w:p w:rsidR="003638DE" w:rsidRPr="006E709F" w:rsidRDefault="00C44525" w:rsidP="00A801D0">
      <w:pPr>
        <w:pStyle w:val="ActHead5"/>
      </w:pPr>
      <w:bookmarkStart w:id="165" w:name="_Toc160609852"/>
      <w:r w:rsidRPr="000C4237">
        <w:rPr>
          <w:rStyle w:val="CharSectno"/>
        </w:rPr>
        <w:t>7</w:t>
      </w:r>
      <w:r w:rsidRPr="006E709F">
        <w:t xml:space="preserve">  </w:t>
      </w:r>
      <w:r w:rsidR="003638DE" w:rsidRPr="006E709F">
        <w:t>Contents of section</w:t>
      </w:r>
      <w:r w:rsidR="00DA13DE" w:rsidRPr="006E709F">
        <w:t> </w:t>
      </w:r>
      <w:r w:rsidR="003638DE" w:rsidRPr="006E709F">
        <w:t>5 (How we invest your money)</w:t>
      </w:r>
      <w:bookmarkEnd w:id="165"/>
    </w:p>
    <w:p w:rsidR="003638DE" w:rsidRPr="006E709F" w:rsidRDefault="003638DE" w:rsidP="00A801D0">
      <w:pPr>
        <w:pStyle w:val="subsection"/>
      </w:pPr>
      <w:r w:rsidRPr="006E709F">
        <w:tab/>
        <w:t>(1)</w:t>
      </w:r>
      <w:r w:rsidRPr="006E709F">
        <w:tab/>
        <w:t>Section</w:t>
      </w:r>
      <w:r w:rsidR="00DA13DE" w:rsidRPr="006E709F">
        <w:t> </w:t>
      </w:r>
      <w:r w:rsidRPr="006E709F">
        <w:t>5 of the Product Disclosure Statement must describe, in the form of a summary, the investment options offered by the simple managed investment scheme.</w:t>
      </w:r>
    </w:p>
    <w:p w:rsidR="003638DE" w:rsidRPr="006E709F" w:rsidRDefault="003638DE" w:rsidP="00A801D0">
      <w:pPr>
        <w:pStyle w:val="subsection"/>
      </w:pPr>
      <w:r w:rsidRPr="006E709F">
        <w:tab/>
        <w:t>(2)</w:t>
      </w:r>
      <w:r w:rsidRPr="006E709F">
        <w:tab/>
        <w:t>Section</w:t>
      </w:r>
      <w:r w:rsidR="00DA13DE" w:rsidRPr="006E709F">
        <w:t> </w:t>
      </w:r>
      <w:r w:rsidRPr="006E709F">
        <w:t>5 must state, in the form of a warning, that the person should consider:</w:t>
      </w:r>
    </w:p>
    <w:p w:rsidR="003638DE" w:rsidRPr="006E709F" w:rsidRDefault="003638DE" w:rsidP="00A801D0">
      <w:pPr>
        <w:pStyle w:val="paragraph"/>
      </w:pPr>
      <w:r w:rsidRPr="006E709F">
        <w:tab/>
        <w:t>(a)</w:t>
      </w:r>
      <w:r w:rsidRPr="006E709F">
        <w:tab/>
        <w:t>the likely investment return; and</w:t>
      </w:r>
    </w:p>
    <w:p w:rsidR="003638DE" w:rsidRPr="006E709F" w:rsidRDefault="003638DE" w:rsidP="00A801D0">
      <w:pPr>
        <w:pStyle w:val="paragraph"/>
      </w:pPr>
      <w:r w:rsidRPr="006E709F">
        <w:tab/>
        <w:t>(b)</w:t>
      </w:r>
      <w:r w:rsidRPr="006E709F">
        <w:tab/>
        <w:t>the risk; and</w:t>
      </w:r>
    </w:p>
    <w:p w:rsidR="003638DE" w:rsidRPr="006E709F" w:rsidRDefault="003638DE" w:rsidP="00A801D0">
      <w:pPr>
        <w:pStyle w:val="paragraph"/>
      </w:pPr>
      <w:r w:rsidRPr="006E709F">
        <w:tab/>
        <w:t>(c)</w:t>
      </w:r>
      <w:r w:rsidRPr="006E709F">
        <w:tab/>
        <w:t>the person’s investment timeframe;</w:t>
      </w:r>
    </w:p>
    <w:p w:rsidR="003638DE" w:rsidRPr="006E709F" w:rsidRDefault="003638DE" w:rsidP="00A801D0">
      <w:pPr>
        <w:pStyle w:val="subsection2"/>
      </w:pPr>
      <w:r w:rsidRPr="006E709F">
        <w:t>when choosing an option in which to invest.</w:t>
      </w:r>
    </w:p>
    <w:p w:rsidR="00083EFC" w:rsidRPr="006E709F" w:rsidRDefault="00083EFC" w:rsidP="00A801D0">
      <w:pPr>
        <w:pStyle w:val="SubsectionHead"/>
      </w:pPr>
      <w:r w:rsidRPr="006E709F">
        <w:t>New simple managed investment scheme</w:t>
      </w:r>
    </w:p>
    <w:p w:rsidR="00083EFC" w:rsidRPr="006E709F" w:rsidRDefault="00083EFC" w:rsidP="00A801D0">
      <w:pPr>
        <w:pStyle w:val="subsection"/>
      </w:pPr>
      <w:r w:rsidRPr="006E709F">
        <w:tab/>
        <w:t>(3)</w:t>
      </w:r>
      <w:r w:rsidRPr="006E709F">
        <w:tab/>
        <w:t xml:space="preserve">If the simple managed investment scheme has never previously been offered to investors, and does not offer any investment option mentioned in </w:t>
      </w:r>
      <w:r w:rsidR="00DA13DE" w:rsidRPr="006E709F">
        <w:t>subclauses (</w:t>
      </w:r>
      <w:r w:rsidRPr="006E709F">
        <w:t>4) and (5) about which section</w:t>
      </w:r>
      <w:r w:rsidR="00DA13DE" w:rsidRPr="006E709F">
        <w:t> </w:t>
      </w:r>
      <w:r w:rsidRPr="006E709F">
        <w:t>5 can give information, section</w:t>
      </w:r>
      <w:r w:rsidR="00DA13DE" w:rsidRPr="006E709F">
        <w:t> </w:t>
      </w:r>
      <w:r w:rsidRPr="006E709F">
        <w:t>5 must give the following information for the investment option that the responsible entity reasonably believes has the least volatile underlying assets (whether or not section</w:t>
      </w:r>
      <w:r w:rsidR="00DA13DE" w:rsidRPr="006E709F">
        <w:t> </w:t>
      </w:r>
      <w:r w:rsidRPr="006E709F">
        <w:t>5 gives that information for any other investment option):</w:t>
      </w:r>
    </w:p>
    <w:p w:rsidR="00083EFC" w:rsidRPr="006E709F" w:rsidRDefault="00083EFC" w:rsidP="00A801D0">
      <w:pPr>
        <w:pStyle w:val="paragraph"/>
      </w:pPr>
      <w:r w:rsidRPr="006E709F">
        <w:tab/>
        <w:t>(a)</w:t>
      </w:r>
      <w:r w:rsidRPr="006E709F">
        <w:tab/>
        <w:t>the name of the option and a short description of it, including the type of investors for whom it is intended to be suitable;</w:t>
      </w:r>
    </w:p>
    <w:p w:rsidR="00083EFC" w:rsidRPr="006E709F" w:rsidRDefault="00083EFC" w:rsidP="00A801D0">
      <w:pPr>
        <w:pStyle w:val="paragraph"/>
      </w:pPr>
      <w:r w:rsidRPr="006E709F">
        <w:tab/>
        <w:t>(b)</w:t>
      </w:r>
      <w:r w:rsidRPr="006E709F">
        <w:tab/>
        <w:t>a list of the asset classes in which the option invests, setting out the strategic asset allocation of the asset classes in the form of a range or otherwise;</w:t>
      </w:r>
    </w:p>
    <w:p w:rsidR="00083EFC" w:rsidRPr="006E709F" w:rsidRDefault="00083EFC" w:rsidP="00A801D0">
      <w:pPr>
        <w:pStyle w:val="paragraph"/>
      </w:pPr>
      <w:r w:rsidRPr="006E709F">
        <w:tab/>
        <w:t>(c)</w:t>
      </w:r>
      <w:r w:rsidRPr="006E709F">
        <w:tab/>
        <w:t>a description of the investment return objective of the option;</w:t>
      </w:r>
    </w:p>
    <w:p w:rsidR="00083EFC" w:rsidRPr="006E709F" w:rsidRDefault="00083EFC" w:rsidP="00A801D0">
      <w:pPr>
        <w:pStyle w:val="paragraph"/>
      </w:pPr>
      <w:r w:rsidRPr="006E709F">
        <w:tab/>
        <w:t>(d)</w:t>
      </w:r>
      <w:r w:rsidRPr="006E709F">
        <w:tab/>
        <w:t>the minimum suggested time frame for holding the investment;</w:t>
      </w:r>
    </w:p>
    <w:p w:rsidR="00083EFC" w:rsidRPr="006E709F" w:rsidRDefault="00083EFC" w:rsidP="00A801D0">
      <w:pPr>
        <w:pStyle w:val="paragraph"/>
      </w:pPr>
      <w:r w:rsidRPr="006E709F">
        <w:tab/>
        <w:t>(e)</w:t>
      </w:r>
      <w:r w:rsidRPr="006E709F">
        <w:tab/>
        <w:t>a description, in the form of a summary, of the risk level of the option.</w:t>
      </w:r>
    </w:p>
    <w:p w:rsidR="00083EFC" w:rsidRPr="006E709F" w:rsidRDefault="00083EFC" w:rsidP="00A801D0">
      <w:pPr>
        <w:pStyle w:val="SubsectionHead"/>
      </w:pPr>
      <w:r w:rsidRPr="006E709F">
        <w:t>Balanced investment option</w:t>
      </w:r>
    </w:p>
    <w:p w:rsidR="00083EFC" w:rsidRPr="006E709F" w:rsidRDefault="00083EFC" w:rsidP="00A801D0">
      <w:pPr>
        <w:pStyle w:val="subsection"/>
      </w:pPr>
      <w:r w:rsidRPr="006E709F">
        <w:tab/>
        <w:t>(4)</w:t>
      </w:r>
      <w:r w:rsidRPr="006E709F">
        <w:tab/>
        <w:t>If the simple managed investment scheme has a balanced investment option (within the meaning given by item</w:t>
      </w:r>
      <w:r w:rsidR="00DA13DE" w:rsidRPr="006E709F">
        <w:t> </w:t>
      </w:r>
      <w:r w:rsidRPr="006E709F">
        <w:t>101 of Schedule</w:t>
      </w:r>
      <w:r w:rsidR="00DA13DE" w:rsidRPr="006E709F">
        <w:t> </w:t>
      </w:r>
      <w:r w:rsidRPr="006E709F">
        <w:t>10), section</w:t>
      </w:r>
      <w:r w:rsidR="00DA13DE" w:rsidRPr="006E709F">
        <w:t> </w:t>
      </w:r>
      <w:r w:rsidRPr="006E709F">
        <w:t>5 must give the following information for the balanced investment option (whether or not section</w:t>
      </w:r>
      <w:r w:rsidR="00DA13DE" w:rsidRPr="006E709F">
        <w:t> </w:t>
      </w:r>
      <w:r w:rsidRPr="006E709F">
        <w:t>5 gives that information for any other investment option):</w:t>
      </w:r>
    </w:p>
    <w:p w:rsidR="00083EFC" w:rsidRPr="006E709F" w:rsidRDefault="00083EFC" w:rsidP="00A801D0">
      <w:pPr>
        <w:pStyle w:val="paragraph"/>
      </w:pPr>
      <w:r w:rsidRPr="006E709F">
        <w:tab/>
        <w:t>(a)</w:t>
      </w:r>
      <w:r w:rsidRPr="006E709F">
        <w:tab/>
        <w:t>the name of the option and a short description of it, including the type of investors for whom it is intended to be suitable;</w:t>
      </w:r>
    </w:p>
    <w:p w:rsidR="00083EFC" w:rsidRPr="006E709F" w:rsidRDefault="00083EFC" w:rsidP="00A801D0">
      <w:pPr>
        <w:pStyle w:val="paragraph"/>
      </w:pPr>
      <w:r w:rsidRPr="006E709F">
        <w:tab/>
        <w:t>(b)</w:t>
      </w:r>
      <w:r w:rsidRPr="006E709F">
        <w:tab/>
        <w:t>a list of the asset classes in which the option invests, setting out the strategic asset allocation of the asset classes in the form of a range or otherwise;</w:t>
      </w:r>
    </w:p>
    <w:p w:rsidR="00083EFC" w:rsidRPr="006E709F" w:rsidRDefault="00083EFC" w:rsidP="00A801D0">
      <w:pPr>
        <w:pStyle w:val="paragraph"/>
      </w:pPr>
      <w:r w:rsidRPr="006E709F">
        <w:tab/>
        <w:t>(c)</w:t>
      </w:r>
      <w:r w:rsidRPr="006E709F">
        <w:tab/>
        <w:t>a description of the investment return objective of the option;</w:t>
      </w:r>
    </w:p>
    <w:p w:rsidR="00083EFC" w:rsidRPr="006E709F" w:rsidRDefault="00083EFC" w:rsidP="00A801D0">
      <w:pPr>
        <w:pStyle w:val="paragraph"/>
      </w:pPr>
      <w:r w:rsidRPr="006E709F">
        <w:tab/>
        <w:t>(d)</w:t>
      </w:r>
      <w:r w:rsidRPr="006E709F">
        <w:tab/>
        <w:t>the minimum suggested time frame for holding the investment;</w:t>
      </w:r>
    </w:p>
    <w:p w:rsidR="00083EFC" w:rsidRPr="006E709F" w:rsidRDefault="00083EFC" w:rsidP="00A801D0">
      <w:pPr>
        <w:pStyle w:val="paragraph"/>
      </w:pPr>
      <w:r w:rsidRPr="006E709F">
        <w:tab/>
        <w:t>(e)</w:t>
      </w:r>
      <w:r w:rsidRPr="006E709F">
        <w:tab/>
        <w:t>a description, in the form of a summary, of the risk level of the option.</w:t>
      </w:r>
    </w:p>
    <w:p w:rsidR="00083EFC" w:rsidRPr="006E709F" w:rsidRDefault="00083EFC" w:rsidP="00A801D0">
      <w:pPr>
        <w:pStyle w:val="SubsectionHead"/>
      </w:pPr>
      <w:r w:rsidRPr="006E709F">
        <w:t>No balanced investment option</w:t>
      </w:r>
    </w:p>
    <w:p w:rsidR="00083EFC" w:rsidRPr="006E709F" w:rsidRDefault="00083EFC" w:rsidP="00A801D0">
      <w:pPr>
        <w:pStyle w:val="subsection"/>
      </w:pPr>
      <w:r w:rsidRPr="006E709F">
        <w:tab/>
        <w:t>(5)</w:t>
      </w:r>
      <w:r w:rsidRPr="006E709F">
        <w:tab/>
        <w:t>If the simple managed investment scheme does not have a balanced investment option (within the meaning given by item</w:t>
      </w:r>
      <w:r w:rsidR="00DA13DE" w:rsidRPr="006E709F">
        <w:t> </w:t>
      </w:r>
      <w:r w:rsidRPr="006E709F">
        <w:t>101 of Schedule</w:t>
      </w:r>
      <w:r w:rsidR="00DA13DE" w:rsidRPr="006E709F">
        <w:t> </w:t>
      </w:r>
      <w:r w:rsidRPr="006E709F">
        <w:t>10), section</w:t>
      </w:r>
      <w:r w:rsidR="00DA13DE" w:rsidRPr="006E709F">
        <w:t> </w:t>
      </w:r>
      <w:r w:rsidRPr="006E709F">
        <w:t>5 must give the following information for the investment option under which the entity has the most funds invested (whether or not section</w:t>
      </w:r>
      <w:r w:rsidR="00DA13DE" w:rsidRPr="006E709F">
        <w:t> </w:t>
      </w:r>
      <w:r w:rsidRPr="006E709F">
        <w:t>5 gives that information for any other investment option):</w:t>
      </w:r>
    </w:p>
    <w:p w:rsidR="00083EFC" w:rsidRPr="006E709F" w:rsidRDefault="00083EFC" w:rsidP="00A801D0">
      <w:pPr>
        <w:pStyle w:val="paragraph"/>
      </w:pPr>
      <w:r w:rsidRPr="006E709F">
        <w:tab/>
        <w:t>(a)</w:t>
      </w:r>
      <w:r w:rsidRPr="006E709F">
        <w:tab/>
        <w:t>the name of the option and a short description of it, including the type of investors for whom it is intended to be suitable;</w:t>
      </w:r>
    </w:p>
    <w:p w:rsidR="00083EFC" w:rsidRPr="006E709F" w:rsidRDefault="00083EFC" w:rsidP="00A801D0">
      <w:pPr>
        <w:pStyle w:val="paragraph"/>
      </w:pPr>
      <w:r w:rsidRPr="006E709F">
        <w:tab/>
        <w:t>(b)</w:t>
      </w:r>
      <w:r w:rsidRPr="006E709F">
        <w:tab/>
        <w:t>a list of the asset classes in which the option invests, setting out the strategic asset allocation of the asset classes in the form of a range or otherwise;</w:t>
      </w:r>
    </w:p>
    <w:p w:rsidR="00083EFC" w:rsidRPr="006E709F" w:rsidRDefault="00083EFC" w:rsidP="00A801D0">
      <w:pPr>
        <w:pStyle w:val="paragraph"/>
      </w:pPr>
      <w:r w:rsidRPr="006E709F">
        <w:tab/>
        <w:t>(c)</w:t>
      </w:r>
      <w:r w:rsidRPr="006E709F">
        <w:tab/>
        <w:t>a description of the investment return objective of the option;</w:t>
      </w:r>
    </w:p>
    <w:p w:rsidR="00083EFC" w:rsidRPr="006E709F" w:rsidRDefault="00083EFC" w:rsidP="00A801D0">
      <w:pPr>
        <w:pStyle w:val="paragraph"/>
      </w:pPr>
      <w:r w:rsidRPr="006E709F">
        <w:tab/>
        <w:t>(d)</w:t>
      </w:r>
      <w:r w:rsidRPr="006E709F">
        <w:tab/>
        <w:t>the minimum suggested time frame for holding the investment;</w:t>
      </w:r>
    </w:p>
    <w:p w:rsidR="00083EFC" w:rsidRPr="006E709F" w:rsidRDefault="00083EFC" w:rsidP="00A801D0">
      <w:pPr>
        <w:pStyle w:val="paragraph"/>
      </w:pPr>
      <w:r w:rsidRPr="006E709F">
        <w:tab/>
        <w:t>(e)</w:t>
      </w:r>
      <w:r w:rsidRPr="006E709F">
        <w:tab/>
        <w:t>a description, in the form of a summary, of the risk level of the option.</w:t>
      </w:r>
    </w:p>
    <w:p w:rsidR="003638DE" w:rsidRPr="006E709F" w:rsidRDefault="003638DE" w:rsidP="00A801D0">
      <w:pPr>
        <w:pStyle w:val="subsection"/>
      </w:pPr>
      <w:r w:rsidRPr="006E709F">
        <w:tab/>
        <w:t>(6)</w:t>
      </w:r>
      <w:r w:rsidRPr="006E709F">
        <w:tab/>
        <w:t>Section</w:t>
      </w:r>
      <w:r w:rsidR="00DA13DE" w:rsidRPr="006E709F">
        <w:t> </w:t>
      </w:r>
      <w:r w:rsidRPr="006E709F">
        <w:t>5:</w:t>
      </w:r>
    </w:p>
    <w:p w:rsidR="003638DE" w:rsidRPr="006E709F" w:rsidRDefault="003638DE" w:rsidP="00A801D0">
      <w:pPr>
        <w:pStyle w:val="paragraph"/>
      </w:pPr>
      <w:r w:rsidRPr="006E709F">
        <w:tab/>
        <w:t>(a)</w:t>
      </w:r>
      <w:r w:rsidRPr="006E709F">
        <w:tab/>
        <w:t>must make provision for each investment option which is not presented in section</w:t>
      </w:r>
      <w:r w:rsidR="00DA13DE" w:rsidRPr="006E709F">
        <w:t> </w:t>
      </w:r>
      <w:r w:rsidRPr="006E709F">
        <w:t xml:space="preserve">5 in accordance with </w:t>
      </w:r>
      <w:r w:rsidR="00DA13DE" w:rsidRPr="006E709F">
        <w:t>subclause (</w:t>
      </w:r>
      <w:r w:rsidRPr="006E709F">
        <w:t>3), (4) or (5); and</w:t>
      </w:r>
    </w:p>
    <w:p w:rsidR="003638DE" w:rsidRPr="006E709F" w:rsidRDefault="003638DE" w:rsidP="00A801D0">
      <w:pPr>
        <w:pStyle w:val="paragraph"/>
      </w:pPr>
      <w:r w:rsidRPr="006E709F">
        <w:tab/>
        <w:t>(b)</w:t>
      </w:r>
      <w:r w:rsidRPr="006E709F">
        <w:tab/>
        <w:t>may make provision for the option by applying, adopting or incorporating matter in a document that:</w:t>
      </w:r>
    </w:p>
    <w:p w:rsidR="003638DE" w:rsidRPr="006E709F" w:rsidRDefault="003638DE" w:rsidP="00A801D0">
      <w:pPr>
        <w:pStyle w:val="paragraphsub"/>
      </w:pPr>
      <w:r w:rsidRPr="006E709F">
        <w:tab/>
        <w:t>(i)</w:t>
      </w:r>
      <w:r w:rsidRPr="006E709F">
        <w:tab/>
        <w:t>includes the information mentioned in</w:t>
      </w:r>
      <w:r w:rsidR="00083EFC" w:rsidRPr="006E709F">
        <w:t xml:space="preserve"> </w:t>
      </w:r>
      <w:r w:rsidR="00DA13DE" w:rsidRPr="006E709F">
        <w:t>subclause (</w:t>
      </w:r>
      <w:r w:rsidR="00083EFC" w:rsidRPr="006E709F">
        <w:t>3), (4) or (5)</w:t>
      </w:r>
      <w:r w:rsidRPr="006E709F">
        <w:t>; and</w:t>
      </w:r>
    </w:p>
    <w:p w:rsidR="003638DE" w:rsidRPr="006E709F" w:rsidRDefault="003638DE" w:rsidP="00A801D0">
      <w:pPr>
        <w:pStyle w:val="paragraphsub"/>
      </w:pPr>
      <w:r w:rsidRPr="006E709F">
        <w:tab/>
        <w:t>(ii)</w:t>
      </w:r>
      <w:r w:rsidRPr="006E709F">
        <w:tab/>
        <w:t>presents it in the way mentioned in the subclause.</w:t>
      </w:r>
    </w:p>
    <w:p w:rsidR="003638DE" w:rsidRPr="006E709F" w:rsidRDefault="003638DE" w:rsidP="00A801D0">
      <w:pPr>
        <w:pStyle w:val="subsection"/>
      </w:pPr>
      <w:r w:rsidRPr="006E709F">
        <w:tab/>
        <w:t>(7)</w:t>
      </w:r>
      <w:r w:rsidRPr="006E709F">
        <w:tab/>
        <w:t>The responsible entity:</w:t>
      </w:r>
    </w:p>
    <w:p w:rsidR="003638DE" w:rsidRPr="006E709F" w:rsidRDefault="003638DE" w:rsidP="00A801D0">
      <w:pPr>
        <w:pStyle w:val="paragraph"/>
      </w:pPr>
      <w:r w:rsidRPr="006E709F">
        <w:tab/>
        <w:t>(a)</w:t>
      </w:r>
      <w:r w:rsidRPr="006E709F">
        <w:tab/>
        <w:t>must provide information about how a member may switch the member’s investments; and</w:t>
      </w:r>
    </w:p>
    <w:p w:rsidR="003638DE" w:rsidRPr="006E709F" w:rsidRDefault="003638DE" w:rsidP="00A801D0">
      <w:pPr>
        <w:pStyle w:val="paragraph"/>
      </w:pPr>
      <w:r w:rsidRPr="006E709F">
        <w:tab/>
        <w:t>(b)</w:t>
      </w:r>
      <w:r w:rsidRPr="006E709F">
        <w:tab/>
        <w:t>must provide information about:</w:t>
      </w:r>
    </w:p>
    <w:p w:rsidR="003638DE" w:rsidRPr="006E709F" w:rsidRDefault="003638DE" w:rsidP="00A801D0">
      <w:pPr>
        <w:pStyle w:val="paragraphsub"/>
      </w:pPr>
      <w:r w:rsidRPr="006E709F">
        <w:tab/>
        <w:t>(i)</w:t>
      </w:r>
      <w:r w:rsidRPr="006E709F">
        <w:tab/>
        <w:t>whether the simple managed investment scheme’s investment options may be changed; and</w:t>
      </w:r>
    </w:p>
    <w:p w:rsidR="003638DE" w:rsidRPr="006E709F" w:rsidRDefault="003638DE" w:rsidP="00A801D0">
      <w:pPr>
        <w:pStyle w:val="paragraphsub"/>
      </w:pPr>
      <w:r w:rsidRPr="006E709F">
        <w:tab/>
        <w:t>(ii)</w:t>
      </w:r>
      <w:r w:rsidRPr="006E709F">
        <w:tab/>
        <w:t>if so, how the options may be changed; and</w:t>
      </w:r>
    </w:p>
    <w:p w:rsidR="003638DE" w:rsidRPr="006E709F" w:rsidRDefault="003638DE" w:rsidP="00A801D0">
      <w:pPr>
        <w:pStyle w:val="paragraph"/>
      </w:pPr>
      <w:r w:rsidRPr="006E709F">
        <w:tab/>
        <w:t>(c)</w:t>
      </w:r>
      <w:r w:rsidRPr="006E709F">
        <w:tab/>
        <w:t>must describe, in the form of a summary, the extent to which labour standards or environmental, social or ethical considerations are taken into account in the selection, retention or realisation of investments relating to the simple managed investment scheme; and</w:t>
      </w:r>
    </w:p>
    <w:p w:rsidR="003638DE" w:rsidRPr="006E709F" w:rsidRDefault="003638DE" w:rsidP="00A801D0">
      <w:pPr>
        <w:pStyle w:val="paragraph"/>
      </w:pPr>
      <w:r w:rsidRPr="006E709F">
        <w:tab/>
        <w:t>(d)</w:t>
      </w:r>
      <w:r w:rsidRPr="006E709F">
        <w:tab/>
        <w:t xml:space="preserve">may provide the information in </w:t>
      </w:r>
      <w:r w:rsidR="00DA13DE" w:rsidRPr="006E709F">
        <w:t>paragraphs (</w:t>
      </w:r>
      <w:r w:rsidRPr="006E709F">
        <w:t>a) to (c), and any additional information about investment options, by applying, adopting or incorporating a matter in writing.</w:t>
      </w:r>
    </w:p>
    <w:p w:rsidR="003638DE" w:rsidRPr="006E709F" w:rsidRDefault="00C44525" w:rsidP="00A801D0">
      <w:pPr>
        <w:pStyle w:val="ActHead5"/>
      </w:pPr>
      <w:bookmarkStart w:id="166" w:name="_Toc160609853"/>
      <w:r w:rsidRPr="000C4237">
        <w:rPr>
          <w:rStyle w:val="CharSectno"/>
        </w:rPr>
        <w:t>8</w:t>
      </w:r>
      <w:r w:rsidRPr="006E709F">
        <w:t xml:space="preserve">  </w:t>
      </w:r>
      <w:r w:rsidR="003638DE" w:rsidRPr="006E709F">
        <w:t>Contents of section</w:t>
      </w:r>
      <w:r w:rsidR="00DA13DE" w:rsidRPr="006E709F">
        <w:t> </w:t>
      </w:r>
      <w:r w:rsidR="003638DE" w:rsidRPr="006E709F">
        <w:t>6 (Fees and costs)</w:t>
      </w:r>
      <w:bookmarkEnd w:id="166"/>
    </w:p>
    <w:p w:rsidR="003638DE" w:rsidRPr="006E709F" w:rsidRDefault="003638DE" w:rsidP="00A801D0">
      <w:pPr>
        <w:pStyle w:val="subsection"/>
      </w:pPr>
      <w:r w:rsidRPr="006E709F">
        <w:tab/>
        <w:t>(1)</w:t>
      </w:r>
      <w:r w:rsidRPr="006E709F">
        <w:tab/>
        <w:t>For each investment option of the simple managed investment scheme that is presented in section</w:t>
      </w:r>
      <w:r w:rsidR="00DA13DE" w:rsidRPr="006E709F">
        <w:t> </w:t>
      </w:r>
      <w:r w:rsidRPr="006E709F">
        <w:t>5 in detail in accordance with subclause</w:t>
      </w:r>
      <w:r w:rsidR="00DA13DE" w:rsidRPr="006E709F">
        <w:t> </w:t>
      </w:r>
      <w:r w:rsidRPr="006E709F">
        <w:t>7(3), section</w:t>
      </w:r>
      <w:r w:rsidR="00DA13DE" w:rsidRPr="006E709F">
        <w:t> </w:t>
      </w:r>
      <w:r w:rsidRPr="006E709F">
        <w:t>6 of the Product Disclosure Statement must state:</w:t>
      </w:r>
    </w:p>
    <w:p w:rsidR="003638DE" w:rsidRPr="006E709F" w:rsidRDefault="003638DE" w:rsidP="00A801D0">
      <w:pPr>
        <w:pStyle w:val="paragraph"/>
      </w:pPr>
      <w:r w:rsidRPr="006E709F">
        <w:tab/>
        <w:t>(a)</w:t>
      </w:r>
      <w:r w:rsidRPr="006E709F">
        <w:tab/>
        <w:t>the cost of acquiring the option; and</w:t>
      </w:r>
    </w:p>
    <w:p w:rsidR="003638DE" w:rsidRPr="006E709F" w:rsidRDefault="003638DE" w:rsidP="00A801D0">
      <w:pPr>
        <w:pStyle w:val="paragraph"/>
      </w:pPr>
      <w:r w:rsidRPr="006E709F">
        <w:tab/>
        <w:t>(b)</w:t>
      </w:r>
      <w:r w:rsidRPr="006E709F">
        <w:tab/>
        <w:t>the fees and costs that are charged in relation to the option.</w:t>
      </w:r>
    </w:p>
    <w:p w:rsidR="003638DE" w:rsidRPr="006E709F" w:rsidRDefault="00A801D0" w:rsidP="00A801D0">
      <w:pPr>
        <w:pStyle w:val="notetext"/>
      </w:pPr>
      <w:r w:rsidRPr="006E709F">
        <w:t>Note:</w:t>
      </w:r>
      <w:r w:rsidRPr="006E709F">
        <w:tab/>
      </w:r>
      <w:r w:rsidR="003638DE" w:rsidRPr="006E709F">
        <w:t xml:space="preserve">The statement will be made using the template set out in </w:t>
      </w:r>
      <w:r w:rsidR="00DA13DE" w:rsidRPr="006E709F">
        <w:t>subclause (</w:t>
      </w:r>
      <w:r w:rsidR="003638DE" w:rsidRPr="006E709F">
        <w:t>3).</w:t>
      </w:r>
    </w:p>
    <w:p w:rsidR="003638DE" w:rsidRPr="006E709F" w:rsidRDefault="003638DE" w:rsidP="00A801D0">
      <w:pPr>
        <w:pStyle w:val="subsection"/>
      </w:pPr>
      <w:r w:rsidRPr="006E709F">
        <w:tab/>
        <w:t>(2)</w:t>
      </w:r>
      <w:r w:rsidRPr="006E709F">
        <w:tab/>
        <w:t>Before setting out any other substantive material, section</w:t>
      </w:r>
      <w:r w:rsidR="00DA13DE" w:rsidRPr="006E709F">
        <w:t> </w:t>
      </w:r>
      <w:r w:rsidRPr="006E709F">
        <w:t>6 must:</w:t>
      </w:r>
    </w:p>
    <w:p w:rsidR="003638DE" w:rsidRPr="006E709F" w:rsidRDefault="003638DE" w:rsidP="00A801D0">
      <w:pPr>
        <w:pStyle w:val="paragraph"/>
      </w:pPr>
      <w:r w:rsidRPr="006E709F">
        <w:tab/>
        <w:t>(a)</w:t>
      </w:r>
      <w:r w:rsidRPr="006E709F">
        <w:tab/>
        <w:t>set out the Consumer Advisory Warning in clause</w:t>
      </w:r>
      <w:r w:rsidR="00DA13DE" w:rsidRPr="006E709F">
        <w:t> </w:t>
      </w:r>
      <w:r w:rsidRPr="006E709F">
        <w:t xml:space="preserve">221 of </w:t>
      </w:r>
      <w:r w:rsidR="00A801D0" w:rsidRPr="006E709F">
        <w:t>Schedule</w:t>
      </w:r>
      <w:r w:rsidR="00DA13DE" w:rsidRPr="006E709F">
        <w:t> </w:t>
      </w:r>
      <w:r w:rsidRPr="006E709F">
        <w:t>10</w:t>
      </w:r>
      <w:r w:rsidRPr="006E709F">
        <w:rPr>
          <w:szCs w:val="22"/>
        </w:rPr>
        <w:t>; and</w:t>
      </w:r>
    </w:p>
    <w:p w:rsidR="003638DE" w:rsidRPr="006E709F" w:rsidRDefault="003638DE" w:rsidP="00A801D0">
      <w:pPr>
        <w:pStyle w:val="paragraph"/>
      </w:pPr>
      <w:r w:rsidRPr="006E709F">
        <w:tab/>
        <w:t>(b)</w:t>
      </w:r>
      <w:r w:rsidRPr="006E709F">
        <w:tab/>
        <w:t>give a concise example in the form set out in the Consumer Advisory Warning in clause</w:t>
      </w:r>
      <w:r w:rsidR="00DA13DE" w:rsidRPr="006E709F">
        <w:t> </w:t>
      </w:r>
      <w:r w:rsidRPr="006E709F">
        <w:t>221 of Schedule</w:t>
      </w:r>
      <w:r w:rsidR="00DA13DE" w:rsidRPr="006E709F">
        <w:t> </w:t>
      </w:r>
      <w:r w:rsidRPr="006E709F">
        <w:t>10.</w:t>
      </w:r>
    </w:p>
    <w:p w:rsidR="003638DE" w:rsidRPr="006E709F" w:rsidRDefault="003638DE" w:rsidP="00A801D0">
      <w:pPr>
        <w:pStyle w:val="subsection"/>
      </w:pPr>
      <w:r w:rsidRPr="006E709F">
        <w:tab/>
        <w:t>(3)</w:t>
      </w:r>
      <w:r w:rsidRPr="006E709F">
        <w:tab/>
        <w:t>Section</w:t>
      </w:r>
      <w:r w:rsidR="00DA13DE" w:rsidRPr="006E709F">
        <w:t> </w:t>
      </w:r>
      <w:r w:rsidRPr="006E709F">
        <w:t>6 must set out the fees and costs for each investment option that is presented in section</w:t>
      </w:r>
      <w:r w:rsidR="00DA13DE" w:rsidRPr="006E709F">
        <w:t> </w:t>
      </w:r>
      <w:r w:rsidRPr="006E709F">
        <w:t>5 in detail in accordance with subclause</w:t>
      </w:r>
      <w:r w:rsidR="00DA13DE" w:rsidRPr="006E709F">
        <w:t> </w:t>
      </w:r>
      <w:r w:rsidRPr="006E709F">
        <w:t>7(3), using the following template:</w:t>
      </w:r>
    </w:p>
    <w:p w:rsidR="00A801D0" w:rsidRPr="006E709F" w:rsidRDefault="00A801D0" w:rsidP="00A801D0">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2204"/>
        <w:gridCol w:w="14"/>
      </w:tblGrid>
      <w:tr w:rsidR="003638DE" w:rsidRPr="006E709F" w:rsidTr="00E118FA">
        <w:trPr>
          <w:gridAfter w:val="1"/>
          <w:wAfter w:w="8" w:type="pct"/>
          <w:cantSplit/>
          <w:tblHeader/>
        </w:trPr>
        <w:tc>
          <w:tcPr>
            <w:tcW w:w="3700" w:type="pct"/>
            <w:tcBorders>
              <w:top w:val="single" w:sz="4" w:space="0" w:color="auto"/>
              <w:left w:val="single" w:sz="4" w:space="0" w:color="auto"/>
              <w:bottom w:val="single" w:sz="4" w:space="0" w:color="auto"/>
              <w:right w:val="single" w:sz="4" w:space="0" w:color="auto"/>
            </w:tcBorders>
            <w:shd w:val="clear" w:color="auto" w:fill="C0C0C0"/>
            <w:hideMark/>
          </w:tcPr>
          <w:p w:rsidR="003638DE" w:rsidRPr="006E709F" w:rsidRDefault="003638DE" w:rsidP="00540D7E">
            <w:pPr>
              <w:keepLines/>
              <w:rPr>
                <w:rFonts w:cs="Times New Roman"/>
                <w:szCs w:val="18"/>
              </w:rPr>
            </w:pPr>
            <w:r w:rsidRPr="006E709F">
              <w:rPr>
                <w:rFonts w:cs="Times New Roman"/>
                <w:szCs w:val="18"/>
              </w:rPr>
              <w:t>TYPE OF FEE OR COST</w:t>
            </w:r>
          </w:p>
        </w:tc>
        <w:tc>
          <w:tcPr>
            <w:tcW w:w="1292" w:type="pct"/>
            <w:tcBorders>
              <w:top w:val="single" w:sz="4" w:space="0" w:color="auto"/>
              <w:left w:val="single" w:sz="4" w:space="0" w:color="auto"/>
              <w:bottom w:val="single" w:sz="4" w:space="0" w:color="auto"/>
              <w:right w:val="single" w:sz="4" w:space="0" w:color="auto"/>
            </w:tcBorders>
            <w:shd w:val="clear" w:color="auto" w:fill="C0C0C0"/>
            <w:hideMark/>
          </w:tcPr>
          <w:p w:rsidR="003638DE" w:rsidRPr="006E709F" w:rsidRDefault="003638DE" w:rsidP="00540D7E">
            <w:pPr>
              <w:keepLines/>
              <w:rPr>
                <w:rFonts w:cs="Times New Roman"/>
                <w:szCs w:val="18"/>
              </w:rPr>
            </w:pPr>
            <w:r w:rsidRPr="006E709F">
              <w:rPr>
                <w:rFonts w:cs="Times New Roman"/>
                <w:szCs w:val="18"/>
              </w:rPr>
              <w:t>AMOUNT</w:t>
            </w:r>
          </w:p>
        </w:tc>
      </w:tr>
      <w:tr w:rsidR="003638DE" w:rsidRPr="006E709F" w:rsidTr="00E118FA">
        <w:trPr>
          <w:gridAfter w:val="1"/>
          <w:wAfter w:w="8" w:type="pct"/>
        </w:trPr>
        <w:tc>
          <w:tcPr>
            <w:tcW w:w="37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638DE" w:rsidRPr="006E709F" w:rsidRDefault="003638DE" w:rsidP="00540D7E">
            <w:pPr>
              <w:keepLines/>
              <w:rPr>
                <w:rFonts w:cs="Times New Roman"/>
                <w:i/>
                <w:sz w:val="16"/>
                <w:szCs w:val="18"/>
              </w:rPr>
            </w:pPr>
            <w:r w:rsidRPr="006E709F">
              <w:rPr>
                <w:rFonts w:cs="Times New Roman"/>
                <w:szCs w:val="18"/>
              </w:rPr>
              <w:t>Fees when your money moves in or out of the fund</w:t>
            </w:r>
          </w:p>
        </w:tc>
        <w:tc>
          <w:tcPr>
            <w:tcW w:w="1292" w:type="pct"/>
            <w:tcBorders>
              <w:top w:val="single" w:sz="4" w:space="0" w:color="auto"/>
              <w:left w:val="single" w:sz="4" w:space="0" w:color="auto"/>
              <w:bottom w:val="single" w:sz="4" w:space="0" w:color="auto"/>
              <w:right w:val="single" w:sz="4" w:space="0" w:color="auto"/>
            </w:tcBorders>
            <w:shd w:val="clear" w:color="auto" w:fill="C0C0C0"/>
          </w:tcPr>
          <w:p w:rsidR="003638DE" w:rsidRPr="006E709F" w:rsidRDefault="003638DE" w:rsidP="00540D7E">
            <w:pPr>
              <w:keepLines/>
              <w:rPr>
                <w:rFonts w:cs="Times New Roman"/>
                <w:b/>
                <w:szCs w:val="18"/>
              </w:rPr>
            </w:pPr>
          </w:p>
        </w:tc>
      </w:tr>
      <w:tr w:rsidR="003638DE" w:rsidRPr="006E709F" w:rsidTr="00E118FA">
        <w:trPr>
          <w:gridAfter w:val="1"/>
          <w:wAfter w:w="8" w:type="pct"/>
        </w:trPr>
        <w:tc>
          <w:tcPr>
            <w:tcW w:w="3700" w:type="pct"/>
            <w:tcBorders>
              <w:top w:val="single" w:sz="4" w:space="0" w:color="auto"/>
              <w:left w:val="single" w:sz="4" w:space="0" w:color="auto"/>
              <w:bottom w:val="single" w:sz="4" w:space="0" w:color="auto"/>
              <w:right w:val="single" w:sz="4" w:space="0" w:color="auto"/>
            </w:tcBorders>
            <w:hideMark/>
          </w:tcPr>
          <w:p w:rsidR="003638DE" w:rsidRPr="006E709F" w:rsidRDefault="003638DE" w:rsidP="00D75DE0">
            <w:pPr>
              <w:pStyle w:val="Tabletext"/>
              <w:spacing w:after="120"/>
              <w:rPr>
                <w:i/>
              </w:rPr>
            </w:pPr>
            <w:r w:rsidRPr="006E709F">
              <w:rPr>
                <w:i/>
              </w:rPr>
              <w:t>Establishment fee</w:t>
            </w:r>
          </w:p>
        </w:tc>
        <w:tc>
          <w:tcPr>
            <w:tcW w:w="1292" w:type="pct"/>
            <w:tcBorders>
              <w:top w:val="single" w:sz="4" w:space="0" w:color="auto"/>
              <w:left w:val="single" w:sz="4" w:space="0" w:color="auto"/>
              <w:bottom w:val="single" w:sz="4" w:space="0" w:color="auto"/>
              <w:right w:val="single" w:sz="4" w:space="0" w:color="auto"/>
            </w:tcBorders>
          </w:tcPr>
          <w:p w:rsidR="003638DE" w:rsidRPr="006E709F" w:rsidRDefault="003638DE" w:rsidP="00D75DE0">
            <w:pPr>
              <w:pStyle w:val="Tabletext"/>
              <w:spacing w:after="120"/>
            </w:pPr>
          </w:p>
        </w:tc>
      </w:tr>
      <w:tr w:rsidR="003638DE" w:rsidRPr="006E709F" w:rsidTr="00E118FA">
        <w:trPr>
          <w:gridAfter w:val="1"/>
          <w:wAfter w:w="8" w:type="pct"/>
        </w:trPr>
        <w:tc>
          <w:tcPr>
            <w:tcW w:w="3700" w:type="pct"/>
            <w:tcBorders>
              <w:top w:val="single" w:sz="4" w:space="0" w:color="auto"/>
              <w:left w:val="single" w:sz="4" w:space="0" w:color="auto"/>
              <w:bottom w:val="single" w:sz="4" w:space="0" w:color="auto"/>
              <w:right w:val="single" w:sz="4" w:space="0" w:color="auto"/>
            </w:tcBorders>
            <w:vAlign w:val="center"/>
            <w:hideMark/>
          </w:tcPr>
          <w:p w:rsidR="003638DE" w:rsidRPr="006E709F" w:rsidRDefault="003638DE" w:rsidP="00D75DE0">
            <w:pPr>
              <w:pStyle w:val="Tabletext"/>
              <w:spacing w:after="120"/>
              <w:rPr>
                <w:i/>
              </w:rPr>
            </w:pPr>
            <w:r w:rsidRPr="006E709F">
              <w:rPr>
                <w:i/>
              </w:rPr>
              <w:t>Contribution fee</w:t>
            </w:r>
          </w:p>
        </w:tc>
        <w:tc>
          <w:tcPr>
            <w:tcW w:w="1292" w:type="pct"/>
            <w:tcBorders>
              <w:top w:val="single" w:sz="4" w:space="0" w:color="auto"/>
              <w:left w:val="single" w:sz="4" w:space="0" w:color="auto"/>
              <w:bottom w:val="single" w:sz="4" w:space="0" w:color="auto"/>
              <w:right w:val="single" w:sz="4" w:space="0" w:color="auto"/>
            </w:tcBorders>
          </w:tcPr>
          <w:p w:rsidR="003638DE" w:rsidRPr="006E709F" w:rsidRDefault="003638DE" w:rsidP="00D75DE0">
            <w:pPr>
              <w:pStyle w:val="Tabletext"/>
              <w:spacing w:after="120"/>
            </w:pPr>
          </w:p>
        </w:tc>
      </w:tr>
      <w:tr w:rsidR="003638DE" w:rsidRPr="006E709F" w:rsidTr="00E118FA">
        <w:trPr>
          <w:gridAfter w:val="1"/>
          <w:wAfter w:w="8" w:type="pct"/>
        </w:trPr>
        <w:tc>
          <w:tcPr>
            <w:tcW w:w="3700" w:type="pct"/>
            <w:tcBorders>
              <w:top w:val="single" w:sz="4" w:space="0" w:color="auto"/>
              <w:left w:val="single" w:sz="4" w:space="0" w:color="auto"/>
              <w:bottom w:val="single" w:sz="4" w:space="0" w:color="auto"/>
              <w:right w:val="single" w:sz="4" w:space="0" w:color="auto"/>
            </w:tcBorders>
            <w:vAlign w:val="center"/>
            <w:hideMark/>
          </w:tcPr>
          <w:p w:rsidR="003638DE" w:rsidRPr="006E709F" w:rsidRDefault="003638DE" w:rsidP="00D75DE0">
            <w:pPr>
              <w:pStyle w:val="Tabletext"/>
              <w:spacing w:after="120"/>
              <w:rPr>
                <w:i/>
              </w:rPr>
            </w:pPr>
            <w:r w:rsidRPr="006E709F">
              <w:rPr>
                <w:i/>
              </w:rPr>
              <w:t>Withdrawal fee</w:t>
            </w:r>
          </w:p>
        </w:tc>
        <w:tc>
          <w:tcPr>
            <w:tcW w:w="1292" w:type="pct"/>
            <w:tcBorders>
              <w:top w:val="single" w:sz="4" w:space="0" w:color="auto"/>
              <w:left w:val="single" w:sz="4" w:space="0" w:color="auto"/>
              <w:bottom w:val="single" w:sz="4" w:space="0" w:color="auto"/>
              <w:right w:val="single" w:sz="4" w:space="0" w:color="auto"/>
            </w:tcBorders>
          </w:tcPr>
          <w:p w:rsidR="003638DE" w:rsidRPr="006E709F" w:rsidRDefault="003638DE" w:rsidP="00D75DE0">
            <w:pPr>
              <w:pStyle w:val="Tabletext"/>
              <w:spacing w:after="120"/>
            </w:pPr>
          </w:p>
        </w:tc>
      </w:tr>
      <w:tr w:rsidR="003638DE" w:rsidRPr="006E709F" w:rsidTr="00E118FA">
        <w:trPr>
          <w:gridAfter w:val="1"/>
          <w:wAfter w:w="8" w:type="pct"/>
        </w:trPr>
        <w:tc>
          <w:tcPr>
            <w:tcW w:w="3700" w:type="pct"/>
            <w:tcBorders>
              <w:top w:val="single" w:sz="4" w:space="0" w:color="auto"/>
              <w:left w:val="single" w:sz="4" w:space="0" w:color="auto"/>
              <w:bottom w:val="single" w:sz="4" w:space="0" w:color="auto"/>
              <w:right w:val="single" w:sz="4" w:space="0" w:color="auto"/>
            </w:tcBorders>
            <w:vAlign w:val="center"/>
            <w:hideMark/>
          </w:tcPr>
          <w:p w:rsidR="003638DE" w:rsidRPr="006E709F" w:rsidRDefault="003638DE" w:rsidP="00D75DE0">
            <w:pPr>
              <w:pStyle w:val="Tabletext"/>
              <w:spacing w:after="120"/>
              <w:rPr>
                <w:i/>
              </w:rPr>
            </w:pPr>
            <w:r w:rsidRPr="006E709F">
              <w:rPr>
                <w:i/>
              </w:rPr>
              <w:t>Termination fee</w:t>
            </w:r>
          </w:p>
        </w:tc>
        <w:tc>
          <w:tcPr>
            <w:tcW w:w="1292" w:type="pct"/>
            <w:tcBorders>
              <w:top w:val="single" w:sz="4" w:space="0" w:color="auto"/>
              <w:left w:val="single" w:sz="4" w:space="0" w:color="auto"/>
              <w:bottom w:val="single" w:sz="4" w:space="0" w:color="auto"/>
              <w:right w:val="single" w:sz="4" w:space="0" w:color="auto"/>
            </w:tcBorders>
          </w:tcPr>
          <w:p w:rsidR="003638DE" w:rsidRPr="006E709F" w:rsidRDefault="003638DE" w:rsidP="00D75DE0">
            <w:pPr>
              <w:pStyle w:val="Tabletext"/>
              <w:spacing w:after="120"/>
            </w:pPr>
          </w:p>
        </w:tc>
      </w:tr>
      <w:tr w:rsidR="003638DE" w:rsidRPr="006E709F" w:rsidTr="00E118FA">
        <w:trPr>
          <w:gridAfter w:val="1"/>
          <w:wAfter w:w="8" w:type="pct"/>
        </w:trPr>
        <w:tc>
          <w:tcPr>
            <w:tcW w:w="37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638DE" w:rsidRPr="006E709F" w:rsidRDefault="003638DE" w:rsidP="00540D7E">
            <w:pPr>
              <w:keepLines/>
              <w:rPr>
                <w:rFonts w:cs="Times New Roman"/>
                <w:szCs w:val="18"/>
              </w:rPr>
            </w:pPr>
            <w:r w:rsidRPr="006E709F">
              <w:rPr>
                <w:rFonts w:cs="Times New Roman"/>
                <w:szCs w:val="18"/>
              </w:rPr>
              <w:t>Management costs</w:t>
            </w:r>
          </w:p>
        </w:tc>
        <w:tc>
          <w:tcPr>
            <w:tcW w:w="1292" w:type="pct"/>
            <w:tcBorders>
              <w:top w:val="single" w:sz="4" w:space="0" w:color="auto"/>
              <w:left w:val="single" w:sz="4" w:space="0" w:color="auto"/>
              <w:bottom w:val="single" w:sz="4" w:space="0" w:color="auto"/>
              <w:right w:val="single" w:sz="4" w:space="0" w:color="auto"/>
            </w:tcBorders>
            <w:shd w:val="clear" w:color="auto" w:fill="C0C0C0"/>
          </w:tcPr>
          <w:p w:rsidR="003638DE" w:rsidRPr="006E709F" w:rsidRDefault="003638DE" w:rsidP="00540D7E">
            <w:pPr>
              <w:keepLines/>
              <w:rPr>
                <w:rFonts w:cs="Times New Roman"/>
                <w:szCs w:val="18"/>
              </w:rPr>
            </w:pPr>
          </w:p>
        </w:tc>
      </w:tr>
      <w:tr w:rsidR="003638DE" w:rsidRPr="006E709F" w:rsidTr="00E118FA">
        <w:tc>
          <w:tcPr>
            <w:tcW w:w="3700" w:type="pct"/>
          </w:tcPr>
          <w:p w:rsidR="003638DE" w:rsidRPr="006E709F" w:rsidRDefault="003638DE" w:rsidP="00A801D0">
            <w:pPr>
              <w:pStyle w:val="Tabletext"/>
            </w:pPr>
            <w:r w:rsidRPr="006E709F">
              <w:rPr>
                <w:szCs w:val="18"/>
              </w:rPr>
              <w:t>The fees and costs for managing your investment</w:t>
            </w:r>
          </w:p>
        </w:tc>
        <w:tc>
          <w:tcPr>
            <w:tcW w:w="1300" w:type="pct"/>
            <w:gridSpan w:val="2"/>
          </w:tcPr>
          <w:p w:rsidR="003638DE" w:rsidRPr="006E709F" w:rsidRDefault="003638DE" w:rsidP="00221306">
            <w:pPr>
              <w:pStyle w:val="Tabletext"/>
            </w:pPr>
          </w:p>
        </w:tc>
      </w:tr>
    </w:tbl>
    <w:p w:rsidR="003638DE" w:rsidRPr="006E709F" w:rsidRDefault="003638DE" w:rsidP="00300DC6">
      <w:pPr>
        <w:pStyle w:val="notetext"/>
        <w:spacing w:before="0"/>
        <w:ind w:left="1134" w:firstLine="0"/>
      </w:pPr>
      <w:r w:rsidRPr="006E709F">
        <w:rPr>
          <w:i/>
        </w:rPr>
        <w:t xml:space="preserve">[If there are other service fees, such as advisor service fees or special request fees, include a cross reference to the document that contains the information mentioned in </w:t>
      </w:r>
      <w:r w:rsidR="00DA13DE" w:rsidRPr="006E709F">
        <w:rPr>
          <w:i/>
        </w:rPr>
        <w:t>paragraph (</w:t>
      </w:r>
      <w:r w:rsidRPr="006E709F">
        <w:rPr>
          <w:i/>
        </w:rPr>
        <w:t>10</w:t>
      </w:r>
      <w:r w:rsidR="00A801D0" w:rsidRPr="006E709F">
        <w:rPr>
          <w:i/>
        </w:rPr>
        <w:t>)(</w:t>
      </w:r>
      <w:r w:rsidRPr="006E709F">
        <w:rPr>
          <w:i/>
        </w:rPr>
        <w:t>a).]</w:t>
      </w:r>
      <w:r w:rsidRPr="006E709F">
        <w:t>.</w:t>
      </w:r>
    </w:p>
    <w:p w:rsidR="003638DE" w:rsidRPr="006E709F" w:rsidRDefault="003638DE" w:rsidP="00A801D0">
      <w:pPr>
        <w:pStyle w:val="subsection"/>
      </w:pPr>
      <w:r w:rsidRPr="006E709F">
        <w:tab/>
        <w:t>(4)</w:t>
      </w:r>
      <w:r w:rsidRPr="006E709F">
        <w:tab/>
        <w:t xml:space="preserve">The template is to be completed in accordance with </w:t>
      </w:r>
      <w:r w:rsidR="00A801D0" w:rsidRPr="006E709F">
        <w:t>Division</w:t>
      </w:r>
      <w:r w:rsidR="00DA13DE" w:rsidRPr="006E709F">
        <w:t> </w:t>
      </w:r>
      <w:r w:rsidRPr="006E709F">
        <w:t xml:space="preserve">3 of </w:t>
      </w:r>
      <w:r w:rsidR="00A801D0" w:rsidRPr="006E709F">
        <w:t>Schedule</w:t>
      </w:r>
      <w:r w:rsidR="00DA13DE" w:rsidRPr="006E709F">
        <w:t> </w:t>
      </w:r>
      <w:r w:rsidRPr="006E709F">
        <w:t>10</w:t>
      </w:r>
      <w:r w:rsidR="00525E05" w:rsidRPr="006E709F">
        <w:t xml:space="preserve"> </w:t>
      </w:r>
      <w:r w:rsidRPr="006E709F">
        <w:t>(including definitions applicable to that Division), except that:</w:t>
      </w:r>
    </w:p>
    <w:p w:rsidR="003638DE" w:rsidRPr="006E709F" w:rsidRDefault="003638DE" w:rsidP="00A801D0">
      <w:pPr>
        <w:pStyle w:val="paragraph"/>
      </w:pPr>
      <w:r w:rsidRPr="006E709F">
        <w:tab/>
        <w:t>(a)</w:t>
      </w:r>
      <w:r w:rsidRPr="006E709F">
        <w:tab/>
        <w:t>clauses</w:t>
      </w:r>
      <w:r w:rsidR="00DA13DE" w:rsidRPr="006E709F">
        <w:t> </w:t>
      </w:r>
      <w:r w:rsidRPr="006E709F">
        <w:t>203, 205, 206 and 207 and subclause</w:t>
      </w:r>
      <w:r w:rsidR="00DA13DE" w:rsidRPr="006E709F">
        <w:t> </w:t>
      </w:r>
      <w:r w:rsidRPr="006E709F">
        <w:t>208(2) do not apply; and</w:t>
      </w:r>
    </w:p>
    <w:p w:rsidR="003638DE" w:rsidRPr="006E709F" w:rsidRDefault="003638DE" w:rsidP="00A801D0">
      <w:pPr>
        <w:pStyle w:val="paragraph"/>
      </w:pPr>
      <w:r w:rsidRPr="006E709F">
        <w:tab/>
        <w:t>(b)</w:t>
      </w:r>
      <w:r w:rsidRPr="006E709F">
        <w:tab/>
        <w:t>the reference in clause</w:t>
      </w:r>
      <w:r w:rsidR="00DA13DE" w:rsidRPr="006E709F">
        <w:t> </w:t>
      </w:r>
      <w:r w:rsidRPr="006E709F">
        <w:t>204 to clause</w:t>
      </w:r>
      <w:r w:rsidR="00DA13DE" w:rsidRPr="006E709F">
        <w:t> </w:t>
      </w:r>
      <w:r w:rsidRPr="006E709F">
        <w:t>205 and clause</w:t>
      </w:r>
      <w:r w:rsidR="00DA13DE" w:rsidRPr="006E709F">
        <w:t> </w:t>
      </w:r>
      <w:r w:rsidRPr="006E709F">
        <w:t>206 does not apply; and</w:t>
      </w:r>
    </w:p>
    <w:p w:rsidR="003638DE" w:rsidRPr="006E709F" w:rsidRDefault="003638DE" w:rsidP="00A801D0">
      <w:pPr>
        <w:pStyle w:val="paragraph"/>
      </w:pPr>
      <w:r w:rsidRPr="006E709F">
        <w:tab/>
        <w:t>(c)</w:t>
      </w:r>
      <w:r w:rsidRPr="006E709F">
        <w:tab/>
        <w:t>the example in subclause</w:t>
      </w:r>
      <w:r w:rsidR="00DA13DE" w:rsidRPr="006E709F">
        <w:t> </w:t>
      </w:r>
      <w:r w:rsidRPr="006E709F">
        <w:t>208(1) is to be treated as stating:</w:t>
      </w:r>
    </w:p>
    <w:p w:rsidR="003638DE" w:rsidRPr="006E709F" w:rsidRDefault="003638DE" w:rsidP="00A801D0">
      <w:pPr>
        <w:pStyle w:val="paragraph"/>
      </w:pPr>
      <w:r w:rsidRPr="006E709F">
        <w:tab/>
      </w:r>
      <w:r w:rsidRPr="006E709F">
        <w:tab/>
        <w:t>“(for example, by using an asterisk with a footnote stating ‘The amount of this fee can be negotiated’)”.</w:t>
      </w:r>
    </w:p>
    <w:p w:rsidR="003638DE" w:rsidRPr="006E709F" w:rsidRDefault="003638DE" w:rsidP="00A801D0">
      <w:pPr>
        <w:pStyle w:val="subsection"/>
      </w:pPr>
      <w:r w:rsidRPr="006E709F">
        <w:tab/>
        <w:t>(5)</w:t>
      </w:r>
      <w:r w:rsidRPr="006E709F">
        <w:tab/>
        <w:t>Section</w:t>
      </w:r>
      <w:r w:rsidR="00DA13DE" w:rsidRPr="006E709F">
        <w:t> </w:t>
      </w:r>
      <w:r w:rsidRPr="006E709F">
        <w:t>6 must set out the information about fee changes set out in paragraph</w:t>
      </w:r>
      <w:r w:rsidR="00DA13DE" w:rsidRPr="006E709F">
        <w:t> </w:t>
      </w:r>
      <w:r w:rsidRPr="006E709F">
        <w:t xml:space="preserve">209(k) of </w:t>
      </w:r>
      <w:r w:rsidR="00A801D0" w:rsidRPr="006E709F">
        <w:t>Schedule</w:t>
      </w:r>
      <w:r w:rsidR="00DA13DE" w:rsidRPr="006E709F">
        <w:t> </w:t>
      </w:r>
      <w:r w:rsidRPr="006E709F">
        <w:t>10.</w:t>
      </w:r>
    </w:p>
    <w:p w:rsidR="003638DE" w:rsidRPr="006E709F" w:rsidRDefault="003638DE" w:rsidP="00A801D0">
      <w:pPr>
        <w:pStyle w:val="subsection"/>
      </w:pPr>
      <w:r w:rsidRPr="006E709F">
        <w:tab/>
        <w:t>(6)</w:t>
      </w:r>
      <w:r w:rsidRPr="006E709F">
        <w:tab/>
        <w:t>Section</w:t>
      </w:r>
      <w:r w:rsidR="00DA13DE" w:rsidRPr="006E709F">
        <w:t> </w:t>
      </w:r>
      <w:r w:rsidRPr="006E709F">
        <w:t>6 must:</w:t>
      </w:r>
    </w:p>
    <w:p w:rsidR="003638DE" w:rsidRPr="006E709F" w:rsidRDefault="003638DE" w:rsidP="00A801D0">
      <w:pPr>
        <w:pStyle w:val="paragraph"/>
      </w:pPr>
      <w:r w:rsidRPr="006E709F">
        <w:tab/>
        <w:t>(a)</w:t>
      </w:r>
      <w:r w:rsidRPr="006E709F">
        <w:tab/>
        <w:t>state that the information in the template can be used to compare costs between different simple managed investment schemes; and</w:t>
      </w:r>
    </w:p>
    <w:p w:rsidR="003638DE" w:rsidRPr="006E709F" w:rsidRDefault="003638DE" w:rsidP="00A801D0">
      <w:pPr>
        <w:pStyle w:val="paragraph"/>
      </w:pPr>
      <w:r w:rsidRPr="006E709F">
        <w:tab/>
        <w:t>(b)</w:t>
      </w:r>
      <w:r w:rsidRPr="006E709F">
        <w:tab/>
        <w:t>state concisely, and in general terms, that fees and costs can be paid directly from the person’s account or deducted from investment returns.</w:t>
      </w:r>
    </w:p>
    <w:p w:rsidR="003638DE" w:rsidRPr="006E709F" w:rsidRDefault="003638DE" w:rsidP="00A801D0">
      <w:pPr>
        <w:pStyle w:val="subsection"/>
      </w:pPr>
      <w:r w:rsidRPr="006E709F">
        <w:tab/>
        <w:t>(7)</w:t>
      </w:r>
      <w:r w:rsidRPr="006E709F">
        <w:tab/>
        <w:t>Section</w:t>
      </w:r>
      <w:r w:rsidR="00DA13DE" w:rsidRPr="006E709F">
        <w:t> </w:t>
      </w:r>
      <w:r w:rsidRPr="006E709F">
        <w:t>6 must give a worked example as follows:</w:t>
      </w:r>
    </w:p>
    <w:p w:rsidR="003638DE" w:rsidRPr="006E709F" w:rsidRDefault="003638DE" w:rsidP="00A801D0">
      <w:pPr>
        <w:pStyle w:val="paragraph"/>
      </w:pPr>
      <w:r w:rsidRPr="006E709F">
        <w:tab/>
        <w:t>(a)</w:t>
      </w:r>
      <w:r w:rsidRPr="006E709F">
        <w:tab/>
        <w:t>if the simple managed investment scheme does not have a balanced investment option (within the meaning given by item</w:t>
      </w:r>
      <w:r w:rsidR="00DA13DE" w:rsidRPr="006E709F">
        <w:t> </w:t>
      </w:r>
      <w:r w:rsidRPr="006E709F">
        <w:t xml:space="preserve">101 of </w:t>
      </w:r>
      <w:r w:rsidR="00A801D0" w:rsidRPr="006E709F">
        <w:t>Schedule</w:t>
      </w:r>
      <w:r w:rsidR="00DA13DE" w:rsidRPr="006E709F">
        <w:t> </w:t>
      </w:r>
      <w:r w:rsidRPr="006E709F">
        <w:t>10), section</w:t>
      </w:r>
      <w:r w:rsidR="00DA13DE" w:rsidRPr="006E709F">
        <w:t> </w:t>
      </w:r>
      <w:r w:rsidRPr="006E709F">
        <w:t>6 must give a worked example for the default investment option;</w:t>
      </w:r>
    </w:p>
    <w:p w:rsidR="003638DE" w:rsidRPr="006E709F" w:rsidRDefault="003638DE" w:rsidP="00A801D0">
      <w:pPr>
        <w:pStyle w:val="paragraph"/>
      </w:pPr>
      <w:r w:rsidRPr="006E709F">
        <w:tab/>
        <w:t>(b)</w:t>
      </w:r>
      <w:r w:rsidRPr="006E709F">
        <w:tab/>
        <w:t>if the simple managed investment scheme does not have a default option, and does not have a balanced investment option, section</w:t>
      </w:r>
      <w:r w:rsidR="00DA13DE" w:rsidRPr="006E709F">
        <w:t> </w:t>
      </w:r>
      <w:r w:rsidRPr="006E709F">
        <w:t>6 must give a worked example for the investment option under which the entity has the most funds invested;</w:t>
      </w:r>
    </w:p>
    <w:p w:rsidR="003638DE" w:rsidRPr="006E709F" w:rsidRDefault="003638DE" w:rsidP="00A801D0">
      <w:pPr>
        <w:pStyle w:val="subsection2"/>
      </w:pPr>
      <w:r w:rsidRPr="006E709F">
        <w:t>in accordance with Divisions</w:t>
      </w:r>
      <w:r w:rsidR="00DA13DE" w:rsidRPr="006E709F">
        <w:t> </w:t>
      </w:r>
      <w:r w:rsidRPr="006E709F">
        <w:t xml:space="preserve">5 and 6 of </w:t>
      </w:r>
      <w:r w:rsidR="00A801D0" w:rsidRPr="006E709F">
        <w:t>Schedule</w:t>
      </w:r>
      <w:r w:rsidR="00DA13DE" w:rsidRPr="006E709F">
        <w:t> </w:t>
      </w:r>
      <w:r w:rsidRPr="006E709F">
        <w:t>10 (including definitions applicable to those Divisions), except that clauses</w:t>
      </w:r>
      <w:r w:rsidR="00DA13DE" w:rsidRPr="006E709F">
        <w:t> </w:t>
      </w:r>
      <w:r w:rsidRPr="006E709F">
        <w:t>211 and 220 do not apply.</w:t>
      </w:r>
    </w:p>
    <w:p w:rsidR="003638DE" w:rsidRPr="006E709F" w:rsidRDefault="003638DE" w:rsidP="00A801D0">
      <w:pPr>
        <w:pStyle w:val="subsection"/>
      </w:pPr>
      <w:r w:rsidRPr="006E709F">
        <w:tab/>
        <w:t>(8)</w:t>
      </w:r>
      <w:r w:rsidRPr="006E709F">
        <w:tab/>
        <w:t>Section</w:t>
      </w:r>
      <w:r w:rsidR="00DA13DE" w:rsidRPr="006E709F">
        <w:t> </w:t>
      </w:r>
      <w:r w:rsidRPr="006E709F">
        <w:t>6:</w:t>
      </w:r>
    </w:p>
    <w:p w:rsidR="003638DE" w:rsidRPr="006E709F" w:rsidRDefault="003638DE" w:rsidP="00A801D0">
      <w:pPr>
        <w:pStyle w:val="paragraph"/>
      </w:pPr>
      <w:r w:rsidRPr="006E709F">
        <w:tab/>
        <w:t>(a)</w:t>
      </w:r>
      <w:r w:rsidRPr="006E709F">
        <w:tab/>
        <w:t>must refer to the calculator provided by ASIC on its FIDO website or a similar website operated by or on behalf of ASIC; and</w:t>
      </w:r>
    </w:p>
    <w:p w:rsidR="003638DE" w:rsidRPr="006E709F" w:rsidRDefault="003638DE" w:rsidP="00A801D0">
      <w:pPr>
        <w:pStyle w:val="paragraph"/>
      </w:pPr>
      <w:r w:rsidRPr="006E709F">
        <w:tab/>
        <w:t>(b)</w:t>
      </w:r>
      <w:r w:rsidRPr="006E709F">
        <w:tab/>
        <w:t>may also refer to the calculator (if any) provided by the responsible entity on its website; and</w:t>
      </w:r>
    </w:p>
    <w:p w:rsidR="003638DE" w:rsidRPr="006E709F" w:rsidRDefault="003638DE" w:rsidP="00A801D0">
      <w:pPr>
        <w:pStyle w:val="paragraph"/>
      </w:pPr>
      <w:r w:rsidRPr="006E709F">
        <w:tab/>
        <w:t>(c)</w:t>
      </w:r>
      <w:r w:rsidRPr="006E709F">
        <w:tab/>
        <w:t>must state that each calculator referred to can be used to calculate the effect of fees and costs on account balances.</w:t>
      </w:r>
    </w:p>
    <w:p w:rsidR="003638DE" w:rsidRPr="006E709F" w:rsidRDefault="003638DE" w:rsidP="00A801D0">
      <w:pPr>
        <w:pStyle w:val="subsection"/>
      </w:pPr>
      <w:r w:rsidRPr="006E709F">
        <w:tab/>
        <w:t>(9)</w:t>
      </w:r>
      <w:r w:rsidRPr="006E709F">
        <w:tab/>
        <w:t>If additional fees may be payable to a financial advisor, section</w:t>
      </w:r>
      <w:r w:rsidR="00DA13DE" w:rsidRPr="006E709F">
        <w:t> </w:t>
      </w:r>
      <w:r w:rsidRPr="006E709F">
        <w:t>6 must:</w:t>
      </w:r>
    </w:p>
    <w:p w:rsidR="003638DE" w:rsidRPr="006E709F" w:rsidRDefault="003638DE" w:rsidP="00A801D0">
      <w:pPr>
        <w:pStyle w:val="paragraph"/>
      </w:pPr>
      <w:r w:rsidRPr="006E709F">
        <w:tab/>
        <w:t>(a)</w:t>
      </w:r>
      <w:r w:rsidRPr="006E709F">
        <w:tab/>
        <w:t>state, in the form of a warning, that additional fees may be paid to a financial advisor if a financial advisor is consulted; and</w:t>
      </w:r>
    </w:p>
    <w:p w:rsidR="003638DE" w:rsidRPr="006E709F" w:rsidRDefault="003638DE" w:rsidP="00A801D0">
      <w:pPr>
        <w:pStyle w:val="paragraph"/>
      </w:pPr>
      <w:r w:rsidRPr="006E709F">
        <w:tab/>
        <w:t>(b)</w:t>
      </w:r>
      <w:r w:rsidRPr="006E709F">
        <w:tab/>
        <w:t>refer to the Statement of Advice in which details of the fees are set out.</w:t>
      </w:r>
    </w:p>
    <w:p w:rsidR="003638DE" w:rsidRPr="006E709F" w:rsidRDefault="003638DE" w:rsidP="00A801D0">
      <w:pPr>
        <w:pStyle w:val="subsection"/>
      </w:pPr>
      <w:r w:rsidRPr="006E709F">
        <w:tab/>
        <w:t>(10)</w:t>
      </w:r>
      <w:r w:rsidRPr="006E709F">
        <w:tab/>
        <w:t>The responsible entity:</w:t>
      </w:r>
    </w:p>
    <w:p w:rsidR="003638DE" w:rsidRPr="006E709F" w:rsidRDefault="003638DE" w:rsidP="00A801D0">
      <w:pPr>
        <w:pStyle w:val="paragraph"/>
      </w:pPr>
      <w:r w:rsidRPr="006E709F">
        <w:tab/>
        <w:t>(a)</w:t>
      </w:r>
      <w:r w:rsidRPr="006E709F">
        <w:tab/>
        <w:t>must provide the fees and costs of each of the investment options in accordance with Schedule</w:t>
      </w:r>
      <w:r w:rsidR="00DA13DE" w:rsidRPr="006E709F">
        <w:t> </w:t>
      </w:r>
      <w:r w:rsidRPr="006E709F">
        <w:t>10, and may do so by applying, adopting or incorporating a matter in writing; and</w:t>
      </w:r>
    </w:p>
    <w:p w:rsidR="003638DE" w:rsidRPr="006E709F" w:rsidRDefault="003638DE" w:rsidP="00A801D0">
      <w:pPr>
        <w:pStyle w:val="paragraph"/>
      </w:pPr>
      <w:r w:rsidRPr="006E709F">
        <w:tab/>
        <w:t>(b)</w:t>
      </w:r>
      <w:r w:rsidRPr="006E709F">
        <w:tab/>
        <w:t>may provide more detailed information about fees and costs by applying, adopting or incorporating a matter in writing.</w:t>
      </w:r>
    </w:p>
    <w:p w:rsidR="003638DE" w:rsidRPr="006E709F" w:rsidRDefault="00C44525" w:rsidP="00A801D0">
      <w:pPr>
        <w:pStyle w:val="ActHead5"/>
      </w:pPr>
      <w:bookmarkStart w:id="167" w:name="_Toc160609854"/>
      <w:r w:rsidRPr="000C4237">
        <w:rPr>
          <w:rStyle w:val="CharSectno"/>
        </w:rPr>
        <w:t>9</w:t>
      </w:r>
      <w:r w:rsidRPr="006E709F">
        <w:t xml:space="preserve">  </w:t>
      </w:r>
      <w:r w:rsidR="003638DE" w:rsidRPr="006E709F">
        <w:t>Contents of section</w:t>
      </w:r>
      <w:r w:rsidR="00DA13DE" w:rsidRPr="006E709F">
        <w:t> </w:t>
      </w:r>
      <w:r w:rsidR="003638DE" w:rsidRPr="006E709F">
        <w:t>7 (How managed investment schemes are taxed)</w:t>
      </w:r>
      <w:bookmarkEnd w:id="167"/>
    </w:p>
    <w:p w:rsidR="003638DE" w:rsidRPr="006E709F" w:rsidRDefault="003638DE" w:rsidP="00A801D0">
      <w:pPr>
        <w:pStyle w:val="subsection"/>
      </w:pPr>
      <w:r w:rsidRPr="006E709F">
        <w:tab/>
        <w:t>(1)</w:t>
      </w:r>
      <w:r w:rsidRPr="006E709F">
        <w:tab/>
        <w:t>Section</w:t>
      </w:r>
      <w:r w:rsidR="00DA13DE" w:rsidRPr="006E709F">
        <w:t> </w:t>
      </w:r>
      <w:r w:rsidRPr="006E709F">
        <w:t>7 of the Product Disclosure Statement must state, in the form of a warning, that:</w:t>
      </w:r>
    </w:p>
    <w:p w:rsidR="003638DE" w:rsidRPr="006E709F" w:rsidRDefault="003638DE" w:rsidP="00A801D0">
      <w:pPr>
        <w:pStyle w:val="paragraph"/>
      </w:pPr>
      <w:r w:rsidRPr="006E709F">
        <w:tab/>
        <w:t>(a)</w:t>
      </w:r>
      <w:r w:rsidRPr="006E709F">
        <w:tab/>
        <w:t xml:space="preserve">investing in a </w:t>
      </w:r>
      <w:r w:rsidR="00333B75" w:rsidRPr="006E709F">
        <w:t>registered</w:t>
      </w:r>
      <w:r w:rsidRPr="006E709F">
        <w:t xml:space="preserve"> scheme is likely to have tax consequences; and</w:t>
      </w:r>
    </w:p>
    <w:p w:rsidR="003638DE" w:rsidRPr="006E709F" w:rsidRDefault="003638DE" w:rsidP="00A801D0">
      <w:pPr>
        <w:pStyle w:val="paragraph"/>
      </w:pPr>
      <w:r w:rsidRPr="006E709F">
        <w:tab/>
        <w:t>(b)</w:t>
      </w:r>
      <w:r w:rsidRPr="006E709F">
        <w:tab/>
        <w:t>persons are strongly advised to seek professional tax advice.</w:t>
      </w:r>
    </w:p>
    <w:p w:rsidR="003638DE" w:rsidRPr="006E709F" w:rsidRDefault="003638DE" w:rsidP="00A801D0">
      <w:pPr>
        <w:pStyle w:val="subsection"/>
      </w:pPr>
      <w:r w:rsidRPr="006E709F">
        <w:tab/>
        <w:t>(2)</w:t>
      </w:r>
      <w:r w:rsidRPr="006E709F">
        <w:tab/>
        <w:t>Section</w:t>
      </w:r>
      <w:r w:rsidR="00DA13DE" w:rsidRPr="006E709F">
        <w:t> </w:t>
      </w:r>
      <w:r w:rsidRPr="006E709F">
        <w:t>7 must also include statements to the following effect:</w:t>
      </w:r>
    </w:p>
    <w:p w:rsidR="003638DE" w:rsidRPr="006E709F" w:rsidRDefault="003638DE" w:rsidP="00A801D0">
      <w:pPr>
        <w:pStyle w:val="paragraph"/>
      </w:pPr>
      <w:r w:rsidRPr="006E709F">
        <w:tab/>
        <w:t>(a)</w:t>
      </w:r>
      <w:r w:rsidRPr="006E709F">
        <w:tab/>
      </w:r>
      <w:r w:rsidR="00333B75" w:rsidRPr="006E709F">
        <w:t>registered</w:t>
      </w:r>
      <w:r w:rsidRPr="006E709F">
        <w:t xml:space="preserve"> schemes do not pay tax on behalf of members;</w:t>
      </w:r>
    </w:p>
    <w:p w:rsidR="003638DE" w:rsidRPr="006E709F" w:rsidRDefault="003638DE" w:rsidP="00A801D0">
      <w:pPr>
        <w:pStyle w:val="paragraph"/>
      </w:pPr>
      <w:r w:rsidRPr="006E709F">
        <w:tab/>
        <w:t>(b)</w:t>
      </w:r>
      <w:r w:rsidRPr="006E709F">
        <w:tab/>
        <w:t xml:space="preserve">members are assessed for tax on any income and capital gains generated by the </w:t>
      </w:r>
      <w:r w:rsidR="006F2E0A" w:rsidRPr="006E709F">
        <w:t>registered</w:t>
      </w:r>
      <w:r w:rsidRPr="006E709F">
        <w:t xml:space="preserve"> scheme.</w:t>
      </w:r>
    </w:p>
    <w:p w:rsidR="00083EFC" w:rsidRPr="006E709F" w:rsidRDefault="00083EFC" w:rsidP="00A801D0">
      <w:pPr>
        <w:pStyle w:val="subsection"/>
      </w:pPr>
      <w:r w:rsidRPr="006E709F">
        <w:tab/>
        <w:t>(3)</w:t>
      </w:r>
      <w:r w:rsidRPr="006E709F">
        <w:tab/>
        <w:t>The responsible entity may provide additional information about:</w:t>
      </w:r>
    </w:p>
    <w:p w:rsidR="00083EFC" w:rsidRPr="006E709F" w:rsidRDefault="00083EFC" w:rsidP="00A801D0">
      <w:pPr>
        <w:pStyle w:val="paragraph"/>
      </w:pPr>
      <w:r w:rsidRPr="006E709F">
        <w:tab/>
        <w:t>(a)</w:t>
      </w:r>
      <w:r w:rsidRPr="006E709F">
        <w:tab/>
        <w:t xml:space="preserve">taxation matters relating to the </w:t>
      </w:r>
      <w:r w:rsidR="006F2E0A" w:rsidRPr="006E709F">
        <w:t>registered</w:t>
      </w:r>
      <w:r w:rsidRPr="006E709F">
        <w:t xml:space="preserve"> scheme; or</w:t>
      </w:r>
    </w:p>
    <w:p w:rsidR="00083EFC" w:rsidRPr="006E709F" w:rsidRDefault="00083EFC" w:rsidP="00A801D0">
      <w:pPr>
        <w:pStyle w:val="paragraph"/>
      </w:pPr>
      <w:r w:rsidRPr="006E709F">
        <w:tab/>
        <w:t>(b)</w:t>
      </w:r>
      <w:r w:rsidRPr="006E709F">
        <w:tab/>
        <w:t xml:space="preserve">taxation matters relating to </w:t>
      </w:r>
      <w:r w:rsidR="006F2E0A" w:rsidRPr="006E709F">
        <w:t>registered</w:t>
      </w:r>
      <w:r w:rsidRPr="006E709F">
        <w:t xml:space="preserve"> schemes;</w:t>
      </w:r>
    </w:p>
    <w:p w:rsidR="00083EFC" w:rsidRPr="006E709F" w:rsidRDefault="00083EFC" w:rsidP="00A801D0">
      <w:pPr>
        <w:pStyle w:val="subsection2"/>
      </w:pPr>
      <w:r w:rsidRPr="006E709F">
        <w:t>by applying, adopting or incorporating a matter in writing.</w:t>
      </w:r>
    </w:p>
    <w:p w:rsidR="003638DE" w:rsidRPr="006E709F" w:rsidRDefault="00C44525" w:rsidP="00A801D0">
      <w:pPr>
        <w:pStyle w:val="ActHead5"/>
      </w:pPr>
      <w:bookmarkStart w:id="168" w:name="_Toc160609855"/>
      <w:r w:rsidRPr="000C4237">
        <w:rPr>
          <w:rStyle w:val="CharSectno"/>
        </w:rPr>
        <w:t>10</w:t>
      </w:r>
      <w:r w:rsidRPr="006E709F">
        <w:t xml:space="preserve">  </w:t>
      </w:r>
      <w:r w:rsidR="003638DE" w:rsidRPr="006E709F">
        <w:t>Contents of section</w:t>
      </w:r>
      <w:r w:rsidR="00DA13DE" w:rsidRPr="006E709F">
        <w:t> </w:t>
      </w:r>
      <w:r w:rsidR="003638DE" w:rsidRPr="006E709F">
        <w:t>8 (How to apply)</w:t>
      </w:r>
      <w:bookmarkEnd w:id="168"/>
    </w:p>
    <w:p w:rsidR="003638DE" w:rsidRPr="006E709F" w:rsidRDefault="003638DE" w:rsidP="00A801D0">
      <w:pPr>
        <w:pStyle w:val="subsection"/>
      </w:pPr>
      <w:r w:rsidRPr="006E709F">
        <w:tab/>
        <w:t>(1)</w:t>
      </w:r>
      <w:r w:rsidRPr="006E709F">
        <w:tab/>
        <w:t>Section</w:t>
      </w:r>
      <w:r w:rsidR="00DA13DE" w:rsidRPr="006E709F">
        <w:t> </w:t>
      </w:r>
      <w:r w:rsidRPr="006E709F">
        <w:t>8 of the Product Disclosure Statement must:</w:t>
      </w:r>
    </w:p>
    <w:p w:rsidR="003638DE" w:rsidRPr="006E709F" w:rsidRDefault="003638DE" w:rsidP="00A801D0">
      <w:pPr>
        <w:pStyle w:val="paragraph"/>
      </w:pPr>
      <w:r w:rsidRPr="006E709F">
        <w:tab/>
        <w:t>(a)</w:t>
      </w:r>
      <w:r w:rsidRPr="006E709F">
        <w:tab/>
        <w:t>describe, in the form of a summary, how to invest in the simple managed investment scheme; and</w:t>
      </w:r>
    </w:p>
    <w:p w:rsidR="003638DE" w:rsidRPr="006E709F" w:rsidRDefault="003638DE" w:rsidP="00A801D0">
      <w:pPr>
        <w:pStyle w:val="paragraph"/>
      </w:pPr>
      <w:r w:rsidRPr="006E709F">
        <w:tab/>
        <w:t>(b)</w:t>
      </w:r>
      <w:r w:rsidRPr="006E709F">
        <w:tab/>
        <w:t>explain the cooling</w:t>
      </w:r>
      <w:r w:rsidR="000C4237">
        <w:noBreakHyphen/>
      </w:r>
      <w:r w:rsidRPr="006E709F">
        <w:t>off period that applies to the simple managed investment scheme; and</w:t>
      </w:r>
    </w:p>
    <w:p w:rsidR="003638DE" w:rsidRPr="006E709F" w:rsidRDefault="003638DE" w:rsidP="00A801D0">
      <w:pPr>
        <w:pStyle w:val="paragraph"/>
      </w:pPr>
      <w:r w:rsidRPr="006E709F">
        <w:tab/>
        <w:t>(c)</w:t>
      </w:r>
      <w:r w:rsidRPr="006E709F">
        <w:tab/>
        <w:t>explain how to make a complaint (by means that include the provision of relevant contact details).</w:t>
      </w:r>
    </w:p>
    <w:p w:rsidR="003638DE" w:rsidRPr="006E709F" w:rsidRDefault="003638DE" w:rsidP="00A801D0">
      <w:pPr>
        <w:pStyle w:val="subsection"/>
      </w:pPr>
      <w:r w:rsidRPr="006E709F">
        <w:tab/>
        <w:t>(2)</w:t>
      </w:r>
      <w:r w:rsidRPr="006E709F">
        <w:tab/>
        <w:t>The responsible entity:</w:t>
      </w:r>
    </w:p>
    <w:p w:rsidR="003638DE" w:rsidRPr="006E709F" w:rsidRDefault="003638DE" w:rsidP="00A801D0">
      <w:pPr>
        <w:pStyle w:val="paragraph"/>
      </w:pPr>
      <w:r w:rsidRPr="006E709F">
        <w:tab/>
        <w:t>(a)</w:t>
      </w:r>
      <w:r w:rsidRPr="006E709F">
        <w:tab/>
        <w:t>may provide more detailed information about cooling</w:t>
      </w:r>
      <w:r w:rsidR="000C4237">
        <w:noBreakHyphen/>
      </w:r>
      <w:r w:rsidRPr="006E709F">
        <w:t>off periods, complaints and dispute resolution; and</w:t>
      </w:r>
    </w:p>
    <w:p w:rsidR="003638DE" w:rsidRPr="006E709F" w:rsidRDefault="003638DE" w:rsidP="00A801D0">
      <w:pPr>
        <w:pStyle w:val="paragraph"/>
      </w:pPr>
      <w:r w:rsidRPr="006E709F">
        <w:tab/>
        <w:t>(b)</w:t>
      </w:r>
      <w:r w:rsidRPr="006E709F">
        <w:tab/>
        <w:t>may provide that information by applying, adopting or incorporating a matter in writing.</w:t>
      </w:r>
    </w:p>
    <w:p w:rsidR="00953984" w:rsidRPr="006E709F" w:rsidRDefault="00953984" w:rsidP="00953984">
      <w:pPr>
        <w:pStyle w:val="ActHead1"/>
        <w:pageBreakBefore/>
      </w:pPr>
      <w:bookmarkStart w:id="169" w:name="_Toc160609856"/>
      <w:r w:rsidRPr="000C4237">
        <w:rPr>
          <w:rStyle w:val="CharChapNo"/>
        </w:rPr>
        <w:t>Schedule 10F</w:t>
      </w:r>
      <w:r w:rsidRPr="006E709F">
        <w:t>—</w:t>
      </w:r>
      <w:r w:rsidRPr="000C4237">
        <w:rPr>
          <w:rStyle w:val="CharChapText"/>
        </w:rPr>
        <w:t>Form and content of Product Disclosure Statement—simple sub</w:t>
      </w:r>
      <w:r w:rsidR="000C4237" w:rsidRPr="000C4237">
        <w:rPr>
          <w:rStyle w:val="CharChapText"/>
        </w:rPr>
        <w:noBreakHyphen/>
      </w:r>
      <w:r w:rsidRPr="000C4237">
        <w:rPr>
          <w:rStyle w:val="CharChapText"/>
        </w:rPr>
        <w:t>fund products</w:t>
      </w:r>
      <w:bookmarkEnd w:id="169"/>
    </w:p>
    <w:p w:rsidR="00953984" w:rsidRPr="006E709F" w:rsidRDefault="00953984" w:rsidP="00953984">
      <w:pPr>
        <w:pStyle w:val="notemargin"/>
      </w:pPr>
      <w:r w:rsidRPr="006E709F">
        <w:t>(regulation 7.9.11ZE)</w:t>
      </w:r>
    </w:p>
    <w:p w:rsidR="00953984" w:rsidRPr="006E709F" w:rsidRDefault="00953984" w:rsidP="00953984">
      <w:pPr>
        <w:pStyle w:val="Header"/>
      </w:pPr>
      <w:r w:rsidRPr="000C4237">
        <w:rPr>
          <w:rStyle w:val="CharPartNo"/>
        </w:rPr>
        <w:t xml:space="preserve"> </w:t>
      </w:r>
      <w:r w:rsidRPr="000C4237">
        <w:rPr>
          <w:rStyle w:val="CharPartText"/>
        </w:rPr>
        <w:t xml:space="preserve"> </w:t>
      </w:r>
    </w:p>
    <w:p w:rsidR="00953984" w:rsidRPr="006E709F" w:rsidRDefault="00953984" w:rsidP="00953984">
      <w:pPr>
        <w:pStyle w:val="ActHead5"/>
      </w:pPr>
      <w:bookmarkStart w:id="170" w:name="_Toc160609857"/>
      <w:r w:rsidRPr="000C4237">
        <w:rPr>
          <w:rStyle w:val="CharSectno"/>
        </w:rPr>
        <w:t>1</w:t>
      </w:r>
      <w:r w:rsidRPr="006E709F">
        <w:t xml:space="preserve">  Length and font size for Product Disclosure Statement for simple sub</w:t>
      </w:r>
      <w:r w:rsidR="000C4237">
        <w:noBreakHyphen/>
      </w:r>
      <w:r w:rsidRPr="006E709F">
        <w:t>fund product</w:t>
      </w:r>
      <w:bookmarkEnd w:id="170"/>
    </w:p>
    <w:p w:rsidR="00953984" w:rsidRPr="006E709F" w:rsidRDefault="00953984" w:rsidP="00953984">
      <w:pPr>
        <w:pStyle w:val="subsection"/>
      </w:pPr>
      <w:r w:rsidRPr="006E709F">
        <w:tab/>
        <w:t>(1)</w:t>
      </w:r>
      <w:r w:rsidRPr="006E709F">
        <w:tab/>
        <w:t>The length of a Product Disclosure Statement for a simple sub</w:t>
      </w:r>
      <w:r w:rsidR="000C4237">
        <w:noBreakHyphen/>
      </w:r>
      <w:r w:rsidRPr="006E709F">
        <w:t>fund product:</w:t>
      </w:r>
    </w:p>
    <w:p w:rsidR="00953984" w:rsidRPr="006E709F" w:rsidRDefault="00953984" w:rsidP="00953984">
      <w:pPr>
        <w:pStyle w:val="paragraph"/>
      </w:pPr>
      <w:r w:rsidRPr="006E709F">
        <w:tab/>
        <w:t>(a)</w:t>
      </w:r>
      <w:r w:rsidRPr="006E709F">
        <w:tab/>
        <w:t>to which Subdivision 4.2D of Division 4 of Part 7.9 applies; and</w:t>
      </w:r>
    </w:p>
    <w:p w:rsidR="00953984" w:rsidRPr="006E709F" w:rsidRDefault="00953984" w:rsidP="00953984">
      <w:pPr>
        <w:pStyle w:val="paragraph"/>
      </w:pPr>
      <w:r w:rsidRPr="006E709F">
        <w:tab/>
        <w:t>(b)</w:t>
      </w:r>
      <w:r w:rsidRPr="006E709F">
        <w:tab/>
        <w:t>that is referable to a sub</w:t>
      </w:r>
      <w:r w:rsidR="000C4237">
        <w:noBreakHyphen/>
      </w:r>
      <w:r w:rsidRPr="006E709F">
        <w:t>fund of a CCIV;</w:t>
      </w:r>
    </w:p>
    <w:p w:rsidR="00953984" w:rsidRPr="006E709F" w:rsidRDefault="00953984" w:rsidP="00953984">
      <w:pPr>
        <w:pStyle w:val="subsection2"/>
      </w:pPr>
      <w:r w:rsidRPr="006E709F">
        <w:t>must not exceed:</w:t>
      </w:r>
    </w:p>
    <w:p w:rsidR="00953984" w:rsidRPr="006E709F" w:rsidRDefault="00953984" w:rsidP="00953984">
      <w:pPr>
        <w:pStyle w:val="paragraph"/>
      </w:pPr>
      <w:r w:rsidRPr="006E709F">
        <w:tab/>
        <w:t>(c)</w:t>
      </w:r>
      <w:r w:rsidRPr="006E709F">
        <w:tab/>
        <w:t>if it is printed on A4 pages—8 pages; or</w:t>
      </w:r>
    </w:p>
    <w:p w:rsidR="00953984" w:rsidRPr="006E709F" w:rsidRDefault="00953984" w:rsidP="00953984">
      <w:pPr>
        <w:pStyle w:val="paragraph"/>
      </w:pPr>
      <w:r w:rsidRPr="006E709F">
        <w:tab/>
        <w:t>(d)</w:t>
      </w:r>
      <w:r w:rsidRPr="006E709F">
        <w:tab/>
        <w:t>if it is printed on A5 pages—16 pages; or</w:t>
      </w:r>
    </w:p>
    <w:p w:rsidR="00953984" w:rsidRPr="006E709F" w:rsidRDefault="00953984" w:rsidP="00953984">
      <w:pPr>
        <w:pStyle w:val="paragraph"/>
      </w:pPr>
      <w:r w:rsidRPr="006E709F">
        <w:tab/>
        <w:t>(e)</w:t>
      </w:r>
      <w:r w:rsidRPr="006E709F">
        <w:tab/>
        <w:t>if it is printed on DL pages—24 pages; or</w:t>
      </w:r>
    </w:p>
    <w:p w:rsidR="00953984" w:rsidRPr="006E709F" w:rsidRDefault="00953984" w:rsidP="00953984">
      <w:pPr>
        <w:pStyle w:val="paragraph"/>
      </w:pPr>
      <w:r w:rsidRPr="006E709F">
        <w:tab/>
        <w:t>(f)</w:t>
      </w:r>
      <w:r w:rsidRPr="006E709F">
        <w:tab/>
        <w:t>otherwise—if it is formatted to be printed on A4 pages, 8 A4 pages.</w:t>
      </w:r>
    </w:p>
    <w:p w:rsidR="00953984" w:rsidRPr="006E709F" w:rsidRDefault="00953984" w:rsidP="00953984">
      <w:pPr>
        <w:pStyle w:val="subsection2"/>
      </w:pPr>
      <w:r w:rsidRPr="006E709F">
        <w:t>This requirement does not apply to any matter in writing that is applied, adopted or incorporated by the Statement.</w:t>
      </w:r>
    </w:p>
    <w:p w:rsidR="00953984" w:rsidRPr="006E709F" w:rsidRDefault="00953984" w:rsidP="00953984">
      <w:pPr>
        <w:pStyle w:val="subsection"/>
      </w:pPr>
      <w:r w:rsidRPr="006E709F">
        <w:tab/>
        <w:t>(2)</w:t>
      </w:r>
      <w:r w:rsidRPr="006E709F">
        <w:tab/>
        <w:t>The minimum font size for text in the Statement is:</w:t>
      </w:r>
    </w:p>
    <w:p w:rsidR="00953984" w:rsidRPr="006E709F" w:rsidRDefault="00953984" w:rsidP="00953984">
      <w:pPr>
        <w:pStyle w:val="paragraph"/>
      </w:pPr>
      <w:r w:rsidRPr="006E709F">
        <w:tab/>
        <w:t>(a)</w:t>
      </w:r>
      <w:r w:rsidRPr="006E709F">
        <w:tab/>
        <w:t>for the name, address, ABN (if applicable), ACN (if applicable) and AFSL (if applicable) of the corporate director of the CCIV—8 points; and</w:t>
      </w:r>
    </w:p>
    <w:p w:rsidR="00953984" w:rsidRPr="006E709F" w:rsidRDefault="00953984" w:rsidP="00953984">
      <w:pPr>
        <w:pStyle w:val="paragraph"/>
      </w:pPr>
      <w:r w:rsidRPr="006E709F">
        <w:tab/>
        <w:t>(b)</w:t>
      </w:r>
      <w:r w:rsidRPr="006E709F">
        <w:tab/>
        <w:t>for the name, address, ABN (if applicable) and ACN (if applicable) of the CCIV—8 points; and</w:t>
      </w:r>
    </w:p>
    <w:p w:rsidR="00953984" w:rsidRPr="006E709F" w:rsidRDefault="00953984" w:rsidP="00953984">
      <w:pPr>
        <w:pStyle w:val="paragraph"/>
      </w:pPr>
      <w:r w:rsidRPr="006E709F">
        <w:tab/>
        <w:t>(c)</w:t>
      </w:r>
      <w:r w:rsidRPr="006E709F">
        <w:tab/>
        <w:t>for the name, ABN (if applicable) and ARFN (if applicable) of the sub</w:t>
      </w:r>
      <w:r w:rsidR="000C4237">
        <w:noBreakHyphen/>
      </w:r>
      <w:r w:rsidRPr="006E709F">
        <w:t>fund of the CCIV—8 points; and</w:t>
      </w:r>
    </w:p>
    <w:p w:rsidR="00953984" w:rsidRPr="006E709F" w:rsidRDefault="00953984" w:rsidP="00953984">
      <w:pPr>
        <w:pStyle w:val="paragraph"/>
      </w:pPr>
      <w:r w:rsidRPr="006E709F">
        <w:tab/>
        <w:t>(d)</w:t>
      </w:r>
      <w:r w:rsidRPr="006E709F">
        <w:tab/>
        <w:t>for all other text—9 points.</w:t>
      </w:r>
    </w:p>
    <w:p w:rsidR="00953984" w:rsidRPr="006E709F" w:rsidRDefault="00953984" w:rsidP="00953984">
      <w:pPr>
        <w:pStyle w:val="notetext"/>
      </w:pPr>
      <w:r w:rsidRPr="006E709F">
        <w:t>Note 1:</w:t>
      </w:r>
      <w:r w:rsidRPr="006E709F">
        <w:tab/>
        <w:t>The Product Disclosure Statement must be worded and presented in a clear, concise and effective manner—see subsection 1013C(3) of the Act.</w:t>
      </w:r>
    </w:p>
    <w:p w:rsidR="00953984" w:rsidRPr="006E709F" w:rsidRDefault="00953984" w:rsidP="00953984">
      <w:pPr>
        <w:pStyle w:val="notetext"/>
      </w:pPr>
      <w:r w:rsidRPr="006E709F">
        <w:t>Note 2:</w:t>
      </w:r>
      <w:r w:rsidRPr="006E709F">
        <w:tab/>
        <w:t>A person required to a give a Product Disclosure Statement to a vision</w:t>
      </w:r>
      <w:r w:rsidR="000C4237">
        <w:noBreakHyphen/>
      </w:r>
      <w:r w:rsidRPr="006E709F">
        <w:t xml:space="preserve">impaired person must comply with its obligations under the </w:t>
      </w:r>
      <w:r w:rsidRPr="006E709F">
        <w:rPr>
          <w:i/>
        </w:rPr>
        <w:t>Disability Discrimination Act 1992</w:t>
      </w:r>
      <w:r w:rsidRPr="006E709F">
        <w:t>.</w:t>
      </w:r>
    </w:p>
    <w:p w:rsidR="00953984" w:rsidRPr="006E709F" w:rsidRDefault="00953984" w:rsidP="00953984">
      <w:pPr>
        <w:pStyle w:val="ActHead5"/>
      </w:pPr>
      <w:bookmarkStart w:id="171" w:name="_Toc160609858"/>
      <w:r w:rsidRPr="000C4237">
        <w:rPr>
          <w:rStyle w:val="CharSectno"/>
        </w:rPr>
        <w:t>2</w:t>
      </w:r>
      <w:r w:rsidRPr="006E709F">
        <w:t xml:space="preserve">  Minimum content of Product Disclosure Statement for simple sub</w:t>
      </w:r>
      <w:r w:rsidR="000C4237">
        <w:noBreakHyphen/>
      </w:r>
      <w:r w:rsidRPr="006E709F">
        <w:t>fund product</w:t>
      </w:r>
      <w:bookmarkEnd w:id="171"/>
    </w:p>
    <w:p w:rsidR="00953984" w:rsidRPr="006E709F" w:rsidRDefault="00953984" w:rsidP="00953984">
      <w:pPr>
        <w:pStyle w:val="subsection"/>
      </w:pPr>
      <w:r w:rsidRPr="006E709F">
        <w:tab/>
        <w:t>(1)</w:t>
      </w:r>
      <w:r w:rsidRPr="006E709F">
        <w:tab/>
        <w:t>The Product Disclosure Statement for the simple sub</w:t>
      </w:r>
      <w:r w:rsidR="000C4237">
        <w:noBreakHyphen/>
      </w:r>
      <w:r w:rsidRPr="006E709F">
        <w:t>fund product must include sections that are numbered and titled as follows:</w:t>
      </w:r>
    </w:p>
    <w:p w:rsidR="00953984" w:rsidRPr="006E709F" w:rsidRDefault="00953984" w:rsidP="00953984">
      <w:pPr>
        <w:pStyle w:val="paragraph"/>
      </w:pPr>
      <w:r w:rsidRPr="006E709F">
        <w:tab/>
        <w:t>1.</w:t>
      </w:r>
      <w:r w:rsidRPr="006E709F">
        <w:tab/>
        <w:t>About [name of corporate director]</w:t>
      </w:r>
    </w:p>
    <w:p w:rsidR="00953984" w:rsidRPr="006E709F" w:rsidRDefault="00953984" w:rsidP="00953984">
      <w:pPr>
        <w:pStyle w:val="paragraph"/>
      </w:pPr>
      <w:r w:rsidRPr="006E709F">
        <w:tab/>
        <w:t>2.</w:t>
      </w:r>
      <w:r w:rsidRPr="006E709F">
        <w:tab/>
        <w:t>How [name of CCIV and sub</w:t>
      </w:r>
      <w:r w:rsidR="000C4237">
        <w:noBreakHyphen/>
      </w:r>
      <w:r w:rsidRPr="006E709F">
        <w:t>fund] work</w:t>
      </w:r>
    </w:p>
    <w:p w:rsidR="00953984" w:rsidRPr="006E709F" w:rsidRDefault="00953984" w:rsidP="00953984">
      <w:pPr>
        <w:pStyle w:val="paragraph"/>
      </w:pPr>
      <w:r w:rsidRPr="006E709F">
        <w:tab/>
        <w:t>3.</w:t>
      </w:r>
      <w:r w:rsidRPr="006E709F">
        <w:tab/>
        <w:t>Benefits of investing in [name of simple sub</w:t>
      </w:r>
      <w:r w:rsidR="000C4237">
        <w:noBreakHyphen/>
      </w:r>
      <w:r w:rsidRPr="006E709F">
        <w:t>fund product]</w:t>
      </w:r>
    </w:p>
    <w:p w:rsidR="00953984" w:rsidRPr="006E709F" w:rsidRDefault="00953984" w:rsidP="00953984">
      <w:pPr>
        <w:pStyle w:val="paragraph"/>
      </w:pPr>
      <w:r w:rsidRPr="006E709F">
        <w:tab/>
        <w:t>4.</w:t>
      </w:r>
      <w:r w:rsidRPr="006E709F">
        <w:tab/>
        <w:t>Risks of simple sub</w:t>
      </w:r>
      <w:r w:rsidR="000C4237">
        <w:noBreakHyphen/>
      </w:r>
      <w:r w:rsidRPr="006E709F">
        <w:t>fund products</w:t>
      </w:r>
    </w:p>
    <w:p w:rsidR="00953984" w:rsidRPr="006E709F" w:rsidRDefault="00953984" w:rsidP="00953984">
      <w:pPr>
        <w:pStyle w:val="paragraph"/>
      </w:pPr>
      <w:r w:rsidRPr="006E709F">
        <w:tab/>
        <w:t>5.</w:t>
      </w:r>
      <w:r w:rsidRPr="006E709F">
        <w:tab/>
        <w:t>How we invest your money</w:t>
      </w:r>
    </w:p>
    <w:p w:rsidR="00953984" w:rsidRPr="006E709F" w:rsidRDefault="00953984" w:rsidP="00953984">
      <w:pPr>
        <w:pStyle w:val="paragraph"/>
      </w:pPr>
      <w:r w:rsidRPr="006E709F">
        <w:tab/>
        <w:t>6.</w:t>
      </w:r>
      <w:r w:rsidRPr="006E709F">
        <w:tab/>
        <w:t>Fees and costs</w:t>
      </w:r>
    </w:p>
    <w:p w:rsidR="00953984" w:rsidRPr="006E709F" w:rsidRDefault="00953984" w:rsidP="00953984">
      <w:pPr>
        <w:pStyle w:val="paragraph"/>
      </w:pPr>
      <w:r w:rsidRPr="006E709F">
        <w:tab/>
        <w:t>7.</w:t>
      </w:r>
      <w:r w:rsidRPr="006E709F">
        <w:tab/>
        <w:t>How sub</w:t>
      </w:r>
      <w:r w:rsidR="000C4237">
        <w:noBreakHyphen/>
      </w:r>
      <w:r w:rsidRPr="006E709F">
        <w:t>funds of CCIVs are taxed</w:t>
      </w:r>
    </w:p>
    <w:p w:rsidR="00953984" w:rsidRPr="006E709F" w:rsidRDefault="00953984" w:rsidP="00953984">
      <w:pPr>
        <w:pStyle w:val="paragraph"/>
      </w:pPr>
      <w:r w:rsidRPr="006E709F">
        <w:tab/>
        <w:t>8.</w:t>
      </w:r>
      <w:r w:rsidRPr="006E709F">
        <w:tab/>
        <w:t>How to apply.</w:t>
      </w:r>
    </w:p>
    <w:p w:rsidR="00953984" w:rsidRPr="006E709F" w:rsidRDefault="00953984" w:rsidP="00953984">
      <w:pPr>
        <w:pStyle w:val="subsection"/>
      </w:pPr>
      <w:r w:rsidRPr="006E709F">
        <w:tab/>
        <w:t>(2)</w:t>
      </w:r>
      <w:r w:rsidRPr="006E709F">
        <w:tab/>
        <w:t>The Statement must include:</w:t>
      </w:r>
    </w:p>
    <w:p w:rsidR="00953984" w:rsidRPr="006E709F" w:rsidRDefault="00953984" w:rsidP="00953984">
      <w:pPr>
        <w:pStyle w:val="paragraph"/>
      </w:pPr>
      <w:r w:rsidRPr="006E709F">
        <w:tab/>
        <w:t>(a)</w:t>
      </w:r>
      <w:r w:rsidRPr="006E709F">
        <w:tab/>
        <w:t>a table of contents that sets out the titles mentioned in subclause (1); and</w:t>
      </w:r>
    </w:p>
    <w:p w:rsidR="00953984" w:rsidRPr="006E709F" w:rsidRDefault="00953984" w:rsidP="00953984">
      <w:pPr>
        <w:pStyle w:val="paragraph"/>
      </w:pPr>
      <w:r w:rsidRPr="006E709F">
        <w:tab/>
        <w:t>(b)</w:t>
      </w:r>
      <w:r w:rsidRPr="006E709F">
        <w:tab/>
        <w:t>the telephone number of the corporate director of the CCIV to enable a person who invests in the simple sub</w:t>
      </w:r>
      <w:r w:rsidR="000C4237">
        <w:noBreakHyphen/>
      </w:r>
      <w:r w:rsidRPr="006E709F">
        <w:t>fund product to request a copy of the following under regulation 7.9.11ZH:</w:t>
      </w:r>
    </w:p>
    <w:p w:rsidR="00953984" w:rsidRPr="006E709F" w:rsidRDefault="00953984" w:rsidP="00953984">
      <w:pPr>
        <w:pStyle w:val="paragraphsub"/>
      </w:pPr>
      <w:r w:rsidRPr="006E709F">
        <w:tab/>
        <w:t>(i)</w:t>
      </w:r>
      <w:r w:rsidRPr="006E709F">
        <w:tab/>
        <w:t>a copy of the Statement;</w:t>
      </w:r>
    </w:p>
    <w:p w:rsidR="00953984" w:rsidRPr="006E709F" w:rsidRDefault="00953984" w:rsidP="00953984">
      <w:pPr>
        <w:pStyle w:val="paragraphsub"/>
      </w:pPr>
      <w:r w:rsidRPr="006E709F">
        <w:tab/>
        <w:t>(ii)</w:t>
      </w:r>
      <w:r w:rsidRPr="006E709F">
        <w:tab/>
        <w:t>a copy of a matter in writing that is applied, adopted or incorporated by the Statement.</w:t>
      </w:r>
    </w:p>
    <w:p w:rsidR="00953984" w:rsidRPr="006E709F" w:rsidRDefault="00953984" w:rsidP="00953984">
      <w:pPr>
        <w:pStyle w:val="subsection"/>
      </w:pPr>
      <w:r w:rsidRPr="006E709F">
        <w:tab/>
        <w:t>(3)</w:t>
      </w:r>
      <w:r w:rsidRPr="006E709F">
        <w:tab/>
        <w:t>The Statement must:</w:t>
      </w:r>
    </w:p>
    <w:p w:rsidR="00953984" w:rsidRPr="006E709F" w:rsidRDefault="00953984" w:rsidP="00953984">
      <w:pPr>
        <w:pStyle w:val="paragraph"/>
      </w:pPr>
      <w:r w:rsidRPr="006E709F">
        <w:tab/>
        <w:t>(a)</w:t>
      </w:r>
      <w:r w:rsidRPr="006E709F">
        <w:tab/>
        <w:t>advise a person reading the Statement that:</w:t>
      </w:r>
    </w:p>
    <w:p w:rsidR="00953984" w:rsidRPr="006E709F" w:rsidRDefault="00953984" w:rsidP="00953984">
      <w:pPr>
        <w:pStyle w:val="paragraphsub"/>
      </w:pPr>
      <w:r w:rsidRPr="006E709F">
        <w:tab/>
        <w:t>(i)</w:t>
      </w:r>
      <w:r w:rsidRPr="006E709F">
        <w:tab/>
        <w:t>it is a summary of significant information and contains a number of references to important information (each of which forms part of the Statement); and</w:t>
      </w:r>
    </w:p>
    <w:p w:rsidR="00953984" w:rsidRPr="006E709F" w:rsidRDefault="00953984" w:rsidP="00953984">
      <w:pPr>
        <w:pStyle w:val="paragraphsub"/>
      </w:pPr>
      <w:r w:rsidRPr="006E709F">
        <w:tab/>
        <w:t>(ii)</w:t>
      </w:r>
      <w:r w:rsidRPr="006E709F">
        <w:tab/>
        <w:t>persons should consider that information before making a decision about the simple sub</w:t>
      </w:r>
      <w:r w:rsidR="000C4237">
        <w:noBreakHyphen/>
      </w:r>
      <w:r w:rsidRPr="006E709F">
        <w:t>fund product; and</w:t>
      </w:r>
    </w:p>
    <w:p w:rsidR="00953984" w:rsidRPr="006E709F" w:rsidRDefault="00953984" w:rsidP="00953984">
      <w:pPr>
        <w:pStyle w:val="paragraphsub"/>
      </w:pPr>
      <w:r w:rsidRPr="006E709F">
        <w:tab/>
        <w:t>(iii)</w:t>
      </w:r>
      <w:r w:rsidRPr="006E709F">
        <w:tab/>
        <w:t>the information provided in the Statement is general information only and does not take account of the person’s personal financial situation or needs; and</w:t>
      </w:r>
    </w:p>
    <w:p w:rsidR="00953984" w:rsidRPr="006E709F" w:rsidRDefault="00953984" w:rsidP="00953984">
      <w:pPr>
        <w:pStyle w:val="paragraphsub"/>
      </w:pPr>
      <w:r w:rsidRPr="006E709F">
        <w:tab/>
        <w:t>(iv)</w:t>
      </w:r>
      <w:r w:rsidRPr="006E709F">
        <w:tab/>
        <w:t>the person should obtain financial advice tailored to the person’s personal circumstances; and</w:t>
      </w:r>
    </w:p>
    <w:p w:rsidR="00953984" w:rsidRPr="006E709F" w:rsidRDefault="00953984" w:rsidP="00953984">
      <w:pPr>
        <w:pStyle w:val="paragraph"/>
      </w:pPr>
      <w:r w:rsidRPr="006E709F">
        <w:tab/>
        <w:t>(b)</w:t>
      </w:r>
      <w:r w:rsidRPr="006E709F">
        <w:tab/>
        <w:t>display the advice:</w:t>
      </w:r>
    </w:p>
    <w:p w:rsidR="00953984" w:rsidRPr="006E709F" w:rsidRDefault="00953984" w:rsidP="00953984">
      <w:pPr>
        <w:pStyle w:val="paragraphsub"/>
      </w:pPr>
      <w:r w:rsidRPr="006E709F">
        <w:tab/>
        <w:t>(i)</w:t>
      </w:r>
      <w:r w:rsidRPr="006E709F">
        <w:tab/>
        <w:t>at or near the beginning of the document; and</w:t>
      </w:r>
    </w:p>
    <w:p w:rsidR="00953984" w:rsidRPr="006E709F" w:rsidRDefault="00953984" w:rsidP="00953984">
      <w:pPr>
        <w:pStyle w:val="paragraphsub"/>
      </w:pPr>
      <w:r w:rsidRPr="006E709F">
        <w:tab/>
        <w:t>(ii)</w:t>
      </w:r>
      <w:r w:rsidRPr="006E709F">
        <w:tab/>
        <w:t>in a prominent position and style.</w:t>
      </w:r>
    </w:p>
    <w:p w:rsidR="00953984" w:rsidRPr="006E709F" w:rsidRDefault="00953984" w:rsidP="00953984">
      <w:pPr>
        <w:pStyle w:val="subsection"/>
      </w:pPr>
      <w:r w:rsidRPr="006E709F">
        <w:tab/>
        <w:t>(4)</w:t>
      </w:r>
      <w:r w:rsidRPr="006E709F">
        <w:tab/>
        <w:t>The Statement:</w:t>
      </w:r>
    </w:p>
    <w:p w:rsidR="00953984" w:rsidRPr="006E709F" w:rsidRDefault="00953984" w:rsidP="00953984">
      <w:pPr>
        <w:pStyle w:val="paragraph"/>
      </w:pPr>
      <w:r w:rsidRPr="006E709F">
        <w:tab/>
        <w:t>(a)</w:t>
      </w:r>
      <w:r w:rsidRPr="006E709F">
        <w:tab/>
        <w:t>may include additional sections after sections 1 to 8; and</w:t>
      </w:r>
    </w:p>
    <w:p w:rsidR="00953984" w:rsidRPr="006E709F" w:rsidRDefault="00953984" w:rsidP="00953984">
      <w:pPr>
        <w:pStyle w:val="paragraph"/>
      </w:pPr>
      <w:r w:rsidRPr="006E709F">
        <w:tab/>
        <w:t>(b)</w:t>
      </w:r>
      <w:r w:rsidRPr="006E709F">
        <w:tab/>
        <w:t>may include other information;</w:t>
      </w:r>
    </w:p>
    <w:p w:rsidR="00953984" w:rsidRPr="006E709F" w:rsidRDefault="00953984" w:rsidP="00953984">
      <w:pPr>
        <w:pStyle w:val="subsection2"/>
      </w:pPr>
      <w:r w:rsidRPr="006E709F">
        <w:t>to an extent that does not have the effect of contravening subclause 1(1).</w:t>
      </w:r>
    </w:p>
    <w:p w:rsidR="00953984" w:rsidRPr="006E709F" w:rsidRDefault="00953984" w:rsidP="00953984">
      <w:pPr>
        <w:pStyle w:val="subsection"/>
      </w:pPr>
      <w:r w:rsidRPr="006E709F">
        <w:tab/>
        <w:t>(5)</w:t>
      </w:r>
      <w:r w:rsidRPr="006E709F">
        <w:tab/>
        <w:t>The Product Disclosure Statement does not need to indicate that a particular requirement is not applicable to the simple sub</w:t>
      </w:r>
      <w:r w:rsidR="000C4237">
        <w:noBreakHyphen/>
      </w:r>
      <w:r w:rsidRPr="006E709F">
        <w:t>fund product.</w:t>
      </w:r>
    </w:p>
    <w:p w:rsidR="00953984" w:rsidRPr="006E709F" w:rsidRDefault="00953984" w:rsidP="00953984">
      <w:pPr>
        <w:pStyle w:val="notetext"/>
      </w:pPr>
      <w:r w:rsidRPr="006E709F">
        <w:t>Note:</w:t>
      </w:r>
      <w:r w:rsidRPr="006E709F">
        <w:tab/>
        <w:t>The Act, as modified in accordance with Subdivision 4.2D of Division 4 of Part 7.9, requires information to be included in the Product Disclosure Statement only to the extent to which the requirement is applicable to the simple sub</w:t>
      </w:r>
      <w:r w:rsidR="000C4237">
        <w:noBreakHyphen/>
      </w:r>
      <w:r w:rsidRPr="006E709F">
        <w:t>fund product.</w:t>
      </w:r>
    </w:p>
    <w:p w:rsidR="00953984" w:rsidRPr="006E709F" w:rsidRDefault="00953984" w:rsidP="00953984">
      <w:pPr>
        <w:pStyle w:val="ActHead5"/>
      </w:pPr>
      <w:bookmarkStart w:id="172" w:name="_Toc160609859"/>
      <w:r w:rsidRPr="000C4237">
        <w:rPr>
          <w:rStyle w:val="CharSectno"/>
        </w:rPr>
        <w:t>3</w:t>
      </w:r>
      <w:r w:rsidRPr="006E709F">
        <w:t xml:space="preserve">  Contents of section 1 (About [name of corporate director])</w:t>
      </w:r>
      <w:bookmarkEnd w:id="172"/>
    </w:p>
    <w:p w:rsidR="00953984" w:rsidRPr="006E709F" w:rsidRDefault="00953984" w:rsidP="00953984">
      <w:pPr>
        <w:pStyle w:val="subsection"/>
      </w:pPr>
      <w:r w:rsidRPr="006E709F">
        <w:tab/>
        <w:t>(1)</w:t>
      </w:r>
      <w:r w:rsidRPr="006E709F">
        <w:tab/>
        <w:t>Section 1 of the Product Disclosure Statement for the simple sub</w:t>
      </w:r>
      <w:r w:rsidR="000C4237">
        <w:noBreakHyphen/>
      </w:r>
      <w:r w:rsidRPr="006E709F">
        <w:t>fund product must describe, in the form of a summary:</w:t>
      </w:r>
    </w:p>
    <w:p w:rsidR="00953984" w:rsidRPr="006E709F" w:rsidRDefault="00953984" w:rsidP="00953984">
      <w:pPr>
        <w:pStyle w:val="paragraph"/>
      </w:pPr>
      <w:r w:rsidRPr="006E709F">
        <w:tab/>
        <w:t>(a)</w:t>
      </w:r>
      <w:r w:rsidRPr="006E709F">
        <w:tab/>
        <w:t>the corporate director of the CCIV and the corporate director’s role in operating the CCIV in relation to the sub</w:t>
      </w:r>
      <w:r w:rsidR="000C4237">
        <w:noBreakHyphen/>
      </w:r>
      <w:r w:rsidRPr="006E709F">
        <w:t>fund; and</w:t>
      </w:r>
    </w:p>
    <w:p w:rsidR="00953984" w:rsidRPr="006E709F" w:rsidRDefault="00953984" w:rsidP="00953984">
      <w:pPr>
        <w:pStyle w:val="paragraph"/>
      </w:pPr>
      <w:r w:rsidRPr="006E709F">
        <w:tab/>
        <w:t>(b)</w:t>
      </w:r>
      <w:r w:rsidRPr="006E709F">
        <w:tab/>
        <w:t>the investment manager for the sub</w:t>
      </w:r>
      <w:r w:rsidR="000C4237">
        <w:noBreakHyphen/>
      </w:r>
      <w:r w:rsidRPr="006E709F">
        <w:t>fund, if the investment manager for the sub</w:t>
      </w:r>
      <w:r w:rsidR="000C4237">
        <w:noBreakHyphen/>
      </w:r>
      <w:r w:rsidRPr="006E709F">
        <w:t>fund is different from the corporate director of the CCIV.</w:t>
      </w:r>
    </w:p>
    <w:p w:rsidR="00953984" w:rsidRPr="006E709F" w:rsidRDefault="00953984" w:rsidP="00953984">
      <w:pPr>
        <w:pStyle w:val="subsection"/>
      </w:pPr>
      <w:r w:rsidRPr="006E709F">
        <w:tab/>
        <w:t>(2)</w:t>
      </w:r>
      <w:r w:rsidRPr="006E709F">
        <w:tab/>
        <w:t>If there is more than one investment manager for the sub</w:t>
      </w:r>
      <w:r w:rsidR="000C4237">
        <w:noBreakHyphen/>
      </w:r>
      <w:r w:rsidRPr="006E709F">
        <w:t>fund, the Statement may describe a particular manager by applying, adopting or incorporating a matter in writing.</w:t>
      </w:r>
    </w:p>
    <w:p w:rsidR="00953984" w:rsidRPr="006E709F" w:rsidRDefault="00953984" w:rsidP="00953984">
      <w:pPr>
        <w:pStyle w:val="ActHead5"/>
      </w:pPr>
      <w:bookmarkStart w:id="173" w:name="_Toc160609860"/>
      <w:r w:rsidRPr="000C4237">
        <w:rPr>
          <w:rStyle w:val="CharSectno"/>
        </w:rPr>
        <w:t>4</w:t>
      </w:r>
      <w:r w:rsidRPr="006E709F">
        <w:t xml:space="preserve">  Contents of section 2 (How [name of CCIV and sub</w:t>
      </w:r>
      <w:r w:rsidR="000C4237">
        <w:noBreakHyphen/>
      </w:r>
      <w:r w:rsidRPr="006E709F">
        <w:t>fund] work)</w:t>
      </w:r>
      <w:bookmarkEnd w:id="173"/>
    </w:p>
    <w:p w:rsidR="00953984" w:rsidRPr="006E709F" w:rsidRDefault="00953984" w:rsidP="00953984">
      <w:pPr>
        <w:pStyle w:val="subsection"/>
      </w:pPr>
      <w:r w:rsidRPr="006E709F">
        <w:tab/>
        <w:t>(1)</w:t>
      </w:r>
      <w:r w:rsidRPr="006E709F">
        <w:tab/>
        <w:t>Section 2 of the Product Disclosure Statement for the simple sub</w:t>
      </w:r>
      <w:r w:rsidR="000C4237">
        <w:noBreakHyphen/>
      </w:r>
      <w:r w:rsidRPr="006E709F">
        <w:t>fund product must describe, in the form of a summary:</w:t>
      </w:r>
    </w:p>
    <w:p w:rsidR="00953984" w:rsidRPr="006E709F" w:rsidRDefault="00953984" w:rsidP="00953984">
      <w:pPr>
        <w:pStyle w:val="paragraph"/>
      </w:pPr>
      <w:r w:rsidRPr="006E709F">
        <w:tab/>
        <w:t>(a)</w:t>
      </w:r>
      <w:r w:rsidRPr="006E709F">
        <w:tab/>
        <w:t>how the CCIV and the sub</w:t>
      </w:r>
      <w:r w:rsidR="000C4237">
        <w:noBreakHyphen/>
      </w:r>
      <w:r w:rsidRPr="006E709F">
        <w:t>fund of the CCIV work; and</w:t>
      </w:r>
    </w:p>
    <w:p w:rsidR="00953984" w:rsidRPr="006E709F" w:rsidRDefault="00953984" w:rsidP="00953984">
      <w:pPr>
        <w:pStyle w:val="paragraph"/>
      </w:pPr>
      <w:r w:rsidRPr="006E709F">
        <w:tab/>
        <w:t>(b)</w:t>
      </w:r>
      <w:r w:rsidRPr="006E709F">
        <w:tab/>
        <w:t>the rights and interests that members of the sub</w:t>
      </w:r>
      <w:r w:rsidR="000C4237">
        <w:noBreakHyphen/>
      </w:r>
      <w:r w:rsidRPr="006E709F">
        <w:t>fund of the CCIV acquire.</w:t>
      </w:r>
    </w:p>
    <w:p w:rsidR="00953984" w:rsidRPr="006E709F" w:rsidRDefault="00953984" w:rsidP="00953984">
      <w:pPr>
        <w:pStyle w:val="subsection"/>
      </w:pPr>
      <w:r w:rsidRPr="006E709F">
        <w:tab/>
        <w:t>(2)</w:t>
      </w:r>
      <w:r w:rsidRPr="006E709F">
        <w:tab/>
        <w:t>Section 2 must:</w:t>
      </w:r>
    </w:p>
    <w:p w:rsidR="00953984" w:rsidRPr="006E709F" w:rsidRDefault="00953984" w:rsidP="00953984">
      <w:pPr>
        <w:pStyle w:val="paragraph"/>
      </w:pPr>
      <w:r w:rsidRPr="006E709F">
        <w:tab/>
        <w:t>(a)</w:t>
      </w:r>
      <w:r w:rsidRPr="006E709F">
        <w:tab/>
        <w:t>if applicable—describe, in the form of a summary, the minimum investment amounts; and</w:t>
      </w:r>
    </w:p>
    <w:p w:rsidR="00953984" w:rsidRPr="006E709F" w:rsidRDefault="00953984" w:rsidP="00953984">
      <w:pPr>
        <w:pStyle w:val="paragraph"/>
      </w:pPr>
      <w:r w:rsidRPr="006E709F">
        <w:tab/>
        <w:t>(b)</w:t>
      </w:r>
      <w:r w:rsidRPr="006E709F">
        <w:tab/>
        <w:t>provide information about the structure of the CCIV and the sub</w:t>
      </w:r>
      <w:r w:rsidR="000C4237">
        <w:noBreakHyphen/>
      </w:r>
      <w:r w:rsidRPr="006E709F">
        <w:t>fund of the CCIV; and</w:t>
      </w:r>
    </w:p>
    <w:p w:rsidR="00953984" w:rsidRPr="006E709F" w:rsidRDefault="00953984" w:rsidP="00953984">
      <w:pPr>
        <w:pStyle w:val="paragraph"/>
      </w:pPr>
      <w:r w:rsidRPr="006E709F">
        <w:tab/>
        <w:t>(c)</w:t>
      </w:r>
      <w:r w:rsidRPr="006E709F">
        <w:tab/>
        <w:t>state, in general terms, that the value of securities will vary as the market value of the assets of the sub</w:t>
      </w:r>
      <w:r w:rsidR="000C4237">
        <w:noBreakHyphen/>
      </w:r>
      <w:r w:rsidRPr="006E709F">
        <w:t>fund of the CCIV rise or fall; and</w:t>
      </w:r>
    </w:p>
    <w:p w:rsidR="00953984" w:rsidRPr="006E709F" w:rsidRDefault="00953984" w:rsidP="00953984">
      <w:pPr>
        <w:pStyle w:val="paragraph"/>
      </w:pPr>
      <w:r w:rsidRPr="006E709F">
        <w:tab/>
        <w:t>(d)</w:t>
      </w:r>
      <w:r w:rsidRPr="006E709F">
        <w:tab/>
        <w:t>describe, in the form of a summary, how members of the sub</w:t>
      </w:r>
      <w:r w:rsidR="000C4237">
        <w:noBreakHyphen/>
      </w:r>
      <w:r w:rsidRPr="006E709F">
        <w:t>fund can increase or decrease their investment by acquiring securities or disposing of securities; and</w:t>
      </w:r>
    </w:p>
    <w:p w:rsidR="00953984" w:rsidRPr="006E709F" w:rsidRDefault="00953984" w:rsidP="00953984">
      <w:pPr>
        <w:pStyle w:val="paragraph"/>
      </w:pPr>
      <w:r w:rsidRPr="006E709F">
        <w:tab/>
        <w:t>(e)</w:t>
      </w:r>
      <w:r w:rsidRPr="006E709F">
        <w:tab/>
        <w:t>state, in general terms, that in some circumstances, such as when there is a freeze on redemptions, members of the sub</w:t>
      </w:r>
      <w:r w:rsidR="000C4237">
        <w:noBreakHyphen/>
      </w:r>
      <w:r w:rsidRPr="006E709F">
        <w:t>fund may not be able to redeem shares or dispose of securities within the usual period upon request; and</w:t>
      </w:r>
    </w:p>
    <w:p w:rsidR="00953984" w:rsidRPr="006E709F" w:rsidRDefault="00953984" w:rsidP="00953984">
      <w:pPr>
        <w:pStyle w:val="paragraph"/>
      </w:pPr>
      <w:r w:rsidRPr="006E709F">
        <w:tab/>
        <w:t>(f)</w:t>
      </w:r>
      <w:r w:rsidRPr="006E709F">
        <w:tab/>
        <w:t>describe the frequency of distributions and explain how distributions are calculated.</w:t>
      </w:r>
    </w:p>
    <w:p w:rsidR="00953984" w:rsidRPr="006E709F" w:rsidRDefault="00953984" w:rsidP="00953984">
      <w:pPr>
        <w:pStyle w:val="subsection"/>
      </w:pPr>
      <w:r w:rsidRPr="006E709F">
        <w:tab/>
        <w:t>(3)</w:t>
      </w:r>
      <w:r w:rsidRPr="006E709F">
        <w:tab/>
        <w:t>The CCIV:</w:t>
      </w:r>
    </w:p>
    <w:p w:rsidR="00953984" w:rsidRPr="006E709F" w:rsidRDefault="00953984" w:rsidP="00953984">
      <w:pPr>
        <w:pStyle w:val="paragraph"/>
      </w:pPr>
      <w:r w:rsidRPr="006E709F">
        <w:tab/>
        <w:t>(a)</w:t>
      </w:r>
      <w:r w:rsidRPr="006E709F">
        <w:tab/>
        <w:t>may provide more detailed information on the acquisition and disposal of securities; and</w:t>
      </w:r>
    </w:p>
    <w:p w:rsidR="00953984" w:rsidRPr="006E709F" w:rsidRDefault="00953984" w:rsidP="00953984">
      <w:pPr>
        <w:pStyle w:val="paragraph"/>
      </w:pPr>
      <w:r w:rsidRPr="006E709F">
        <w:tab/>
        <w:t>(b)</w:t>
      </w:r>
      <w:r w:rsidRPr="006E709F">
        <w:tab/>
        <w:t>may provide the information by applying, adopting or incorporating a matter in writing.</w:t>
      </w:r>
    </w:p>
    <w:p w:rsidR="00953984" w:rsidRPr="006E709F" w:rsidRDefault="00953984" w:rsidP="00953984">
      <w:pPr>
        <w:pStyle w:val="ActHead5"/>
      </w:pPr>
      <w:bookmarkStart w:id="174" w:name="_Toc160609861"/>
      <w:r w:rsidRPr="000C4237">
        <w:rPr>
          <w:rStyle w:val="CharSectno"/>
        </w:rPr>
        <w:t>5</w:t>
      </w:r>
      <w:r w:rsidRPr="006E709F">
        <w:t xml:space="preserve">  Contents of section 3 (Benefits of investing in [name of simple sub</w:t>
      </w:r>
      <w:r w:rsidR="000C4237">
        <w:noBreakHyphen/>
      </w:r>
      <w:r w:rsidRPr="006E709F">
        <w:t>fund product])</w:t>
      </w:r>
      <w:bookmarkEnd w:id="174"/>
    </w:p>
    <w:p w:rsidR="00953984" w:rsidRPr="006E709F" w:rsidRDefault="00953984" w:rsidP="00953984">
      <w:pPr>
        <w:pStyle w:val="subsection"/>
      </w:pPr>
      <w:r w:rsidRPr="006E709F">
        <w:tab/>
        <w:t>(1)</w:t>
      </w:r>
      <w:r w:rsidRPr="006E709F">
        <w:tab/>
        <w:t>Section 3 of the Product Disclosure Statement for the simple sub</w:t>
      </w:r>
      <w:r w:rsidR="000C4237">
        <w:noBreakHyphen/>
      </w:r>
      <w:r w:rsidRPr="006E709F">
        <w:t>fund product must, before setting out any other information, describe, in the form of a summary:</w:t>
      </w:r>
    </w:p>
    <w:p w:rsidR="00953984" w:rsidRPr="006E709F" w:rsidRDefault="00953984" w:rsidP="00953984">
      <w:pPr>
        <w:pStyle w:val="paragraph"/>
      </w:pPr>
      <w:r w:rsidRPr="006E709F">
        <w:tab/>
        <w:t>(a)</w:t>
      </w:r>
      <w:r w:rsidRPr="006E709F">
        <w:tab/>
        <w:t>the significant features of the simple sub</w:t>
      </w:r>
      <w:r w:rsidR="000C4237">
        <w:noBreakHyphen/>
      </w:r>
      <w:r w:rsidRPr="006E709F">
        <w:t>fund product; and</w:t>
      </w:r>
    </w:p>
    <w:p w:rsidR="00953984" w:rsidRPr="006E709F" w:rsidRDefault="00953984" w:rsidP="00953984">
      <w:pPr>
        <w:pStyle w:val="paragraph"/>
      </w:pPr>
      <w:r w:rsidRPr="006E709F">
        <w:tab/>
        <w:t>(b)</w:t>
      </w:r>
      <w:r w:rsidRPr="006E709F">
        <w:tab/>
        <w:t>the significant benefits of the simple sub</w:t>
      </w:r>
      <w:r w:rsidR="000C4237">
        <w:noBreakHyphen/>
      </w:r>
      <w:r w:rsidRPr="006E709F">
        <w:t>fund product.</w:t>
      </w:r>
    </w:p>
    <w:p w:rsidR="00953984" w:rsidRPr="006E709F" w:rsidRDefault="00953984" w:rsidP="00953984">
      <w:pPr>
        <w:pStyle w:val="subsection"/>
      </w:pPr>
      <w:r w:rsidRPr="006E709F">
        <w:tab/>
        <w:t>(2)</w:t>
      </w:r>
      <w:r w:rsidRPr="006E709F">
        <w:tab/>
        <w:t>The CCIV may provide additional information about:</w:t>
      </w:r>
    </w:p>
    <w:p w:rsidR="00953984" w:rsidRPr="006E709F" w:rsidRDefault="00953984" w:rsidP="00953984">
      <w:pPr>
        <w:pStyle w:val="paragraph"/>
      </w:pPr>
      <w:r w:rsidRPr="006E709F">
        <w:tab/>
        <w:t>(a)</w:t>
      </w:r>
      <w:r w:rsidRPr="006E709F">
        <w:tab/>
        <w:t>any feature or benefit of the simple sub</w:t>
      </w:r>
      <w:r w:rsidR="000C4237">
        <w:noBreakHyphen/>
      </w:r>
      <w:r w:rsidRPr="006E709F">
        <w:t>fund product; or</w:t>
      </w:r>
    </w:p>
    <w:p w:rsidR="00953984" w:rsidRPr="006E709F" w:rsidRDefault="00953984" w:rsidP="00953984">
      <w:pPr>
        <w:pStyle w:val="paragraph"/>
      </w:pPr>
      <w:r w:rsidRPr="006E709F">
        <w:tab/>
        <w:t>(b)</w:t>
      </w:r>
      <w:r w:rsidRPr="006E709F">
        <w:tab/>
        <w:t>other features and benefits of the simple sub</w:t>
      </w:r>
      <w:r w:rsidR="000C4237">
        <w:noBreakHyphen/>
      </w:r>
      <w:r w:rsidRPr="006E709F">
        <w:t>fund product; or</w:t>
      </w:r>
    </w:p>
    <w:p w:rsidR="00953984" w:rsidRPr="006E709F" w:rsidRDefault="00953984" w:rsidP="00953984">
      <w:pPr>
        <w:pStyle w:val="paragraph"/>
      </w:pPr>
      <w:r w:rsidRPr="006E709F">
        <w:tab/>
        <w:t>(c)</w:t>
      </w:r>
      <w:r w:rsidRPr="006E709F">
        <w:tab/>
        <w:t>other features and benefits of simple sub</w:t>
      </w:r>
      <w:r w:rsidR="000C4237">
        <w:noBreakHyphen/>
      </w:r>
      <w:r w:rsidRPr="006E709F">
        <w:t>fund products;</w:t>
      </w:r>
    </w:p>
    <w:p w:rsidR="00953984" w:rsidRPr="006E709F" w:rsidRDefault="00953984" w:rsidP="00953984">
      <w:pPr>
        <w:pStyle w:val="subsection2"/>
      </w:pPr>
      <w:r w:rsidRPr="006E709F">
        <w:t>by applying, adopting or incorporating a matter in writing.</w:t>
      </w:r>
    </w:p>
    <w:p w:rsidR="00953984" w:rsidRPr="006E709F" w:rsidRDefault="00953984" w:rsidP="00953984">
      <w:pPr>
        <w:pStyle w:val="ActHead5"/>
      </w:pPr>
      <w:bookmarkStart w:id="175" w:name="_Toc160609862"/>
      <w:r w:rsidRPr="000C4237">
        <w:rPr>
          <w:rStyle w:val="CharSectno"/>
        </w:rPr>
        <w:t>6</w:t>
      </w:r>
      <w:r w:rsidRPr="006E709F">
        <w:t xml:space="preserve">  Contents of section 4 (Risks of simple sub</w:t>
      </w:r>
      <w:r w:rsidR="000C4237">
        <w:noBreakHyphen/>
      </w:r>
      <w:r w:rsidRPr="006E709F">
        <w:t>fund products)</w:t>
      </w:r>
      <w:bookmarkEnd w:id="175"/>
    </w:p>
    <w:p w:rsidR="00953984" w:rsidRPr="006E709F" w:rsidRDefault="00953984" w:rsidP="00953984">
      <w:pPr>
        <w:pStyle w:val="subsection"/>
      </w:pPr>
      <w:r w:rsidRPr="006E709F">
        <w:tab/>
        <w:t>(1)</w:t>
      </w:r>
      <w:r w:rsidRPr="006E709F">
        <w:tab/>
        <w:t>Section 4 of the Product Disclosure Statement for the simple sub</w:t>
      </w:r>
      <w:r w:rsidR="000C4237">
        <w:noBreakHyphen/>
      </w:r>
      <w:r w:rsidRPr="006E709F">
        <w:t>fund product must include statements to the following effect:</w:t>
      </w:r>
    </w:p>
    <w:p w:rsidR="00953984" w:rsidRPr="006E709F" w:rsidRDefault="00953984" w:rsidP="00953984">
      <w:pPr>
        <w:pStyle w:val="paragraph"/>
      </w:pPr>
      <w:r w:rsidRPr="006E709F">
        <w:tab/>
        <w:t>(a)</w:t>
      </w:r>
      <w:r w:rsidRPr="006E709F">
        <w:tab/>
        <w:t>all investments carry risk;</w:t>
      </w:r>
    </w:p>
    <w:p w:rsidR="00953984" w:rsidRPr="006E709F" w:rsidRDefault="00953984" w:rsidP="00953984">
      <w:pPr>
        <w:pStyle w:val="paragraph"/>
      </w:pPr>
      <w:r w:rsidRPr="006E709F">
        <w:tab/>
        <w:t>(b)</w:t>
      </w:r>
      <w:r w:rsidRPr="006E709F">
        <w:tab/>
        <w:t>different strategies may carry different levels of risk, depending on the assets that make up the strategy;</w:t>
      </w:r>
    </w:p>
    <w:p w:rsidR="00953984" w:rsidRPr="006E709F" w:rsidRDefault="00953984" w:rsidP="00953984">
      <w:pPr>
        <w:pStyle w:val="paragraph"/>
      </w:pPr>
      <w:r w:rsidRPr="006E709F">
        <w:tab/>
        <w:t>(c)</w:t>
      </w:r>
      <w:r w:rsidRPr="006E709F">
        <w:tab/>
        <w:t>assets with the highest long</w:t>
      </w:r>
      <w:r w:rsidR="000C4237">
        <w:noBreakHyphen/>
      </w:r>
      <w:r w:rsidRPr="006E709F">
        <w:t>term returns may also carry the highest level of short</w:t>
      </w:r>
      <w:r w:rsidR="000C4237">
        <w:noBreakHyphen/>
      </w:r>
      <w:r w:rsidRPr="006E709F">
        <w:t>term risk.</w:t>
      </w:r>
    </w:p>
    <w:p w:rsidR="00953984" w:rsidRPr="006E709F" w:rsidRDefault="00953984" w:rsidP="00953984">
      <w:pPr>
        <w:pStyle w:val="subsection"/>
      </w:pPr>
      <w:r w:rsidRPr="006E709F">
        <w:tab/>
        <w:t>(2)</w:t>
      </w:r>
      <w:r w:rsidRPr="006E709F">
        <w:tab/>
        <w:t>Section 4 must describe, in the form of a summary, the significant risks of the particular simple sub</w:t>
      </w:r>
      <w:r w:rsidR="000C4237">
        <w:noBreakHyphen/>
      </w:r>
      <w:r w:rsidRPr="006E709F">
        <w:t>fund product.</w:t>
      </w:r>
    </w:p>
    <w:p w:rsidR="00953984" w:rsidRPr="006E709F" w:rsidRDefault="00953984" w:rsidP="00953984">
      <w:pPr>
        <w:pStyle w:val="subsection"/>
      </w:pPr>
      <w:r w:rsidRPr="006E709F">
        <w:tab/>
        <w:t>(3)</w:t>
      </w:r>
      <w:r w:rsidRPr="006E709F">
        <w:tab/>
        <w:t>Section 4 must describe the significant risks of simple sub</w:t>
      </w:r>
      <w:r w:rsidR="000C4237">
        <w:noBreakHyphen/>
      </w:r>
      <w:r w:rsidRPr="006E709F">
        <w:t>fund products (to the extent only that the description required by subclause (2) has not already described the risk) by including statements to the following effect:</w:t>
      </w:r>
    </w:p>
    <w:p w:rsidR="00953984" w:rsidRPr="006E709F" w:rsidRDefault="00953984" w:rsidP="00953984">
      <w:pPr>
        <w:pStyle w:val="paragraph"/>
      </w:pPr>
      <w:r w:rsidRPr="006E709F">
        <w:tab/>
        <w:t>(a)</w:t>
      </w:r>
      <w:r w:rsidRPr="006E709F">
        <w:tab/>
        <w:t>the value of investments will vary;</w:t>
      </w:r>
    </w:p>
    <w:p w:rsidR="00953984" w:rsidRPr="006E709F" w:rsidRDefault="00953984" w:rsidP="00953984">
      <w:pPr>
        <w:pStyle w:val="paragraph"/>
      </w:pPr>
      <w:r w:rsidRPr="006E709F">
        <w:tab/>
        <w:t>(b)</w:t>
      </w:r>
      <w:r w:rsidRPr="006E709F">
        <w:tab/>
        <w:t>the level of returns will vary, and future returns may differ from past returns;</w:t>
      </w:r>
    </w:p>
    <w:p w:rsidR="00953984" w:rsidRPr="006E709F" w:rsidRDefault="00953984" w:rsidP="00953984">
      <w:pPr>
        <w:pStyle w:val="paragraph"/>
      </w:pPr>
      <w:r w:rsidRPr="006E709F">
        <w:tab/>
        <w:t>(c)</w:t>
      </w:r>
      <w:r w:rsidRPr="006E709F">
        <w:tab/>
        <w:t>returns are not guaranteed, and members may lose some of their money;</w:t>
      </w:r>
    </w:p>
    <w:p w:rsidR="00953984" w:rsidRPr="006E709F" w:rsidRDefault="00953984" w:rsidP="00953984">
      <w:pPr>
        <w:pStyle w:val="paragraph"/>
      </w:pPr>
      <w:r w:rsidRPr="006E709F">
        <w:tab/>
        <w:t>(d)</w:t>
      </w:r>
      <w:r w:rsidRPr="006E709F">
        <w:tab/>
        <w:t>laws affecting CCIVs may change in the future;</w:t>
      </w:r>
    </w:p>
    <w:p w:rsidR="00953984" w:rsidRPr="006E709F" w:rsidRDefault="00953984" w:rsidP="00953984">
      <w:pPr>
        <w:pStyle w:val="paragraph"/>
      </w:pPr>
      <w:r w:rsidRPr="006E709F">
        <w:tab/>
        <w:t>(e)</w:t>
      </w:r>
      <w:r w:rsidRPr="006E709F">
        <w:tab/>
        <w:t>the level of risk for each person will vary depending on a range of factors, including:</w:t>
      </w:r>
    </w:p>
    <w:p w:rsidR="00953984" w:rsidRPr="006E709F" w:rsidRDefault="00953984" w:rsidP="00953984">
      <w:pPr>
        <w:pStyle w:val="paragraphsub"/>
      </w:pPr>
      <w:r w:rsidRPr="006E709F">
        <w:tab/>
        <w:t>(i)</w:t>
      </w:r>
      <w:r w:rsidRPr="006E709F">
        <w:tab/>
        <w:t>age; and</w:t>
      </w:r>
    </w:p>
    <w:p w:rsidR="00953984" w:rsidRPr="006E709F" w:rsidRDefault="00953984" w:rsidP="00953984">
      <w:pPr>
        <w:pStyle w:val="paragraphsub"/>
      </w:pPr>
      <w:r w:rsidRPr="006E709F">
        <w:tab/>
        <w:t>(ii)</w:t>
      </w:r>
      <w:r w:rsidRPr="006E709F">
        <w:tab/>
        <w:t>investment time frames; and</w:t>
      </w:r>
    </w:p>
    <w:p w:rsidR="00953984" w:rsidRPr="006E709F" w:rsidRDefault="00953984" w:rsidP="00953984">
      <w:pPr>
        <w:pStyle w:val="paragraphsub"/>
      </w:pPr>
      <w:r w:rsidRPr="006E709F">
        <w:tab/>
        <w:t>(iii)</w:t>
      </w:r>
      <w:r w:rsidRPr="006E709F">
        <w:tab/>
        <w:t>where other parts of the person’s wealth are invested; and</w:t>
      </w:r>
    </w:p>
    <w:p w:rsidR="00953984" w:rsidRPr="006E709F" w:rsidRDefault="00953984" w:rsidP="00953984">
      <w:pPr>
        <w:pStyle w:val="paragraphsub"/>
      </w:pPr>
      <w:r w:rsidRPr="006E709F">
        <w:tab/>
        <w:t>(iv)</w:t>
      </w:r>
      <w:r w:rsidRPr="006E709F">
        <w:tab/>
        <w:t>the person’s risk tolerance.</w:t>
      </w:r>
    </w:p>
    <w:p w:rsidR="00953984" w:rsidRPr="006E709F" w:rsidRDefault="00953984" w:rsidP="00953984">
      <w:pPr>
        <w:pStyle w:val="subsection"/>
      </w:pPr>
      <w:r w:rsidRPr="006E709F">
        <w:tab/>
        <w:t>(4)</w:t>
      </w:r>
      <w:r w:rsidRPr="006E709F">
        <w:tab/>
        <w:t>The CCIV may provide additional information about significant risks of simple sub</w:t>
      </w:r>
      <w:r w:rsidR="000C4237">
        <w:noBreakHyphen/>
      </w:r>
      <w:r w:rsidRPr="006E709F">
        <w:t>fund products by applying, adopting or incorporating a matter in writing.</w:t>
      </w:r>
    </w:p>
    <w:p w:rsidR="00953984" w:rsidRPr="006E709F" w:rsidRDefault="00953984" w:rsidP="00953984">
      <w:pPr>
        <w:pStyle w:val="ActHead5"/>
      </w:pPr>
      <w:bookmarkStart w:id="176" w:name="_Toc160609863"/>
      <w:r w:rsidRPr="000C4237">
        <w:rPr>
          <w:rStyle w:val="CharSectno"/>
        </w:rPr>
        <w:t>7</w:t>
      </w:r>
      <w:r w:rsidRPr="006E709F">
        <w:t xml:space="preserve">  Contents of section 5 (How we invest your money)</w:t>
      </w:r>
      <w:bookmarkEnd w:id="176"/>
    </w:p>
    <w:p w:rsidR="00953984" w:rsidRPr="006E709F" w:rsidRDefault="00953984" w:rsidP="00953984">
      <w:pPr>
        <w:pStyle w:val="subsection"/>
      </w:pPr>
      <w:r w:rsidRPr="006E709F">
        <w:tab/>
        <w:t>(1)</w:t>
      </w:r>
      <w:r w:rsidRPr="006E709F">
        <w:tab/>
        <w:t>Section 5 of the Product Disclosure Statement for the simple sub</w:t>
      </w:r>
      <w:r w:rsidR="000C4237">
        <w:noBreakHyphen/>
      </w:r>
      <w:r w:rsidRPr="006E709F">
        <w:t>fund product must describe, in the form of a summary, the investment options offered by the CCIV.</w:t>
      </w:r>
    </w:p>
    <w:p w:rsidR="00953984" w:rsidRPr="006E709F" w:rsidRDefault="00953984" w:rsidP="00953984">
      <w:pPr>
        <w:pStyle w:val="subsection"/>
      </w:pPr>
      <w:r w:rsidRPr="006E709F">
        <w:tab/>
        <w:t>(2)</w:t>
      </w:r>
      <w:r w:rsidRPr="006E709F">
        <w:tab/>
        <w:t>Section 5 must state, in the form of a warning, that the person should consider:</w:t>
      </w:r>
    </w:p>
    <w:p w:rsidR="00953984" w:rsidRPr="006E709F" w:rsidRDefault="00953984" w:rsidP="00953984">
      <w:pPr>
        <w:pStyle w:val="paragraph"/>
      </w:pPr>
      <w:r w:rsidRPr="006E709F">
        <w:tab/>
        <w:t>(a)</w:t>
      </w:r>
      <w:r w:rsidRPr="006E709F">
        <w:tab/>
        <w:t>the likely investment return; and</w:t>
      </w:r>
    </w:p>
    <w:p w:rsidR="00953984" w:rsidRPr="006E709F" w:rsidRDefault="00953984" w:rsidP="00953984">
      <w:pPr>
        <w:pStyle w:val="paragraph"/>
      </w:pPr>
      <w:r w:rsidRPr="006E709F">
        <w:tab/>
        <w:t>(b)</w:t>
      </w:r>
      <w:r w:rsidRPr="006E709F">
        <w:tab/>
        <w:t>the risk; and</w:t>
      </w:r>
    </w:p>
    <w:p w:rsidR="00953984" w:rsidRPr="006E709F" w:rsidRDefault="00953984" w:rsidP="00953984">
      <w:pPr>
        <w:pStyle w:val="paragraph"/>
      </w:pPr>
      <w:r w:rsidRPr="006E709F">
        <w:tab/>
        <w:t>(c)</w:t>
      </w:r>
      <w:r w:rsidRPr="006E709F">
        <w:tab/>
        <w:t>the person’s investment time frame;</w:t>
      </w:r>
    </w:p>
    <w:p w:rsidR="00953984" w:rsidRPr="006E709F" w:rsidRDefault="00953984" w:rsidP="00953984">
      <w:pPr>
        <w:pStyle w:val="subsection2"/>
      </w:pPr>
      <w:r w:rsidRPr="006E709F">
        <w:t>when choosing an option in which to invest.</w:t>
      </w:r>
    </w:p>
    <w:p w:rsidR="00953984" w:rsidRPr="006E709F" w:rsidRDefault="00953984" w:rsidP="00953984">
      <w:pPr>
        <w:pStyle w:val="SubsectionHead"/>
      </w:pPr>
      <w:r w:rsidRPr="006E709F">
        <w:t>New simple sub</w:t>
      </w:r>
      <w:r w:rsidR="000C4237">
        <w:noBreakHyphen/>
      </w:r>
      <w:r w:rsidRPr="006E709F">
        <w:t>fund product</w:t>
      </w:r>
    </w:p>
    <w:p w:rsidR="00953984" w:rsidRPr="006E709F" w:rsidRDefault="00953984" w:rsidP="00953984">
      <w:pPr>
        <w:pStyle w:val="subsection"/>
      </w:pPr>
      <w:r w:rsidRPr="006E709F">
        <w:tab/>
        <w:t>(3)</w:t>
      </w:r>
      <w:r w:rsidRPr="006E709F">
        <w:tab/>
        <w:t>If the simple sub</w:t>
      </w:r>
      <w:r w:rsidR="000C4237">
        <w:noBreakHyphen/>
      </w:r>
      <w:r w:rsidRPr="006E709F">
        <w:t>fund product has never previously been offered to investors, and the CCIV does not offer any investment option mentioned in subclauses (4) and (5), section 5 must give the following information for the investment option for the CCIV that the corporate director reasonably believes has the least volatile underlying assets (whether or not section 5 gives that information for any other investment option):</w:t>
      </w:r>
    </w:p>
    <w:p w:rsidR="00953984" w:rsidRPr="006E709F" w:rsidRDefault="00953984" w:rsidP="00953984">
      <w:pPr>
        <w:pStyle w:val="paragraph"/>
      </w:pPr>
      <w:r w:rsidRPr="006E709F">
        <w:tab/>
        <w:t>(a)</w:t>
      </w:r>
      <w:r w:rsidRPr="006E709F">
        <w:tab/>
        <w:t>the name of the option and a short description of it, including the type of investors for whom it is intended to be suitable;</w:t>
      </w:r>
    </w:p>
    <w:p w:rsidR="00953984" w:rsidRPr="006E709F" w:rsidRDefault="00953984" w:rsidP="00953984">
      <w:pPr>
        <w:pStyle w:val="paragraph"/>
      </w:pPr>
      <w:r w:rsidRPr="006E709F">
        <w:tab/>
        <w:t>(b)</w:t>
      </w:r>
      <w:r w:rsidRPr="006E709F">
        <w:tab/>
        <w:t>a list of the asset classes in which the option invests, setting out the strategic asset allocation of the asset classes in the form of a range or otherwise;</w:t>
      </w:r>
    </w:p>
    <w:p w:rsidR="00953984" w:rsidRPr="006E709F" w:rsidRDefault="00953984" w:rsidP="00953984">
      <w:pPr>
        <w:pStyle w:val="paragraph"/>
      </w:pPr>
      <w:r w:rsidRPr="006E709F">
        <w:tab/>
        <w:t>(c)</w:t>
      </w:r>
      <w:r w:rsidRPr="006E709F">
        <w:tab/>
        <w:t>a description of the investment return objective of the option;</w:t>
      </w:r>
    </w:p>
    <w:p w:rsidR="00953984" w:rsidRPr="006E709F" w:rsidRDefault="00953984" w:rsidP="00953984">
      <w:pPr>
        <w:pStyle w:val="paragraph"/>
      </w:pPr>
      <w:r w:rsidRPr="006E709F">
        <w:tab/>
        <w:t>(d)</w:t>
      </w:r>
      <w:r w:rsidRPr="006E709F">
        <w:tab/>
        <w:t>the minimum suggested time frame for holding the investment;</w:t>
      </w:r>
    </w:p>
    <w:p w:rsidR="00953984" w:rsidRPr="006E709F" w:rsidRDefault="00953984" w:rsidP="00953984">
      <w:pPr>
        <w:pStyle w:val="paragraph"/>
      </w:pPr>
      <w:r w:rsidRPr="006E709F">
        <w:tab/>
        <w:t>(e)</w:t>
      </w:r>
      <w:r w:rsidRPr="006E709F">
        <w:tab/>
        <w:t>a description, in the form of a summary, of the risk level of the option.</w:t>
      </w:r>
    </w:p>
    <w:p w:rsidR="00953984" w:rsidRPr="006E709F" w:rsidRDefault="00953984" w:rsidP="00953984">
      <w:pPr>
        <w:pStyle w:val="SubsectionHead"/>
      </w:pPr>
      <w:r w:rsidRPr="006E709F">
        <w:t>Balanced investment option</w:t>
      </w:r>
    </w:p>
    <w:p w:rsidR="00953984" w:rsidRPr="006E709F" w:rsidRDefault="00953984" w:rsidP="00953984">
      <w:pPr>
        <w:pStyle w:val="subsection"/>
      </w:pPr>
      <w:r w:rsidRPr="006E709F">
        <w:tab/>
        <w:t>(4)</w:t>
      </w:r>
      <w:r w:rsidRPr="006E709F">
        <w:tab/>
        <w:t>If the CCIV has a balanced investment option (within the meaning given by clause 101 of Schedule 10), section 5 must give the following information for the balanced investment option (whether or not section 5 gives that information for any other investment option):</w:t>
      </w:r>
    </w:p>
    <w:p w:rsidR="00953984" w:rsidRPr="006E709F" w:rsidRDefault="00953984" w:rsidP="00953984">
      <w:pPr>
        <w:pStyle w:val="paragraph"/>
      </w:pPr>
      <w:r w:rsidRPr="006E709F">
        <w:tab/>
        <w:t>(a)</w:t>
      </w:r>
      <w:r w:rsidRPr="006E709F">
        <w:tab/>
        <w:t>the name of the option and a short description of it, including the type of investors for whom it is intended to be suitable;</w:t>
      </w:r>
    </w:p>
    <w:p w:rsidR="00953984" w:rsidRPr="006E709F" w:rsidRDefault="00953984" w:rsidP="00953984">
      <w:pPr>
        <w:pStyle w:val="paragraph"/>
      </w:pPr>
      <w:r w:rsidRPr="006E709F">
        <w:tab/>
        <w:t>(b)</w:t>
      </w:r>
      <w:r w:rsidRPr="006E709F">
        <w:tab/>
        <w:t>a list of the asset classes in which the option invests, setting out the strategic asset allocation of the asset classes in the form of a range or otherwise;</w:t>
      </w:r>
    </w:p>
    <w:p w:rsidR="00953984" w:rsidRPr="006E709F" w:rsidRDefault="00953984" w:rsidP="00953984">
      <w:pPr>
        <w:pStyle w:val="paragraph"/>
      </w:pPr>
      <w:r w:rsidRPr="006E709F">
        <w:tab/>
        <w:t>(c)</w:t>
      </w:r>
      <w:r w:rsidRPr="006E709F">
        <w:tab/>
        <w:t>a description of the investment return objective of the option;</w:t>
      </w:r>
    </w:p>
    <w:p w:rsidR="00953984" w:rsidRPr="006E709F" w:rsidRDefault="00953984" w:rsidP="00953984">
      <w:pPr>
        <w:pStyle w:val="paragraph"/>
      </w:pPr>
      <w:r w:rsidRPr="006E709F">
        <w:tab/>
        <w:t>(d)</w:t>
      </w:r>
      <w:r w:rsidRPr="006E709F">
        <w:tab/>
        <w:t>the minimum suggested time frame for holding the investment;</w:t>
      </w:r>
    </w:p>
    <w:p w:rsidR="00953984" w:rsidRPr="006E709F" w:rsidRDefault="00953984" w:rsidP="00953984">
      <w:pPr>
        <w:pStyle w:val="paragraph"/>
      </w:pPr>
      <w:r w:rsidRPr="006E709F">
        <w:tab/>
        <w:t>(e)</w:t>
      </w:r>
      <w:r w:rsidRPr="006E709F">
        <w:tab/>
        <w:t>a description, in the form of a summary, of the risk level of the option.</w:t>
      </w:r>
    </w:p>
    <w:p w:rsidR="00953984" w:rsidRPr="006E709F" w:rsidRDefault="00953984" w:rsidP="00953984">
      <w:pPr>
        <w:pStyle w:val="SubsectionHead"/>
      </w:pPr>
      <w:r w:rsidRPr="006E709F">
        <w:t>No balanced investment option</w:t>
      </w:r>
    </w:p>
    <w:p w:rsidR="00953984" w:rsidRPr="006E709F" w:rsidRDefault="00953984" w:rsidP="00953984">
      <w:pPr>
        <w:pStyle w:val="subsection"/>
      </w:pPr>
      <w:r w:rsidRPr="006E709F">
        <w:tab/>
        <w:t>(5)</w:t>
      </w:r>
      <w:r w:rsidRPr="006E709F">
        <w:tab/>
        <w:t>If the CCIV does not have a balanced investment option (within the meaning given by clause 101 of Schedule 10), section 5 must give the following information for the investment option under which the CCIV has the most funds invested</w:t>
      </w:r>
      <w:r w:rsidRPr="006E709F">
        <w:rPr>
          <w:i/>
        </w:rPr>
        <w:t xml:space="preserve"> </w:t>
      </w:r>
      <w:r w:rsidRPr="006E709F">
        <w:t>(whether or not section 5 gives that information for any other investment option):</w:t>
      </w:r>
    </w:p>
    <w:p w:rsidR="00953984" w:rsidRPr="006E709F" w:rsidRDefault="00953984" w:rsidP="00953984">
      <w:pPr>
        <w:pStyle w:val="paragraph"/>
      </w:pPr>
      <w:r w:rsidRPr="006E709F">
        <w:tab/>
        <w:t>(a)</w:t>
      </w:r>
      <w:r w:rsidRPr="006E709F">
        <w:tab/>
        <w:t>the name of the option and a short description of it, including the type of investors for whom it is intended to be suitable;</w:t>
      </w:r>
    </w:p>
    <w:p w:rsidR="00953984" w:rsidRPr="006E709F" w:rsidRDefault="00953984" w:rsidP="00953984">
      <w:pPr>
        <w:pStyle w:val="paragraph"/>
      </w:pPr>
      <w:r w:rsidRPr="006E709F">
        <w:tab/>
        <w:t>(b)</w:t>
      </w:r>
      <w:r w:rsidRPr="006E709F">
        <w:tab/>
        <w:t>a list of the asset classes in which the option invests, setting out the strategic asset allocation of the asset classes in the form of a range or otherwise;</w:t>
      </w:r>
    </w:p>
    <w:p w:rsidR="00953984" w:rsidRPr="006E709F" w:rsidRDefault="00953984" w:rsidP="00953984">
      <w:pPr>
        <w:pStyle w:val="paragraph"/>
      </w:pPr>
      <w:r w:rsidRPr="006E709F">
        <w:tab/>
        <w:t>(c)</w:t>
      </w:r>
      <w:r w:rsidRPr="006E709F">
        <w:tab/>
        <w:t>a description of the investment return objective of the option;</w:t>
      </w:r>
    </w:p>
    <w:p w:rsidR="00953984" w:rsidRPr="006E709F" w:rsidRDefault="00953984" w:rsidP="00953984">
      <w:pPr>
        <w:pStyle w:val="paragraph"/>
      </w:pPr>
      <w:r w:rsidRPr="006E709F">
        <w:tab/>
        <w:t>(d)</w:t>
      </w:r>
      <w:r w:rsidRPr="006E709F">
        <w:tab/>
        <w:t>the minimum suggested time frame for holding the investment;</w:t>
      </w:r>
    </w:p>
    <w:p w:rsidR="00953984" w:rsidRPr="006E709F" w:rsidRDefault="00953984" w:rsidP="00953984">
      <w:pPr>
        <w:pStyle w:val="paragraph"/>
      </w:pPr>
      <w:r w:rsidRPr="006E709F">
        <w:tab/>
        <w:t>(e)</w:t>
      </w:r>
      <w:r w:rsidRPr="006E709F">
        <w:tab/>
        <w:t>a description, in the form of a summary, of the risk level of the option.</w:t>
      </w:r>
    </w:p>
    <w:p w:rsidR="00953984" w:rsidRPr="006E709F" w:rsidRDefault="00953984" w:rsidP="00953984">
      <w:pPr>
        <w:pStyle w:val="SubsectionHead"/>
      </w:pPr>
      <w:r w:rsidRPr="006E709F">
        <w:t>Additional information</w:t>
      </w:r>
    </w:p>
    <w:p w:rsidR="00953984" w:rsidRPr="006E709F" w:rsidRDefault="00953984" w:rsidP="00953984">
      <w:pPr>
        <w:pStyle w:val="subsection"/>
      </w:pPr>
      <w:r w:rsidRPr="006E709F">
        <w:tab/>
        <w:t>(6)</w:t>
      </w:r>
      <w:r w:rsidRPr="006E709F">
        <w:tab/>
        <w:t>Section 5:</w:t>
      </w:r>
    </w:p>
    <w:p w:rsidR="00953984" w:rsidRPr="006E709F" w:rsidRDefault="00953984" w:rsidP="00953984">
      <w:pPr>
        <w:pStyle w:val="paragraph"/>
      </w:pPr>
      <w:r w:rsidRPr="006E709F">
        <w:tab/>
        <w:t>(a)</w:t>
      </w:r>
      <w:r w:rsidRPr="006E709F">
        <w:tab/>
        <w:t>must make provision for each investment option that is not presented in section 5 in accordance with subclause (3), (4) or (5); and</w:t>
      </w:r>
    </w:p>
    <w:p w:rsidR="00953984" w:rsidRPr="006E709F" w:rsidRDefault="00953984" w:rsidP="00953984">
      <w:pPr>
        <w:pStyle w:val="paragraph"/>
      </w:pPr>
      <w:r w:rsidRPr="006E709F">
        <w:tab/>
        <w:t>(b)</w:t>
      </w:r>
      <w:r w:rsidRPr="006E709F">
        <w:tab/>
        <w:t>may make provision for the option by applying, adopting or incorporating a matter in a document that:</w:t>
      </w:r>
    </w:p>
    <w:p w:rsidR="00953984" w:rsidRPr="006E709F" w:rsidRDefault="00953984" w:rsidP="00953984">
      <w:pPr>
        <w:pStyle w:val="paragraphsub"/>
      </w:pPr>
      <w:r w:rsidRPr="006E709F">
        <w:tab/>
        <w:t>(i)</w:t>
      </w:r>
      <w:r w:rsidRPr="006E709F">
        <w:tab/>
        <w:t>includes the information mentioned in subclause (3), (4) or (5); and</w:t>
      </w:r>
    </w:p>
    <w:p w:rsidR="00953984" w:rsidRPr="006E709F" w:rsidRDefault="00953984" w:rsidP="00953984">
      <w:pPr>
        <w:pStyle w:val="paragraphsub"/>
      </w:pPr>
      <w:r w:rsidRPr="006E709F">
        <w:tab/>
        <w:t>(ii)</w:t>
      </w:r>
      <w:r w:rsidRPr="006E709F">
        <w:tab/>
        <w:t>presents it in the way mentioned in the subclause.</w:t>
      </w:r>
    </w:p>
    <w:p w:rsidR="00953984" w:rsidRPr="006E709F" w:rsidRDefault="00953984" w:rsidP="00953984">
      <w:pPr>
        <w:pStyle w:val="subsection"/>
      </w:pPr>
      <w:r w:rsidRPr="006E709F">
        <w:tab/>
        <w:t>(7)</w:t>
      </w:r>
      <w:r w:rsidRPr="006E709F">
        <w:tab/>
        <w:t>The CCIV:</w:t>
      </w:r>
    </w:p>
    <w:p w:rsidR="00953984" w:rsidRPr="006E709F" w:rsidRDefault="00953984" w:rsidP="00953984">
      <w:pPr>
        <w:pStyle w:val="paragraph"/>
      </w:pPr>
      <w:r w:rsidRPr="006E709F">
        <w:tab/>
        <w:t>(a)</w:t>
      </w:r>
      <w:r w:rsidRPr="006E709F">
        <w:tab/>
        <w:t>must provide information about how a member of the sub</w:t>
      </w:r>
      <w:r w:rsidR="000C4237">
        <w:noBreakHyphen/>
      </w:r>
      <w:r w:rsidRPr="006E709F">
        <w:t>fund of the CCIV may switch the member’s investments; and</w:t>
      </w:r>
    </w:p>
    <w:p w:rsidR="00953984" w:rsidRPr="006E709F" w:rsidRDefault="00953984" w:rsidP="00953984">
      <w:pPr>
        <w:pStyle w:val="paragraph"/>
      </w:pPr>
      <w:r w:rsidRPr="006E709F">
        <w:tab/>
        <w:t>(b)</w:t>
      </w:r>
      <w:r w:rsidRPr="006E709F">
        <w:tab/>
        <w:t>must provide information about:</w:t>
      </w:r>
    </w:p>
    <w:p w:rsidR="00953984" w:rsidRPr="006E709F" w:rsidRDefault="00953984" w:rsidP="00953984">
      <w:pPr>
        <w:pStyle w:val="paragraphsub"/>
      </w:pPr>
      <w:r w:rsidRPr="006E709F">
        <w:tab/>
        <w:t>(i)</w:t>
      </w:r>
      <w:r w:rsidRPr="006E709F">
        <w:tab/>
        <w:t>whether the CCIV’s investment options may be changed; and</w:t>
      </w:r>
    </w:p>
    <w:p w:rsidR="00953984" w:rsidRPr="006E709F" w:rsidRDefault="00953984" w:rsidP="00953984">
      <w:pPr>
        <w:pStyle w:val="paragraphsub"/>
      </w:pPr>
      <w:r w:rsidRPr="006E709F">
        <w:tab/>
        <w:t>(ii)</w:t>
      </w:r>
      <w:r w:rsidRPr="006E709F">
        <w:tab/>
        <w:t>if so, how the options may be changed; and</w:t>
      </w:r>
    </w:p>
    <w:p w:rsidR="00953984" w:rsidRPr="006E709F" w:rsidRDefault="00953984" w:rsidP="00953984">
      <w:pPr>
        <w:pStyle w:val="paragraph"/>
      </w:pPr>
      <w:r w:rsidRPr="006E709F">
        <w:tab/>
        <w:t>(c)</w:t>
      </w:r>
      <w:r w:rsidRPr="006E709F">
        <w:tab/>
        <w:t>must describe, in the form of a summary, the extent to which labour standards or environmental, social or ethical considerations are taken into account in the selection, retention or realisation of investments relating to the CCIV; and</w:t>
      </w:r>
    </w:p>
    <w:p w:rsidR="00953984" w:rsidRPr="006E709F" w:rsidRDefault="00953984" w:rsidP="00953984">
      <w:pPr>
        <w:pStyle w:val="paragraph"/>
      </w:pPr>
      <w:r w:rsidRPr="006E709F">
        <w:tab/>
        <w:t>(d)</w:t>
      </w:r>
      <w:r w:rsidRPr="006E709F">
        <w:tab/>
        <w:t>may provide the information in paragraphs (a) to (c), and any additional information about investment options, by applying, adopting or incorporating a matter in writing.</w:t>
      </w:r>
    </w:p>
    <w:p w:rsidR="00953984" w:rsidRPr="006E709F" w:rsidRDefault="00953984" w:rsidP="00953984">
      <w:pPr>
        <w:pStyle w:val="ActHead5"/>
      </w:pPr>
      <w:bookmarkStart w:id="177" w:name="_Toc160609864"/>
      <w:r w:rsidRPr="000C4237">
        <w:rPr>
          <w:rStyle w:val="CharSectno"/>
        </w:rPr>
        <w:t>8</w:t>
      </w:r>
      <w:r w:rsidRPr="006E709F">
        <w:t xml:space="preserve">  Contents of section 6 (Fees and costs)</w:t>
      </w:r>
      <w:bookmarkEnd w:id="177"/>
    </w:p>
    <w:p w:rsidR="00953984" w:rsidRPr="006E709F" w:rsidRDefault="00953984" w:rsidP="00953984">
      <w:pPr>
        <w:pStyle w:val="subsection"/>
      </w:pPr>
      <w:r w:rsidRPr="006E709F">
        <w:tab/>
        <w:t>(1)</w:t>
      </w:r>
      <w:r w:rsidRPr="006E709F">
        <w:tab/>
        <w:t>For each investment option of the CCIV that is presented in section 5 in detail in accordance with subclause 7(3), section 6 of the Product Disclosure Statement must state:</w:t>
      </w:r>
    </w:p>
    <w:p w:rsidR="00953984" w:rsidRPr="006E709F" w:rsidRDefault="00953984" w:rsidP="00953984">
      <w:pPr>
        <w:pStyle w:val="paragraph"/>
      </w:pPr>
      <w:r w:rsidRPr="006E709F">
        <w:tab/>
        <w:t>(a)</w:t>
      </w:r>
      <w:r w:rsidRPr="006E709F">
        <w:tab/>
        <w:t>the cost of acquiring the option; and</w:t>
      </w:r>
    </w:p>
    <w:p w:rsidR="00953984" w:rsidRPr="006E709F" w:rsidRDefault="00953984" w:rsidP="00953984">
      <w:pPr>
        <w:pStyle w:val="paragraph"/>
      </w:pPr>
      <w:r w:rsidRPr="006E709F">
        <w:tab/>
        <w:t>(b)</w:t>
      </w:r>
      <w:r w:rsidRPr="006E709F">
        <w:tab/>
        <w:t>the fees and costs that are charged in relation to the option.</w:t>
      </w:r>
    </w:p>
    <w:p w:rsidR="00953984" w:rsidRPr="006E709F" w:rsidRDefault="00953984" w:rsidP="00953984">
      <w:pPr>
        <w:pStyle w:val="notetext"/>
      </w:pPr>
      <w:r w:rsidRPr="006E709F">
        <w:t>Note:</w:t>
      </w:r>
      <w:r w:rsidRPr="006E709F">
        <w:tab/>
        <w:t>The statement will be made using the template set out in subclause (3).</w:t>
      </w:r>
    </w:p>
    <w:p w:rsidR="00953984" w:rsidRPr="006E709F" w:rsidRDefault="00953984" w:rsidP="00953984">
      <w:pPr>
        <w:pStyle w:val="subsection"/>
      </w:pPr>
      <w:r w:rsidRPr="006E709F">
        <w:tab/>
        <w:t>(2)</w:t>
      </w:r>
      <w:r w:rsidRPr="006E709F">
        <w:tab/>
        <w:t>Before setting out any other substantive material, section 6 must:</w:t>
      </w:r>
    </w:p>
    <w:p w:rsidR="00953984" w:rsidRPr="006E709F" w:rsidRDefault="00953984" w:rsidP="00953984">
      <w:pPr>
        <w:pStyle w:val="paragraph"/>
      </w:pPr>
      <w:r w:rsidRPr="006E709F">
        <w:tab/>
        <w:t>(a)</w:t>
      </w:r>
      <w:r w:rsidRPr="006E709F">
        <w:tab/>
        <w:t>set out the Consumer Advisory Warning in clause 221 of Schedule 10</w:t>
      </w:r>
      <w:r w:rsidRPr="006E709F">
        <w:rPr>
          <w:szCs w:val="22"/>
        </w:rPr>
        <w:t>; and</w:t>
      </w:r>
    </w:p>
    <w:p w:rsidR="00953984" w:rsidRPr="006E709F" w:rsidRDefault="00953984" w:rsidP="00953984">
      <w:pPr>
        <w:pStyle w:val="paragraph"/>
      </w:pPr>
      <w:r w:rsidRPr="006E709F">
        <w:tab/>
        <w:t>(b)</w:t>
      </w:r>
      <w:r w:rsidRPr="006E709F">
        <w:tab/>
        <w:t>give a concise example in the form set out in the Consumer Advisory Warning in clause 221 of Schedule 10.</w:t>
      </w:r>
    </w:p>
    <w:p w:rsidR="00953984" w:rsidRPr="006E709F" w:rsidRDefault="00953984" w:rsidP="00953984">
      <w:pPr>
        <w:pStyle w:val="subsection"/>
      </w:pPr>
      <w:r w:rsidRPr="006E709F">
        <w:tab/>
        <w:t>(3)</w:t>
      </w:r>
      <w:r w:rsidRPr="006E709F">
        <w:tab/>
        <w:t>Section 6 must set out the fees and costs for each investment option that is presented in section 5 in detail in accordance with subclause 7(3), using the following template:</w:t>
      </w:r>
    </w:p>
    <w:p w:rsidR="00953984" w:rsidRPr="006E709F" w:rsidRDefault="00953984" w:rsidP="00953984">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2204"/>
        <w:gridCol w:w="14"/>
      </w:tblGrid>
      <w:tr w:rsidR="00953984" w:rsidRPr="006E709F" w:rsidTr="00BC2B6B">
        <w:trPr>
          <w:gridAfter w:val="1"/>
          <w:wAfter w:w="8" w:type="pct"/>
          <w:cantSplit/>
          <w:tblHeader/>
        </w:trPr>
        <w:tc>
          <w:tcPr>
            <w:tcW w:w="3700" w:type="pct"/>
            <w:tcBorders>
              <w:top w:val="single" w:sz="4" w:space="0" w:color="auto"/>
              <w:left w:val="single" w:sz="4" w:space="0" w:color="auto"/>
              <w:bottom w:val="single" w:sz="4" w:space="0" w:color="auto"/>
              <w:right w:val="single" w:sz="4" w:space="0" w:color="auto"/>
            </w:tcBorders>
            <w:shd w:val="clear" w:color="auto" w:fill="C0C0C0"/>
            <w:hideMark/>
          </w:tcPr>
          <w:p w:rsidR="00953984" w:rsidRPr="006E709F" w:rsidRDefault="00953984" w:rsidP="00BC2B6B">
            <w:pPr>
              <w:keepLines/>
              <w:rPr>
                <w:szCs w:val="18"/>
              </w:rPr>
            </w:pPr>
            <w:r w:rsidRPr="006E709F">
              <w:rPr>
                <w:szCs w:val="18"/>
              </w:rPr>
              <w:t>TYPE OF FEE OR COST</w:t>
            </w:r>
          </w:p>
        </w:tc>
        <w:tc>
          <w:tcPr>
            <w:tcW w:w="1292" w:type="pct"/>
            <w:tcBorders>
              <w:top w:val="single" w:sz="4" w:space="0" w:color="auto"/>
              <w:left w:val="single" w:sz="4" w:space="0" w:color="auto"/>
              <w:bottom w:val="single" w:sz="4" w:space="0" w:color="auto"/>
              <w:right w:val="single" w:sz="4" w:space="0" w:color="auto"/>
            </w:tcBorders>
            <w:shd w:val="clear" w:color="auto" w:fill="C0C0C0"/>
            <w:hideMark/>
          </w:tcPr>
          <w:p w:rsidR="00953984" w:rsidRPr="006E709F" w:rsidRDefault="00953984" w:rsidP="00BC2B6B">
            <w:pPr>
              <w:keepLines/>
              <w:rPr>
                <w:szCs w:val="18"/>
              </w:rPr>
            </w:pPr>
            <w:r w:rsidRPr="006E709F">
              <w:rPr>
                <w:szCs w:val="18"/>
              </w:rPr>
              <w:t>AMOUNT</w:t>
            </w:r>
          </w:p>
        </w:tc>
      </w:tr>
      <w:tr w:rsidR="00953984" w:rsidRPr="006E709F" w:rsidTr="00BC2B6B">
        <w:trPr>
          <w:gridAfter w:val="1"/>
          <w:wAfter w:w="8" w:type="pct"/>
        </w:trPr>
        <w:tc>
          <w:tcPr>
            <w:tcW w:w="37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53984" w:rsidRPr="006E709F" w:rsidRDefault="00953984" w:rsidP="00BC2B6B">
            <w:pPr>
              <w:keepLines/>
              <w:rPr>
                <w:i/>
                <w:sz w:val="16"/>
                <w:szCs w:val="18"/>
              </w:rPr>
            </w:pPr>
            <w:r w:rsidRPr="006E709F">
              <w:rPr>
                <w:szCs w:val="18"/>
              </w:rPr>
              <w:t>Fees when your money moves in or out of investment options of the CCIV</w:t>
            </w:r>
          </w:p>
        </w:tc>
        <w:tc>
          <w:tcPr>
            <w:tcW w:w="1292" w:type="pct"/>
            <w:tcBorders>
              <w:top w:val="single" w:sz="4" w:space="0" w:color="auto"/>
              <w:left w:val="single" w:sz="4" w:space="0" w:color="auto"/>
              <w:bottom w:val="single" w:sz="4" w:space="0" w:color="auto"/>
              <w:right w:val="single" w:sz="4" w:space="0" w:color="auto"/>
            </w:tcBorders>
            <w:shd w:val="clear" w:color="auto" w:fill="C0C0C0"/>
          </w:tcPr>
          <w:p w:rsidR="00953984" w:rsidRPr="006E709F" w:rsidRDefault="00953984" w:rsidP="00BC2B6B">
            <w:pPr>
              <w:keepLines/>
              <w:rPr>
                <w:b/>
                <w:szCs w:val="18"/>
              </w:rPr>
            </w:pPr>
          </w:p>
        </w:tc>
      </w:tr>
      <w:tr w:rsidR="00953984" w:rsidRPr="006E709F" w:rsidTr="00BC2B6B">
        <w:trPr>
          <w:gridAfter w:val="1"/>
          <w:wAfter w:w="8" w:type="pct"/>
        </w:trPr>
        <w:tc>
          <w:tcPr>
            <w:tcW w:w="3700" w:type="pct"/>
            <w:tcBorders>
              <w:top w:val="single" w:sz="4" w:space="0" w:color="auto"/>
              <w:left w:val="single" w:sz="4" w:space="0" w:color="auto"/>
              <w:bottom w:val="single" w:sz="4" w:space="0" w:color="auto"/>
              <w:right w:val="single" w:sz="4" w:space="0" w:color="auto"/>
            </w:tcBorders>
            <w:hideMark/>
          </w:tcPr>
          <w:p w:rsidR="00953984" w:rsidRPr="006E709F" w:rsidRDefault="00953984" w:rsidP="00BC2B6B">
            <w:pPr>
              <w:pStyle w:val="Tabletext"/>
              <w:spacing w:after="120"/>
              <w:rPr>
                <w:i/>
              </w:rPr>
            </w:pPr>
            <w:r w:rsidRPr="006E709F">
              <w:rPr>
                <w:i/>
              </w:rPr>
              <w:t>Establishment fee</w:t>
            </w:r>
          </w:p>
        </w:tc>
        <w:tc>
          <w:tcPr>
            <w:tcW w:w="1292" w:type="pct"/>
            <w:tcBorders>
              <w:top w:val="single" w:sz="4" w:space="0" w:color="auto"/>
              <w:left w:val="single" w:sz="4" w:space="0" w:color="auto"/>
              <w:bottom w:val="single" w:sz="4" w:space="0" w:color="auto"/>
              <w:right w:val="single" w:sz="4" w:space="0" w:color="auto"/>
            </w:tcBorders>
          </w:tcPr>
          <w:p w:rsidR="00953984" w:rsidRPr="006E709F" w:rsidRDefault="00953984" w:rsidP="00BC2B6B">
            <w:pPr>
              <w:pStyle w:val="Tabletext"/>
              <w:spacing w:after="120"/>
            </w:pPr>
          </w:p>
        </w:tc>
      </w:tr>
      <w:tr w:rsidR="00953984" w:rsidRPr="006E709F" w:rsidTr="00BC2B6B">
        <w:trPr>
          <w:gridAfter w:val="1"/>
          <w:wAfter w:w="8" w:type="pct"/>
        </w:trPr>
        <w:tc>
          <w:tcPr>
            <w:tcW w:w="3700" w:type="pct"/>
            <w:tcBorders>
              <w:top w:val="single" w:sz="4" w:space="0" w:color="auto"/>
              <w:left w:val="single" w:sz="4" w:space="0" w:color="auto"/>
              <w:bottom w:val="single" w:sz="4" w:space="0" w:color="auto"/>
              <w:right w:val="single" w:sz="4" w:space="0" w:color="auto"/>
            </w:tcBorders>
            <w:vAlign w:val="center"/>
            <w:hideMark/>
          </w:tcPr>
          <w:p w:rsidR="00953984" w:rsidRPr="006E709F" w:rsidRDefault="00953984" w:rsidP="00BC2B6B">
            <w:pPr>
              <w:pStyle w:val="Tabletext"/>
              <w:spacing w:after="120"/>
              <w:rPr>
                <w:i/>
              </w:rPr>
            </w:pPr>
            <w:r w:rsidRPr="006E709F">
              <w:rPr>
                <w:i/>
              </w:rPr>
              <w:t>Contribution fee</w:t>
            </w:r>
          </w:p>
        </w:tc>
        <w:tc>
          <w:tcPr>
            <w:tcW w:w="1292" w:type="pct"/>
            <w:tcBorders>
              <w:top w:val="single" w:sz="4" w:space="0" w:color="auto"/>
              <w:left w:val="single" w:sz="4" w:space="0" w:color="auto"/>
              <w:bottom w:val="single" w:sz="4" w:space="0" w:color="auto"/>
              <w:right w:val="single" w:sz="4" w:space="0" w:color="auto"/>
            </w:tcBorders>
          </w:tcPr>
          <w:p w:rsidR="00953984" w:rsidRPr="006E709F" w:rsidRDefault="00953984" w:rsidP="00BC2B6B">
            <w:pPr>
              <w:pStyle w:val="Tabletext"/>
              <w:spacing w:after="120"/>
            </w:pPr>
          </w:p>
        </w:tc>
      </w:tr>
      <w:tr w:rsidR="00953984" w:rsidRPr="006E709F" w:rsidTr="00BC2B6B">
        <w:trPr>
          <w:gridAfter w:val="1"/>
          <w:wAfter w:w="8" w:type="pct"/>
        </w:trPr>
        <w:tc>
          <w:tcPr>
            <w:tcW w:w="3700" w:type="pct"/>
            <w:tcBorders>
              <w:top w:val="single" w:sz="4" w:space="0" w:color="auto"/>
              <w:left w:val="single" w:sz="4" w:space="0" w:color="auto"/>
              <w:bottom w:val="single" w:sz="4" w:space="0" w:color="auto"/>
              <w:right w:val="single" w:sz="4" w:space="0" w:color="auto"/>
            </w:tcBorders>
            <w:vAlign w:val="center"/>
            <w:hideMark/>
          </w:tcPr>
          <w:p w:rsidR="00953984" w:rsidRPr="006E709F" w:rsidRDefault="00953984" w:rsidP="00BC2B6B">
            <w:pPr>
              <w:pStyle w:val="Tabletext"/>
              <w:spacing w:after="120"/>
              <w:rPr>
                <w:i/>
              </w:rPr>
            </w:pPr>
            <w:r w:rsidRPr="006E709F">
              <w:rPr>
                <w:i/>
              </w:rPr>
              <w:t>Withdrawal fee</w:t>
            </w:r>
          </w:p>
        </w:tc>
        <w:tc>
          <w:tcPr>
            <w:tcW w:w="1292" w:type="pct"/>
            <w:tcBorders>
              <w:top w:val="single" w:sz="4" w:space="0" w:color="auto"/>
              <w:left w:val="single" w:sz="4" w:space="0" w:color="auto"/>
              <w:bottom w:val="single" w:sz="4" w:space="0" w:color="auto"/>
              <w:right w:val="single" w:sz="4" w:space="0" w:color="auto"/>
            </w:tcBorders>
          </w:tcPr>
          <w:p w:rsidR="00953984" w:rsidRPr="006E709F" w:rsidRDefault="00953984" w:rsidP="00BC2B6B">
            <w:pPr>
              <w:pStyle w:val="Tabletext"/>
              <w:spacing w:after="120"/>
            </w:pPr>
          </w:p>
        </w:tc>
      </w:tr>
      <w:tr w:rsidR="00953984" w:rsidRPr="006E709F" w:rsidTr="00BC2B6B">
        <w:trPr>
          <w:gridAfter w:val="1"/>
          <w:wAfter w:w="8" w:type="pct"/>
        </w:trPr>
        <w:tc>
          <w:tcPr>
            <w:tcW w:w="3700" w:type="pct"/>
            <w:tcBorders>
              <w:top w:val="single" w:sz="4" w:space="0" w:color="auto"/>
              <w:left w:val="single" w:sz="4" w:space="0" w:color="auto"/>
              <w:bottom w:val="single" w:sz="4" w:space="0" w:color="auto"/>
              <w:right w:val="single" w:sz="4" w:space="0" w:color="auto"/>
            </w:tcBorders>
            <w:vAlign w:val="center"/>
            <w:hideMark/>
          </w:tcPr>
          <w:p w:rsidR="00953984" w:rsidRPr="006E709F" w:rsidRDefault="00953984" w:rsidP="00BC2B6B">
            <w:pPr>
              <w:pStyle w:val="Tabletext"/>
              <w:spacing w:after="120"/>
              <w:rPr>
                <w:i/>
              </w:rPr>
            </w:pPr>
            <w:r w:rsidRPr="006E709F">
              <w:rPr>
                <w:i/>
              </w:rPr>
              <w:t>Termination fee</w:t>
            </w:r>
          </w:p>
        </w:tc>
        <w:tc>
          <w:tcPr>
            <w:tcW w:w="1292" w:type="pct"/>
            <w:tcBorders>
              <w:top w:val="single" w:sz="4" w:space="0" w:color="auto"/>
              <w:left w:val="single" w:sz="4" w:space="0" w:color="auto"/>
              <w:bottom w:val="single" w:sz="4" w:space="0" w:color="auto"/>
              <w:right w:val="single" w:sz="4" w:space="0" w:color="auto"/>
            </w:tcBorders>
          </w:tcPr>
          <w:p w:rsidR="00953984" w:rsidRPr="006E709F" w:rsidRDefault="00953984" w:rsidP="00BC2B6B">
            <w:pPr>
              <w:pStyle w:val="Tabletext"/>
              <w:spacing w:after="120"/>
            </w:pPr>
          </w:p>
        </w:tc>
      </w:tr>
      <w:tr w:rsidR="00953984" w:rsidRPr="006E709F" w:rsidTr="00BC2B6B">
        <w:trPr>
          <w:gridAfter w:val="1"/>
          <w:wAfter w:w="8" w:type="pct"/>
        </w:trPr>
        <w:tc>
          <w:tcPr>
            <w:tcW w:w="37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53984" w:rsidRPr="006E709F" w:rsidRDefault="00953984" w:rsidP="00BC2B6B">
            <w:pPr>
              <w:keepLines/>
              <w:rPr>
                <w:szCs w:val="18"/>
              </w:rPr>
            </w:pPr>
            <w:r w:rsidRPr="006E709F">
              <w:rPr>
                <w:szCs w:val="18"/>
              </w:rPr>
              <w:t>Management costs</w:t>
            </w:r>
          </w:p>
        </w:tc>
        <w:tc>
          <w:tcPr>
            <w:tcW w:w="1292" w:type="pct"/>
            <w:tcBorders>
              <w:top w:val="single" w:sz="4" w:space="0" w:color="auto"/>
              <w:left w:val="single" w:sz="4" w:space="0" w:color="auto"/>
              <w:bottom w:val="single" w:sz="4" w:space="0" w:color="auto"/>
              <w:right w:val="single" w:sz="4" w:space="0" w:color="auto"/>
            </w:tcBorders>
            <w:shd w:val="clear" w:color="auto" w:fill="C0C0C0"/>
          </w:tcPr>
          <w:p w:rsidR="00953984" w:rsidRPr="006E709F" w:rsidRDefault="00953984" w:rsidP="00BC2B6B">
            <w:pPr>
              <w:keepLines/>
              <w:rPr>
                <w:szCs w:val="18"/>
              </w:rPr>
            </w:pPr>
          </w:p>
        </w:tc>
      </w:tr>
      <w:tr w:rsidR="00953984" w:rsidRPr="006E709F" w:rsidTr="00BC2B6B">
        <w:tc>
          <w:tcPr>
            <w:tcW w:w="3700" w:type="pct"/>
          </w:tcPr>
          <w:p w:rsidR="00953984" w:rsidRPr="006E709F" w:rsidRDefault="00953984" w:rsidP="00BC2B6B">
            <w:pPr>
              <w:pStyle w:val="Tabletext"/>
            </w:pPr>
            <w:r w:rsidRPr="006E709F">
              <w:rPr>
                <w:szCs w:val="18"/>
              </w:rPr>
              <w:t>The fees and costs for managing your investment</w:t>
            </w:r>
          </w:p>
        </w:tc>
        <w:tc>
          <w:tcPr>
            <w:tcW w:w="1300" w:type="pct"/>
            <w:gridSpan w:val="2"/>
          </w:tcPr>
          <w:p w:rsidR="00953984" w:rsidRPr="006E709F" w:rsidRDefault="00953984" w:rsidP="00BC2B6B">
            <w:pPr>
              <w:pStyle w:val="Tabletext"/>
            </w:pPr>
          </w:p>
        </w:tc>
      </w:tr>
    </w:tbl>
    <w:p w:rsidR="00953984" w:rsidRPr="006E709F" w:rsidRDefault="00953984" w:rsidP="00953984">
      <w:pPr>
        <w:pStyle w:val="notetext"/>
        <w:spacing w:before="0"/>
        <w:ind w:left="1134" w:firstLine="0"/>
      </w:pPr>
      <w:r w:rsidRPr="006E709F">
        <w:rPr>
          <w:i/>
        </w:rPr>
        <w:t>[If there are other service fees, such as advisor service fees or special request fees, include a cross</w:t>
      </w:r>
      <w:r w:rsidR="000C4237">
        <w:rPr>
          <w:i/>
        </w:rPr>
        <w:noBreakHyphen/>
      </w:r>
      <w:r w:rsidRPr="006E709F">
        <w:rPr>
          <w:i/>
        </w:rPr>
        <w:t>reference to the document that contains the information mentioned in paragraph (10)(a).]</w:t>
      </w:r>
      <w:r w:rsidRPr="006E709F">
        <w:t>.</w:t>
      </w:r>
    </w:p>
    <w:p w:rsidR="00953984" w:rsidRPr="006E709F" w:rsidRDefault="00953984" w:rsidP="00953984">
      <w:pPr>
        <w:pStyle w:val="subsection"/>
      </w:pPr>
      <w:r w:rsidRPr="006E709F">
        <w:tab/>
        <w:t>(4)</w:t>
      </w:r>
      <w:r w:rsidRPr="006E709F">
        <w:tab/>
        <w:t>The template is to be completed in accordance with Division 3 of Part 2 of Schedule 10 (including definitions applicable to that Division), except that:</w:t>
      </w:r>
    </w:p>
    <w:p w:rsidR="00953984" w:rsidRPr="006E709F" w:rsidRDefault="00953984" w:rsidP="00953984">
      <w:pPr>
        <w:pStyle w:val="paragraph"/>
      </w:pPr>
      <w:r w:rsidRPr="006E709F">
        <w:tab/>
        <w:t>(a)</w:t>
      </w:r>
      <w:r w:rsidRPr="006E709F">
        <w:tab/>
        <w:t>clauses 203, 205, 206 and 207 and subclause 208(2) do not apply; and</w:t>
      </w:r>
    </w:p>
    <w:p w:rsidR="00953984" w:rsidRPr="006E709F" w:rsidRDefault="00953984" w:rsidP="00953984">
      <w:pPr>
        <w:pStyle w:val="paragraph"/>
      </w:pPr>
      <w:r w:rsidRPr="006E709F">
        <w:tab/>
        <w:t>(b)</w:t>
      </w:r>
      <w:r w:rsidRPr="006E709F">
        <w:tab/>
        <w:t>the reference in clause 204 to clauses 205 and 206 does not apply; and</w:t>
      </w:r>
    </w:p>
    <w:p w:rsidR="00953984" w:rsidRPr="006E709F" w:rsidRDefault="00953984" w:rsidP="00953984">
      <w:pPr>
        <w:pStyle w:val="paragraph"/>
      </w:pPr>
      <w:r w:rsidRPr="006E709F">
        <w:tab/>
        <w:t>(c)</w:t>
      </w:r>
      <w:r w:rsidRPr="006E709F">
        <w:tab/>
        <w:t>the example in subclause 208(1) is to be treated as stating:</w:t>
      </w:r>
    </w:p>
    <w:p w:rsidR="00953984" w:rsidRPr="006E709F" w:rsidRDefault="00953984" w:rsidP="00953984">
      <w:pPr>
        <w:pStyle w:val="paragraph"/>
      </w:pPr>
      <w:r w:rsidRPr="006E709F">
        <w:tab/>
      </w:r>
      <w:r w:rsidRPr="006E709F">
        <w:tab/>
        <w:t>“(for example, by using an asterisk with a footnote stating ‘The amount of this fee can be negotiated.’)”.</w:t>
      </w:r>
    </w:p>
    <w:p w:rsidR="00953984" w:rsidRPr="006E709F" w:rsidRDefault="00953984" w:rsidP="00953984">
      <w:pPr>
        <w:pStyle w:val="subsection"/>
      </w:pPr>
      <w:r w:rsidRPr="006E709F">
        <w:tab/>
        <w:t>(5)</w:t>
      </w:r>
      <w:r w:rsidRPr="006E709F">
        <w:tab/>
        <w:t>Section 6 must set out the information about fee changes set out in paragraph 209(k) of Schedule 10.</w:t>
      </w:r>
    </w:p>
    <w:p w:rsidR="00953984" w:rsidRPr="006E709F" w:rsidRDefault="00953984" w:rsidP="00953984">
      <w:pPr>
        <w:pStyle w:val="subsection"/>
      </w:pPr>
      <w:r w:rsidRPr="006E709F">
        <w:tab/>
        <w:t>(6)</w:t>
      </w:r>
      <w:r w:rsidRPr="006E709F">
        <w:tab/>
        <w:t>Section 6 must:</w:t>
      </w:r>
    </w:p>
    <w:p w:rsidR="00953984" w:rsidRPr="006E709F" w:rsidRDefault="00953984" w:rsidP="00953984">
      <w:pPr>
        <w:pStyle w:val="paragraph"/>
      </w:pPr>
      <w:r w:rsidRPr="006E709F">
        <w:tab/>
        <w:t>(a)</w:t>
      </w:r>
      <w:r w:rsidRPr="006E709F">
        <w:tab/>
        <w:t>state that the information in the template can be used to compare costs between different simple sub</w:t>
      </w:r>
      <w:r w:rsidR="000C4237">
        <w:noBreakHyphen/>
      </w:r>
      <w:r w:rsidRPr="006E709F">
        <w:t>fund products; and</w:t>
      </w:r>
    </w:p>
    <w:p w:rsidR="00953984" w:rsidRPr="006E709F" w:rsidRDefault="00953984" w:rsidP="00953984">
      <w:pPr>
        <w:pStyle w:val="paragraph"/>
      </w:pPr>
      <w:r w:rsidRPr="006E709F">
        <w:tab/>
        <w:t>(b)</w:t>
      </w:r>
      <w:r w:rsidRPr="006E709F">
        <w:tab/>
        <w:t>state concisely, and in general terms, that fees and costs can be paid directly from the person’s account or deducted from investment returns.</w:t>
      </w:r>
    </w:p>
    <w:p w:rsidR="00953984" w:rsidRPr="006E709F" w:rsidRDefault="00953984" w:rsidP="00953984">
      <w:pPr>
        <w:pStyle w:val="subsection"/>
      </w:pPr>
      <w:r w:rsidRPr="006E709F">
        <w:tab/>
        <w:t>(7)</w:t>
      </w:r>
      <w:r w:rsidRPr="006E709F">
        <w:tab/>
        <w:t>Section 6 must give a worked example as follows:</w:t>
      </w:r>
    </w:p>
    <w:p w:rsidR="00953984" w:rsidRPr="006E709F" w:rsidRDefault="00953984" w:rsidP="00953984">
      <w:pPr>
        <w:pStyle w:val="paragraph"/>
      </w:pPr>
      <w:r w:rsidRPr="006E709F">
        <w:tab/>
        <w:t>(a)</w:t>
      </w:r>
      <w:r w:rsidRPr="006E709F">
        <w:tab/>
        <w:t>if the CCIV does not have a balanced investment option (within the meaning given by clause 101 of Schedule 10), section 6 must give a worked example for the default investment option;</w:t>
      </w:r>
    </w:p>
    <w:p w:rsidR="00953984" w:rsidRPr="006E709F" w:rsidRDefault="00953984" w:rsidP="00953984">
      <w:pPr>
        <w:pStyle w:val="paragraph"/>
      </w:pPr>
      <w:r w:rsidRPr="006E709F">
        <w:tab/>
        <w:t>(b)</w:t>
      </w:r>
      <w:r w:rsidRPr="006E709F">
        <w:tab/>
        <w:t>if the CCIV does not have a default option, and does not have a balanced investment option, section 6 must give a worked example for the investment option under which the CCIV has the most funds invested;</w:t>
      </w:r>
    </w:p>
    <w:p w:rsidR="00953984" w:rsidRPr="006E709F" w:rsidRDefault="00953984" w:rsidP="00953984">
      <w:pPr>
        <w:pStyle w:val="subsection2"/>
      </w:pPr>
      <w:r w:rsidRPr="006E709F">
        <w:t>in accordance with Divisions 5 and 6 of Part 2 of Schedule 10 (including definitions applicable to those Divisions), except that clauses 211 and 220 do not apply.</w:t>
      </w:r>
    </w:p>
    <w:p w:rsidR="00953984" w:rsidRPr="006E709F" w:rsidRDefault="00953984" w:rsidP="00953984">
      <w:pPr>
        <w:pStyle w:val="subsection"/>
      </w:pPr>
      <w:r w:rsidRPr="006E709F">
        <w:tab/>
        <w:t>(8)</w:t>
      </w:r>
      <w:r w:rsidRPr="006E709F">
        <w:tab/>
        <w:t>Section 6:</w:t>
      </w:r>
    </w:p>
    <w:p w:rsidR="00953984" w:rsidRPr="006E709F" w:rsidRDefault="00953984" w:rsidP="00953984">
      <w:pPr>
        <w:pStyle w:val="paragraph"/>
      </w:pPr>
      <w:r w:rsidRPr="006E709F">
        <w:tab/>
        <w:t>(a)</w:t>
      </w:r>
      <w:r w:rsidRPr="006E709F">
        <w:tab/>
        <w:t>must refer to the calculator (if any) provided by ASIC on a website operated by or on behalf of ASIC; and</w:t>
      </w:r>
    </w:p>
    <w:p w:rsidR="00953984" w:rsidRPr="006E709F" w:rsidRDefault="00953984" w:rsidP="00953984">
      <w:pPr>
        <w:pStyle w:val="paragraph"/>
      </w:pPr>
      <w:r w:rsidRPr="006E709F">
        <w:tab/>
        <w:t>(b)</w:t>
      </w:r>
      <w:r w:rsidRPr="006E709F">
        <w:tab/>
        <w:t>may also refer to the calculator (if any) provided by the CCIV on its website; and</w:t>
      </w:r>
    </w:p>
    <w:p w:rsidR="00953984" w:rsidRPr="006E709F" w:rsidRDefault="00953984" w:rsidP="00953984">
      <w:pPr>
        <w:pStyle w:val="paragraph"/>
      </w:pPr>
      <w:r w:rsidRPr="006E709F">
        <w:tab/>
        <w:t>(c)</w:t>
      </w:r>
      <w:r w:rsidRPr="006E709F">
        <w:tab/>
        <w:t>must state that each calculator referred to can be used to calculate the effect of fees and costs on account balances.</w:t>
      </w:r>
    </w:p>
    <w:p w:rsidR="00953984" w:rsidRPr="006E709F" w:rsidRDefault="00953984" w:rsidP="00953984">
      <w:pPr>
        <w:pStyle w:val="subsection"/>
      </w:pPr>
      <w:r w:rsidRPr="006E709F">
        <w:tab/>
        <w:t>(9)</w:t>
      </w:r>
      <w:r w:rsidRPr="006E709F">
        <w:tab/>
        <w:t>If additional fees may be payable to a financial advisor, section 6 must:</w:t>
      </w:r>
    </w:p>
    <w:p w:rsidR="00953984" w:rsidRPr="006E709F" w:rsidRDefault="00953984" w:rsidP="00953984">
      <w:pPr>
        <w:pStyle w:val="paragraph"/>
      </w:pPr>
      <w:r w:rsidRPr="006E709F">
        <w:tab/>
        <w:t>(a)</w:t>
      </w:r>
      <w:r w:rsidRPr="006E709F">
        <w:tab/>
        <w:t>state, in the form of a warning, that additional fees may be paid to a financial advisor if a financial advisor is consulted; and</w:t>
      </w:r>
    </w:p>
    <w:p w:rsidR="00953984" w:rsidRPr="006E709F" w:rsidRDefault="00953984" w:rsidP="00953984">
      <w:pPr>
        <w:pStyle w:val="paragraph"/>
      </w:pPr>
      <w:r w:rsidRPr="006E709F">
        <w:tab/>
        <w:t>(b)</w:t>
      </w:r>
      <w:r w:rsidRPr="006E709F">
        <w:tab/>
        <w:t>refer to the Statement of Advice in which details of the fees are set out.</w:t>
      </w:r>
    </w:p>
    <w:p w:rsidR="00953984" w:rsidRPr="006E709F" w:rsidRDefault="00953984" w:rsidP="00953984">
      <w:pPr>
        <w:pStyle w:val="subsection"/>
      </w:pPr>
      <w:r w:rsidRPr="006E709F">
        <w:tab/>
        <w:t>(10)</w:t>
      </w:r>
      <w:r w:rsidRPr="006E709F">
        <w:tab/>
        <w:t>The CCIV:</w:t>
      </w:r>
    </w:p>
    <w:p w:rsidR="00953984" w:rsidRPr="006E709F" w:rsidRDefault="00953984" w:rsidP="00953984">
      <w:pPr>
        <w:pStyle w:val="paragraph"/>
      </w:pPr>
      <w:r w:rsidRPr="006E709F">
        <w:tab/>
        <w:t>(a)</w:t>
      </w:r>
      <w:r w:rsidRPr="006E709F">
        <w:tab/>
        <w:t>must provide the fees and costs of each of the investment options in accordance with Schedule 10, and may do so by applying, adopting or incorporating a matter in writing; and</w:t>
      </w:r>
    </w:p>
    <w:p w:rsidR="00953984" w:rsidRPr="006E709F" w:rsidRDefault="00953984" w:rsidP="00953984">
      <w:pPr>
        <w:pStyle w:val="paragraph"/>
      </w:pPr>
      <w:r w:rsidRPr="006E709F">
        <w:tab/>
        <w:t>(b)</w:t>
      </w:r>
      <w:r w:rsidRPr="006E709F">
        <w:tab/>
        <w:t>may provide more detailed information about fees and costs by applying, adopting or incorporating a matter in writing.</w:t>
      </w:r>
    </w:p>
    <w:p w:rsidR="00953984" w:rsidRPr="006E709F" w:rsidRDefault="00953984" w:rsidP="00953984">
      <w:pPr>
        <w:pStyle w:val="ActHead5"/>
      </w:pPr>
      <w:bookmarkStart w:id="178" w:name="_Toc160609865"/>
      <w:r w:rsidRPr="000C4237">
        <w:rPr>
          <w:rStyle w:val="CharSectno"/>
        </w:rPr>
        <w:t>9</w:t>
      </w:r>
      <w:r w:rsidRPr="006E709F">
        <w:t xml:space="preserve">  Contents of section 7 (How sub</w:t>
      </w:r>
      <w:r w:rsidR="000C4237">
        <w:noBreakHyphen/>
      </w:r>
      <w:r w:rsidRPr="006E709F">
        <w:t>funds of CCIVs are taxed)</w:t>
      </w:r>
      <w:bookmarkEnd w:id="178"/>
    </w:p>
    <w:p w:rsidR="00953984" w:rsidRPr="006E709F" w:rsidRDefault="00953984" w:rsidP="00953984">
      <w:pPr>
        <w:pStyle w:val="subsection"/>
      </w:pPr>
      <w:r w:rsidRPr="006E709F">
        <w:tab/>
        <w:t>(1)</w:t>
      </w:r>
      <w:r w:rsidRPr="006E709F">
        <w:tab/>
        <w:t>Section 7 of the Product Disclosure Statement for the simple sub</w:t>
      </w:r>
      <w:r w:rsidR="000C4237">
        <w:noBreakHyphen/>
      </w:r>
      <w:r w:rsidRPr="006E709F">
        <w:t>fund product must state, in the form of a warning, that:</w:t>
      </w:r>
    </w:p>
    <w:p w:rsidR="00953984" w:rsidRPr="006E709F" w:rsidRDefault="00953984" w:rsidP="00953984">
      <w:pPr>
        <w:pStyle w:val="paragraph"/>
      </w:pPr>
      <w:r w:rsidRPr="006E709F">
        <w:tab/>
        <w:t>(a)</w:t>
      </w:r>
      <w:r w:rsidRPr="006E709F">
        <w:tab/>
        <w:t>investing in a simple sub</w:t>
      </w:r>
      <w:r w:rsidR="000C4237">
        <w:noBreakHyphen/>
      </w:r>
      <w:r w:rsidRPr="006E709F">
        <w:t>fund product is likely to have tax consequences; and</w:t>
      </w:r>
    </w:p>
    <w:p w:rsidR="00953984" w:rsidRPr="006E709F" w:rsidRDefault="00953984" w:rsidP="00953984">
      <w:pPr>
        <w:pStyle w:val="paragraph"/>
      </w:pPr>
      <w:r w:rsidRPr="006E709F">
        <w:tab/>
        <w:t>(b)</w:t>
      </w:r>
      <w:r w:rsidRPr="006E709F">
        <w:tab/>
        <w:t>persons are strongly advised to seek professional tax advice.</w:t>
      </w:r>
    </w:p>
    <w:p w:rsidR="00953984" w:rsidRPr="006E709F" w:rsidRDefault="00953984" w:rsidP="00953984">
      <w:pPr>
        <w:pStyle w:val="subsection"/>
      </w:pPr>
      <w:r w:rsidRPr="006E709F">
        <w:tab/>
        <w:t>(2)</w:t>
      </w:r>
      <w:r w:rsidRPr="006E709F">
        <w:tab/>
        <w:t>Section 7 must also include statements to the following effect:</w:t>
      </w:r>
    </w:p>
    <w:p w:rsidR="00953984" w:rsidRPr="006E709F" w:rsidRDefault="00953984" w:rsidP="00953984">
      <w:pPr>
        <w:pStyle w:val="paragraph"/>
      </w:pPr>
      <w:r w:rsidRPr="006E709F">
        <w:tab/>
        <w:t>(a)</w:t>
      </w:r>
      <w:r w:rsidRPr="006E709F">
        <w:tab/>
        <w:t>CCIVs and sub</w:t>
      </w:r>
      <w:r w:rsidR="000C4237">
        <w:noBreakHyphen/>
      </w:r>
      <w:r w:rsidRPr="006E709F">
        <w:t>funds do not pay tax on behalf of members;</w:t>
      </w:r>
    </w:p>
    <w:p w:rsidR="00953984" w:rsidRPr="006E709F" w:rsidRDefault="00953984" w:rsidP="00953984">
      <w:pPr>
        <w:pStyle w:val="paragraph"/>
      </w:pPr>
      <w:r w:rsidRPr="006E709F">
        <w:tab/>
        <w:t>(b)</w:t>
      </w:r>
      <w:r w:rsidRPr="006E709F">
        <w:tab/>
        <w:t>members of the sub</w:t>
      </w:r>
      <w:r w:rsidR="000C4237">
        <w:noBreakHyphen/>
      </w:r>
      <w:r w:rsidRPr="006E709F">
        <w:t>fund are assessed for tax on any income and capital gains generated by the sub</w:t>
      </w:r>
      <w:r w:rsidR="000C4237">
        <w:noBreakHyphen/>
      </w:r>
      <w:r w:rsidRPr="006E709F">
        <w:t>fund.</w:t>
      </w:r>
    </w:p>
    <w:p w:rsidR="00953984" w:rsidRPr="006E709F" w:rsidRDefault="00953984" w:rsidP="00953984">
      <w:pPr>
        <w:pStyle w:val="subsection"/>
      </w:pPr>
      <w:r w:rsidRPr="006E709F">
        <w:tab/>
        <w:t>(3)</w:t>
      </w:r>
      <w:r w:rsidRPr="006E709F">
        <w:tab/>
        <w:t>The CCIV may provide additional information about:</w:t>
      </w:r>
    </w:p>
    <w:p w:rsidR="00953984" w:rsidRPr="006E709F" w:rsidRDefault="00953984" w:rsidP="00953984">
      <w:pPr>
        <w:pStyle w:val="paragraph"/>
      </w:pPr>
      <w:r w:rsidRPr="006E709F">
        <w:tab/>
        <w:t>(a)</w:t>
      </w:r>
      <w:r w:rsidRPr="006E709F">
        <w:tab/>
        <w:t>taxation matters relating to the sub</w:t>
      </w:r>
      <w:r w:rsidR="000C4237">
        <w:noBreakHyphen/>
      </w:r>
      <w:r w:rsidRPr="006E709F">
        <w:t>fund of the CCIV; or</w:t>
      </w:r>
    </w:p>
    <w:p w:rsidR="00953984" w:rsidRPr="006E709F" w:rsidRDefault="00953984" w:rsidP="00953984">
      <w:pPr>
        <w:pStyle w:val="paragraph"/>
      </w:pPr>
      <w:r w:rsidRPr="006E709F">
        <w:tab/>
        <w:t>(b)</w:t>
      </w:r>
      <w:r w:rsidRPr="006E709F">
        <w:tab/>
        <w:t>taxation matters relating to sub</w:t>
      </w:r>
      <w:r w:rsidR="000C4237">
        <w:noBreakHyphen/>
      </w:r>
      <w:r w:rsidRPr="006E709F">
        <w:t>funds of CCIVs;</w:t>
      </w:r>
    </w:p>
    <w:p w:rsidR="00953984" w:rsidRPr="006E709F" w:rsidRDefault="00953984" w:rsidP="00953984">
      <w:pPr>
        <w:pStyle w:val="subsection2"/>
      </w:pPr>
      <w:r w:rsidRPr="006E709F">
        <w:t>by applying, adopting or incorporating a matter in writing.</w:t>
      </w:r>
    </w:p>
    <w:p w:rsidR="00953984" w:rsidRPr="006E709F" w:rsidRDefault="00953984" w:rsidP="00953984">
      <w:pPr>
        <w:pStyle w:val="notetext"/>
      </w:pPr>
      <w:r w:rsidRPr="006E709F">
        <w:t>Note:</w:t>
      </w:r>
      <w:r w:rsidRPr="006E709F">
        <w:tab/>
        <w:t>For taxation matters relating to sub</w:t>
      </w:r>
      <w:r w:rsidR="000C4237">
        <w:noBreakHyphen/>
      </w:r>
      <w:r w:rsidRPr="006E709F">
        <w:t>funds of CCIVs, see Subdivision 195</w:t>
      </w:r>
      <w:r w:rsidR="000C4237">
        <w:noBreakHyphen/>
      </w:r>
      <w:r w:rsidRPr="006E709F">
        <w:t xml:space="preserve">C of the </w:t>
      </w:r>
      <w:r w:rsidRPr="006E709F">
        <w:rPr>
          <w:i/>
        </w:rPr>
        <w:t>Income Tax Assessment Act 1997</w:t>
      </w:r>
      <w:r w:rsidRPr="006E709F">
        <w:t>.</w:t>
      </w:r>
    </w:p>
    <w:p w:rsidR="00953984" w:rsidRPr="006E709F" w:rsidRDefault="00953984" w:rsidP="00953984">
      <w:pPr>
        <w:pStyle w:val="ActHead5"/>
      </w:pPr>
      <w:bookmarkStart w:id="179" w:name="_Toc160609866"/>
      <w:r w:rsidRPr="000C4237">
        <w:rPr>
          <w:rStyle w:val="CharSectno"/>
        </w:rPr>
        <w:t>10</w:t>
      </w:r>
      <w:r w:rsidRPr="006E709F">
        <w:t xml:space="preserve">  Contents of section 8 (How to apply)</w:t>
      </w:r>
      <w:bookmarkEnd w:id="179"/>
    </w:p>
    <w:p w:rsidR="00953984" w:rsidRPr="006E709F" w:rsidRDefault="00953984" w:rsidP="00953984">
      <w:pPr>
        <w:pStyle w:val="subsection"/>
      </w:pPr>
      <w:r w:rsidRPr="006E709F">
        <w:tab/>
        <w:t>(1)</w:t>
      </w:r>
      <w:r w:rsidRPr="006E709F">
        <w:tab/>
        <w:t>Section 8 of the Product Disclosure Statement for the simple sub</w:t>
      </w:r>
      <w:r w:rsidR="000C4237">
        <w:noBreakHyphen/>
      </w:r>
      <w:r w:rsidRPr="006E709F">
        <w:t>fund product must:</w:t>
      </w:r>
    </w:p>
    <w:p w:rsidR="00953984" w:rsidRPr="006E709F" w:rsidRDefault="00953984" w:rsidP="00953984">
      <w:pPr>
        <w:pStyle w:val="paragraph"/>
      </w:pPr>
      <w:r w:rsidRPr="006E709F">
        <w:tab/>
        <w:t>(a)</w:t>
      </w:r>
      <w:r w:rsidRPr="006E709F">
        <w:tab/>
        <w:t>describe, in the form of a summary, how to invest in the simple sub</w:t>
      </w:r>
      <w:r w:rsidR="000C4237">
        <w:noBreakHyphen/>
      </w:r>
      <w:r w:rsidRPr="006E709F">
        <w:t>fund product; and</w:t>
      </w:r>
    </w:p>
    <w:p w:rsidR="00953984" w:rsidRPr="006E709F" w:rsidRDefault="00953984" w:rsidP="00953984">
      <w:pPr>
        <w:pStyle w:val="paragraph"/>
      </w:pPr>
      <w:r w:rsidRPr="006E709F">
        <w:tab/>
        <w:t>(b)</w:t>
      </w:r>
      <w:r w:rsidRPr="006E709F">
        <w:tab/>
        <w:t>explain the cooling</w:t>
      </w:r>
      <w:r w:rsidR="000C4237">
        <w:noBreakHyphen/>
      </w:r>
      <w:r w:rsidRPr="006E709F">
        <w:t>off period that applies to the simple sub</w:t>
      </w:r>
      <w:r w:rsidR="000C4237">
        <w:noBreakHyphen/>
      </w:r>
      <w:r w:rsidRPr="006E709F">
        <w:t>fund product; and</w:t>
      </w:r>
    </w:p>
    <w:p w:rsidR="00953984" w:rsidRPr="006E709F" w:rsidRDefault="00953984" w:rsidP="00953984">
      <w:pPr>
        <w:pStyle w:val="paragraph"/>
      </w:pPr>
      <w:r w:rsidRPr="006E709F">
        <w:tab/>
        <w:t>(c)</w:t>
      </w:r>
      <w:r w:rsidRPr="006E709F">
        <w:tab/>
        <w:t>explain how to make a complaint (by means that include the provision of relevant contact details).</w:t>
      </w:r>
    </w:p>
    <w:p w:rsidR="00953984" w:rsidRPr="006E709F" w:rsidRDefault="00953984" w:rsidP="00953984">
      <w:pPr>
        <w:pStyle w:val="subsection"/>
      </w:pPr>
      <w:r w:rsidRPr="006E709F">
        <w:tab/>
        <w:t>(2)</w:t>
      </w:r>
      <w:r w:rsidRPr="006E709F">
        <w:tab/>
        <w:t>The CCIV:</w:t>
      </w:r>
    </w:p>
    <w:p w:rsidR="00953984" w:rsidRPr="006E709F" w:rsidRDefault="00953984" w:rsidP="00953984">
      <w:pPr>
        <w:pStyle w:val="paragraph"/>
      </w:pPr>
      <w:r w:rsidRPr="006E709F">
        <w:tab/>
        <w:t>(a)</w:t>
      </w:r>
      <w:r w:rsidRPr="006E709F">
        <w:tab/>
        <w:t>may provide more detailed information about cooling</w:t>
      </w:r>
      <w:r w:rsidR="000C4237">
        <w:noBreakHyphen/>
      </w:r>
      <w:r w:rsidRPr="006E709F">
        <w:t>off periods, complaints and dispute resolution; and</w:t>
      </w:r>
    </w:p>
    <w:p w:rsidR="00953984" w:rsidRPr="006E709F" w:rsidRDefault="00953984" w:rsidP="00953984">
      <w:pPr>
        <w:pStyle w:val="paragraph"/>
      </w:pPr>
      <w:r w:rsidRPr="006E709F">
        <w:tab/>
        <w:t>(b)</w:t>
      </w:r>
      <w:r w:rsidRPr="006E709F">
        <w:tab/>
        <w:t>may provide that information by applying, adopting or incorporating a matter in writing.</w:t>
      </w:r>
    </w:p>
    <w:p w:rsidR="00326DD7" w:rsidRPr="006E709F" w:rsidRDefault="00326DD7" w:rsidP="00583C00">
      <w:pPr>
        <w:sectPr w:rsidR="00326DD7" w:rsidRPr="006E709F" w:rsidSect="0052661F">
          <w:headerReference w:type="even" r:id="rId63"/>
          <w:headerReference w:type="default" r:id="rId64"/>
          <w:footerReference w:type="even" r:id="rId65"/>
          <w:footerReference w:type="default" r:id="rId66"/>
          <w:headerReference w:type="first" r:id="rId67"/>
          <w:footerReference w:type="first" r:id="rId68"/>
          <w:pgSz w:w="11907" w:h="16839" w:code="9"/>
          <w:pgMar w:top="2325" w:right="1797" w:bottom="1440" w:left="1797" w:header="720" w:footer="709" w:gutter="0"/>
          <w:cols w:space="720"/>
          <w:docGrid w:linePitch="299"/>
        </w:sectPr>
      </w:pPr>
    </w:p>
    <w:p w:rsidR="00A75A8D" w:rsidRPr="006E709F" w:rsidRDefault="00A75A8D" w:rsidP="009244F1">
      <w:pPr>
        <w:pStyle w:val="ActHead1"/>
        <w:pageBreakBefore/>
      </w:pPr>
      <w:bookmarkStart w:id="180" w:name="_Toc160609867"/>
      <w:r w:rsidRPr="000C4237">
        <w:rPr>
          <w:rStyle w:val="CharChapNo"/>
        </w:rPr>
        <w:t>Schedule</w:t>
      </w:r>
      <w:r w:rsidR="00DA13DE" w:rsidRPr="000C4237">
        <w:rPr>
          <w:rStyle w:val="CharChapNo"/>
        </w:rPr>
        <w:t> </w:t>
      </w:r>
      <w:r w:rsidRPr="000C4237">
        <w:rPr>
          <w:rStyle w:val="CharChapNo"/>
        </w:rPr>
        <w:t>11</w:t>
      </w:r>
      <w:r w:rsidRPr="006E709F">
        <w:t>—</w:t>
      </w:r>
      <w:r w:rsidRPr="000C4237">
        <w:rPr>
          <w:rStyle w:val="CharChapText"/>
        </w:rPr>
        <w:t>Persons who are not covered by section</w:t>
      </w:r>
      <w:r w:rsidR="00DA13DE" w:rsidRPr="000C4237">
        <w:rPr>
          <w:rStyle w:val="CharChapText"/>
        </w:rPr>
        <w:t> </w:t>
      </w:r>
      <w:r w:rsidRPr="000C4237">
        <w:rPr>
          <w:rStyle w:val="CharChapText"/>
        </w:rPr>
        <w:t>1433 of the Act</w:t>
      </w:r>
      <w:bookmarkEnd w:id="180"/>
    </w:p>
    <w:p w:rsidR="002A22A4" w:rsidRPr="006E709F" w:rsidRDefault="002A22A4" w:rsidP="00A801D0">
      <w:pPr>
        <w:pStyle w:val="notemargin"/>
      </w:pPr>
      <w:r w:rsidRPr="006E709F">
        <w:t>(regulation</w:t>
      </w:r>
      <w:r w:rsidR="00DA13DE" w:rsidRPr="006E709F">
        <w:t> </w:t>
      </w:r>
      <w:r w:rsidRPr="006E709F">
        <w:t>10.2.36)</w:t>
      </w:r>
    </w:p>
    <w:p w:rsidR="002A22A4" w:rsidRPr="006E709F" w:rsidRDefault="00A801D0" w:rsidP="002A22A4">
      <w:pPr>
        <w:pStyle w:val="Header"/>
      </w:pPr>
      <w:r w:rsidRPr="000C4237">
        <w:rPr>
          <w:rStyle w:val="CharPartNo"/>
        </w:rPr>
        <w:t xml:space="preserve"> </w:t>
      </w:r>
      <w:r w:rsidRPr="000C4237">
        <w:rPr>
          <w:rStyle w:val="CharPartText"/>
        </w:rPr>
        <w:t xml:space="preserve"> </w:t>
      </w:r>
    </w:p>
    <w:p w:rsidR="00A801D0" w:rsidRPr="006E709F" w:rsidRDefault="00A801D0" w:rsidP="00A801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88"/>
        <w:gridCol w:w="4802"/>
        <w:gridCol w:w="2939"/>
      </w:tblGrid>
      <w:tr w:rsidR="002A22A4" w:rsidRPr="006E709F" w:rsidTr="00E118FA">
        <w:trPr>
          <w:tblHeader/>
        </w:trPr>
        <w:tc>
          <w:tcPr>
            <w:tcW w:w="462" w:type="pct"/>
            <w:tcBorders>
              <w:top w:val="single" w:sz="12" w:space="0" w:color="auto"/>
              <w:bottom w:val="single" w:sz="12" w:space="0" w:color="auto"/>
            </w:tcBorders>
            <w:shd w:val="clear" w:color="auto" w:fill="auto"/>
          </w:tcPr>
          <w:p w:rsidR="002A22A4" w:rsidRPr="006E709F" w:rsidRDefault="002A22A4" w:rsidP="00C44525">
            <w:pPr>
              <w:pStyle w:val="TableHeading"/>
            </w:pPr>
            <w:r w:rsidRPr="006E709F">
              <w:t>Item</w:t>
            </w:r>
          </w:p>
        </w:tc>
        <w:tc>
          <w:tcPr>
            <w:tcW w:w="2815" w:type="pct"/>
            <w:tcBorders>
              <w:top w:val="single" w:sz="12" w:space="0" w:color="auto"/>
              <w:bottom w:val="single" w:sz="12" w:space="0" w:color="auto"/>
            </w:tcBorders>
            <w:shd w:val="clear" w:color="auto" w:fill="auto"/>
          </w:tcPr>
          <w:p w:rsidR="002A22A4" w:rsidRPr="006E709F" w:rsidRDefault="002A22A4" w:rsidP="00C44525">
            <w:pPr>
              <w:pStyle w:val="TableHeading"/>
            </w:pPr>
            <w:r w:rsidRPr="006E709F">
              <w:t>Person</w:t>
            </w:r>
          </w:p>
        </w:tc>
        <w:tc>
          <w:tcPr>
            <w:tcW w:w="1723" w:type="pct"/>
            <w:tcBorders>
              <w:top w:val="single" w:sz="12" w:space="0" w:color="auto"/>
              <w:bottom w:val="single" w:sz="12" w:space="0" w:color="auto"/>
            </w:tcBorders>
            <w:shd w:val="clear" w:color="auto" w:fill="auto"/>
          </w:tcPr>
          <w:p w:rsidR="002A22A4" w:rsidRPr="006E709F" w:rsidRDefault="002A22A4" w:rsidP="00C44525">
            <w:pPr>
              <w:pStyle w:val="TableHeading"/>
            </w:pPr>
            <w:r w:rsidRPr="006E709F">
              <w:t>Period</w:t>
            </w:r>
          </w:p>
        </w:tc>
      </w:tr>
      <w:tr w:rsidR="002A22A4" w:rsidRPr="006E709F" w:rsidTr="00E118FA">
        <w:tc>
          <w:tcPr>
            <w:tcW w:w="462" w:type="pct"/>
            <w:tcBorders>
              <w:top w:val="single" w:sz="12" w:space="0" w:color="auto"/>
            </w:tcBorders>
            <w:shd w:val="clear" w:color="auto" w:fill="auto"/>
          </w:tcPr>
          <w:p w:rsidR="002A22A4" w:rsidRPr="006E709F" w:rsidRDefault="002A22A4" w:rsidP="00A801D0">
            <w:pPr>
              <w:pStyle w:val="Tabletext"/>
            </w:pPr>
            <w:r w:rsidRPr="006E709F">
              <w:rPr>
                <w:szCs w:val="22"/>
              </w:rPr>
              <w:t>1</w:t>
            </w:r>
          </w:p>
        </w:tc>
        <w:tc>
          <w:tcPr>
            <w:tcW w:w="2815" w:type="pct"/>
            <w:tcBorders>
              <w:top w:val="single" w:sz="12" w:space="0" w:color="auto"/>
            </w:tcBorders>
            <w:shd w:val="clear" w:color="auto" w:fill="auto"/>
          </w:tcPr>
          <w:p w:rsidR="002A22A4" w:rsidRPr="006E709F" w:rsidRDefault="002A22A4" w:rsidP="00A801D0">
            <w:pPr>
              <w:pStyle w:val="Tabletext"/>
            </w:pPr>
            <w:r w:rsidRPr="006E709F">
              <w:rPr>
                <w:szCs w:val="22"/>
              </w:rPr>
              <w:t>A person who is or has been an insolvent under administration</w:t>
            </w:r>
          </w:p>
        </w:tc>
        <w:tc>
          <w:tcPr>
            <w:tcW w:w="1723" w:type="pct"/>
            <w:tcBorders>
              <w:top w:val="single" w:sz="12" w:space="0" w:color="auto"/>
            </w:tcBorders>
            <w:shd w:val="clear" w:color="auto" w:fill="auto"/>
          </w:tcPr>
          <w:p w:rsidR="002A22A4" w:rsidRPr="006E709F" w:rsidRDefault="002A22A4" w:rsidP="00A801D0">
            <w:pPr>
              <w:pStyle w:val="Tabletext"/>
            </w:pPr>
            <w:r w:rsidRPr="006E709F">
              <w:rPr>
                <w:szCs w:val="22"/>
              </w:rPr>
              <w:t>5 years after the start of the administration</w:t>
            </w:r>
          </w:p>
        </w:tc>
      </w:tr>
      <w:tr w:rsidR="002A22A4" w:rsidRPr="006E709F" w:rsidTr="00E118FA">
        <w:tc>
          <w:tcPr>
            <w:tcW w:w="462" w:type="pct"/>
            <w:shd w:val="clear" w:color="auto" w:fill="auto"/>
          </w:tcPr>
          <w:p w:rsidR="002A22A4" w:rsidRPr="006E709F" w:rsidRDefault="002A22A4" w:rsidP="00A801D0">
            <w:pPr>
              <w:pStyle w:val="Tabletext"/>
            </w:pPr>
            <w:r w:rsidRPr="006E709F">
              <w:rPr>
                <w:szCs w:val="22"/>
              </w:rPr>
              <w:t>2</w:t>
            </w:r>
          </w:p>
        </w:tc>
        <w:tc>
          <w:tcPr>
            <w:tcW w:w="2815" w:type="pct"/>
            <w:shd w:val="clear" w:color="auto" w:fill="auto"/>
          </w:tcPr>
          <w:p w:rsidR="002A22A4" w:rsidRPr="006E709F" w:rsidRDefault="002A22A4" w:rsidP="009244F1">
            <w:pPr>
              <w:pStyle w:val="Tabletext"/>
            </w:pPr>
            <w:r w:rsidRPr="006E709F">
              <w:rPr>
                <w:szCs w:val="22"/>
              </w:rPr>
              <w:t xml:space="preserve">A body corporate that has been </w:t>
            </w:r>
            <w:r w:rsidR="00A75A8D" w:rsidRPr="006E709F">
              <w:t>a Chapter</w:t>
            </w:r>
            <w:r w:rsidR="00DA13DE" w:rsidRPr="006E709F">
              <w:t> </w:t>
            </w:r>
            <w:r w:rsidR="00A75A8D" w:rsidRPr="006E709F">
              <w:t>5 body corporate</w:t>
            </w:r>
          </w:p>
        </w:tc>
        <w:tc>
          <w:tcPr>
            <w:tcW w:w="1723" w:type="pct"/>
            <w:shd w:val="clear" w:color="auto" w:fill="auto"/>
          </w:tcPr>
          <w:p w:rsidR="002A22A4" w:rsidRPr="006E709F" w:rsidRDefault="002A22A4" w:rsidP="00A801D0">
            <w:pPr>
              <w:pStyle w:val="Tabletext"/>
            </w:pPr>
            <w:r w:rsidRPr="006E709F">
              <w:rPr>
                <w:szCs w:val="22"/>
              </w:rPr>
              <w:t>5 years after the start of the administration</w:t>
            </w:r>
          </w:p>
        </w:tc>
      </w:tr>
      <w:tr w:rsidR="002A22A4" w:rsidRPr="006E709F" w:rsidTr="00E118FA">
        <w:tc>
          <w:tcPr>
            <w:tcW w:w="462" w:type="pct"/>
            <w:shd w:val="clear" w:color="auto" w:fill="auto"/>
          </w:tcPr>
          <w:p w:rsidR="002A22A4" w:rsidRPr="006E709F" w:rsidRDefault="002A22A4" w:rsidP="00A801D0">
            <w:pPr>
              <w:pStyle w:val="Tabletext"/>
            </w:pPr>
            <w:r w:rsidRPr="006E709F">
              <w:rPr>
                <w:szCs w:val="22"/>
              </w:rPr>
              <w:t>3</w:t>
            </w:r>
          </w:p>
        </w:tc>
        <w:tc>
          <w:tcPr>
            <w:tcW w:w="2815" w:type="pct"/>
            <w:shd w:val="clear" w:color="auto" w:fill="auto"/>
          </w:tcPr>
          <w:p w:rsidR="002A22A4" w:rsidRPr="006E709F" w:rsidRDefault="002A22A4" w:rsidP="00A801D0">
            <w:pPr>
              <w:pStyle w:val="Tabletext"/>
            </w:pPr>
            <w:r w:rsidRPr="006E709F">
              <w:rPr>
                <w:szCs w:val="22"/>
              </w:rPr>
              <w:t>A person who has been convicted of fraud</w:t>
            </w:r>
          </w:p>
        </w:tc>
        <w:tc>
          <w:tcPr>
            <w:tcW w:w="1723" w:type="pct"/>
            <w:shd w:val="clear" w:color="auto" w:fill="auto"/>
          </w:tcPr>
          <w:p w:rsidR="002A22A4" w:rsidRPr="006E709F" w:rsidRDefault="002A22A4" w:rsidP="00A801D0">
            <w:pPr>
              <w:pStyle w:val="Tabletext"/>
            </w:pPr>
            <w:r w:rsidRPr="006E709F">
              <w:rPr>
                <w:szCs w:val="22"/>
              </w:rPr>
              <w:t>10 years after the conviction</w:t>
            </w:r>
          </w:p>
        </w:tc>
      </w:tr>
      <w:tr w:rsidR="002A22A4" w:rsidRPr="006E709F" w:rsidTr="00E118FA">
        <w:tc>
          <w:tcPr>
            <w:tcW w:w="462" w:type="pct"/>
            <w:shd w:val="clear" w:color="auto" w:fill="auto"/>
          </w:tcPr>
          <w:p w:rsidR="002A22A4" w:rsidRPr="006E709F" w:rsidRDefault="002A22A4" w:rsidP="00A801D0">
            <w:pPr>
              <w:pStyle w:val="Tabletext"/>
            </w:pPr>
            <w:r w:rsidRPr="006E709F">
              <w:rPr>
                <w:szCs w:val="22"/>
              </w:rPr>
              <w:t>4</w:t>
            </w:r>
          </w:p>
        </w:tc>
        <w:tc>
          <w:tcPr>
            <w:tcW w:w="2815" w:type="pct"/>
            <w:shd w:val="clear" w:color="auto" w:fill="auto"/>
          </w:tcPr>
          <w:p w:rsidR="002A22A4" w:rsidRPr="006E709F" w:rsidRDefault="002A22A4" w:rsidP="00A801D0">
            <w:pPr>
              <w:pStyle w:val="Tabletext"/>
            </w:pPr>
            <w:r w:rsidRPr="006E709F">
              <w:rPr>
                <w:szCs w:val="22"/>
              </w:rPr>
              <w:t>A person to whom the following circumstances apply:</w:t>
            </w:r>
          </w:p>
          <w:p w:rsidR="002A22A4" w:rsidRPr="006E709F" w:rsidRDefault="00A801D0" w:rsidP="00A801D0">
            <w:pPr>
              <w:pStyle w:val="Tablea"/>
            </w:pPr>
            <w:r w:rsidRPr="006E709F">
              <w:rPr>
                <w:szCs w:val="22"/>
              </w:rPr>
              <w:t>(</w:t>
            </w:r>
            <w:r w:rsidR="002A22A4" w:rsidRPr="006E709F">
              <w:rPr>
                <w:szCs w:val="22"/>
              </w:rPr>
              <w:t>a</w:t>
            </w:r>
            <w:r w:rsidRPr="006E709F">
              <w:rPr>
                <w:szCs w:val="22"/>
              </w:rPr>
              <w:t xml:space="preserve">) </w:t>
            </w:r>
            <w:r w:rsidR="002A22A4" w:rsidRPr="006E709F">
              <w:rPr>
                <w:szCs w:val="22"/>
              </w:rPr>
              <w:t>the person is the subject of legal proceedings for criminal fraud;</w:t>
            </w:r>
          </w:p>
          <w:p w:rsidR="0048795D" w:rsidRPr="006E709F" w:rsidRDefault="00A801D0" w:rsidP="00A801D0">
            <w:pPr>
              <w:pStyle w:val="Tablea"/>
            </w:pPr>
            <w:r w:rsidRPr="006E709F">
              <w:t>(</w:t>
            </w:r>
            <w:r w:rsidR="002A22A4" w:rsidRPr="006E709F">
              <w:t>b</w:t>
            </w:r>
            <w:r w:rsidRPr="006E709F">
              <w:t xml:space="preserve">) </w:t>
            </w:r>
            <w:r w:rsidR="002A22A4" w:rsidRPr="006E709F">
              <w:t>the proceedings could, because of the content or nature of the relevant originating process, result in a judgment being made that would cause a person to be someone to whom item</w:t>
            </w:r>
            <w:r w:rsidR="00DA13DE" w:rsidRPr="006E709F">
              <w:t> </w:t>
            </w:r>
            <w:r w:rsidR="002A22A4" w:rsidRPr="006E709F">
              <w:t>3 applies;</w:t>
            </w:r>
          </w:p>
          <w:p w:rsidR="002A22A4" w:rsidRPr="006E709F" w:rsidRDefault="00A801D0" w:rsidP="00A801D0">
            <w:pPr>
              <w:pStyle w:val="Tablea"/>
            </w:pPr>
            <w:r w:rsidRPr="006E709F">
              <w:t>(</w:t>
            </w:r>
            <w:r w:rsidR="002A22A4" w:rsidRPr="006E709F">
              <w:t>c</w:t>
            </w:r>
            <w:r w:rsidRPr="006E709F">
              <w:t xml:space="preserve">) </w:t>
            </w:r>
            <w:r w:rsidR="002A22A4" w:rsidRPr="006E709F">
              <w:t>the court has not delivered a judgment in relation to the issue of the fraud</w:t>
            </w:r>
          </w:p>
        </w:tc>
        <w:tc>
          <w:tcPr>
            <w:tcW w:w="1723" w:type="pct"/>
            <w:shd w:val="clear" w:color="auto" w:fill="auto"/>
          </w:tcPr>
          <w:p w:rsidR="002A22A4" w:rsidRPr="006E709F" w:rsidRDefault="002A22A4" w:rsidP="00A801D0">
            <w:pPr>
              <w:pStyle w:val="Tabletext"/>
            </w:pPr>
          </w:p>
        </w:tc>
      </w:tr>
      <w:tr w:rsidR="00C44525" w:rsidRPr="006E709F" w:rsidTr="00E118FA">
        <w:tc>
          <w:tcPr>
            <w:tcW w:w="462" w:type="pct"/>
            <w:tcBorders>
              <w:bottom w:val="single" w:sz="4" w:space="0" w:color="auto"/>
            </w:tcBorders>
            <w:shd w:val="clear" w:color="auto" w:fill="auto"/>
          </w:tcPr>
          <w:p w:rsidR="00C44525" w:rsidRPr="006E709F" w:rsidRDefault="00C44525" w:rsidP="00A801D0">
            <w:pPr>
              <w:pStyle w:val="Tabletext"/>
            </w:pPr>
            <w:r w:rsidRPr="006E709F">
              <w:rPr>
                <w:szCs w:val="22"/>
              </w:rPr>
              <w:t>5</w:t>
            </w:r>
          </w:p>
        </w:tc>
        <w:tc>
          <w:tcPr>
            <w:tcW w:w="2815" w:type="pct"/>
            <w:tcBorders>
              <w:bottom w:val="single" w:sz="4" w:space="0" w:color="auto"/>
            </w:tcBorders>
            <w:shd w:val="clear" w:color="auto" w:fill="auto"/>
          </w:tcPr>
          <w:p w:rsidR="00C44525" w:rsidRPr="006E709F" w:rsidRDefault="00C44525" w:rsidP="00A801D0">
            <w:pPr>
              <w:pStyle w:val="Tabletext"/>
            </w:pPr>
            <w:r w:rsidRPr="006E709F">
              <w:rPr>
                <w:szCs w:val="22"/>
              </w:rPr>
              <w:t>A person to whom the following circumstances apply:</w:t>
            </w:r>
          </w:p>
          <w:p w:rsidR="00C44525" w:rsidRPr="006E709F" w:rsidRDefault="00C44525" w:rsidP="00A801D0">
            <w:pPr>
              <w:pStyle w:val="Tablea"/>
            </w:pPr>
            <w:r w:rsidRPr="006E709F">
              <w:rPr>
                <w:szCs w:val="22"/>
              </w:rPr>
              <w:t>(a) the person has been found liable by a court for a contravention of a law relating to financial services activities;</w:t>
            </w:r>
          </w:p>
          <w:p w:rsidR="00C44525" w:rsidRPr="006E709F" w:rsidRDefault="00C44525" w:rsidP="00A801D0">
            <w:pPr>
              <w:pStyle w:val="Tablea"/>
            </w:pPr>
            <w:r w:rsidRPr="006E709F">
              <w:t>(b) the proceedings were brought by a regulator;</w:t>
            </w:r>
          </w:p>
          <w:p w:rsidR="00C44525" w:rsidRPr="006E709F" w:rsidRDefault="00C44525" w:rsidP="00750EE3">
            <w:pPr>
              <w:pStyle w:val="Tablea"/>
            </w:pPr>
            <w:r w:rsidRPr="006E709F">
              <w:rPr>
                <w:szCs w:val="22"/>
              </w:rPr>
              <w:t>(c) the proceedings related to conduct that occurred in the course of the person’s engaging in financial services activities, and was related to that person’s activities</w:t>
            </w:r>
          </w:p>
        </w:tc>
        <w:tc>
          <w:tcPr>
            <w:tcW w:w="1723" w:type="pct"/>
            <w:tcBorders>
              <w:bottom w:val="single" w:sz="4" w:space="0" w:color="auto"/>
            </w:tcBorders>
            <w:shd w:val="clear" w:color="auto" w:fill="auto"/>
          </w:tcPr>
          <w:p w:rsidR="00C44525" w:rsidRPr="006E709F" w:rsidRDefault="00C44525" w:rsidP="00A801D0">
            <w:pPr>
              <w:pStyle w:val="Tabletext"/>
            </w:pPr>
            <w:r w:rsidRPr="006E709F">
              <w:rPr>
                <w:szCs w:val="22"/>
              </w:rPr>
              <w:t>10 years after the conduct first occurred</w:t>
            </w:r>
          </w:p>
        </w:tc>
      </w:tr>
      <w:tr w:rsidR="002A22A4" w:rsidRPr="006E709F" w:rsidTr="00E118FA">
        <w:tc>
          <w:tcPr>
            <w:tcW w:w="462" w:type="pct"/>
            <w:tcBorders>
              <w:bottom w:val="nil"/>
            </w:tcBorders>
            <w:shd w:val="clear" w:color="auto" w:fill="auto"/>
          </w:tcPr>
          <w:p w:rsidR="002A22A4" w:rsidRPr="006E709F" w:rsidRDefault="002A22A4" w:rsidP="00A801D0">
            <w:pPr>
              <w:pStyle w:val="Tabletext"/>
            </w:pPr>
            <w:r w:rsidRPr="006E709F">
              <w:rPr>
                <w:szCs w:val="22"/>
              </w:rPr>
              <w:t>6</w:t>
            </w:r>
          </w:p>
        </w:tc>
        <w:tc>
          <w:tcPr>
            <w:tcW w:w="2815" w:type="pct"/>
            <w:tcBorders>
              <w:bottom w:val="nil"/>
            </w:tcBorders>
            <w:shd w:val="clear" w:color="auto" w:fill="auto"/>
          </w:tcPr>
          <w:p w:rsidR="002A22A4" w:rsidRPr="006E709F" w:rsidRDefault="002A22A4" w:rsidP="00A801D0">
            <w:pPr>
              <w:pStyle w:val="Tabletext"/>
            </w:pPr>
            <w:r w:rsidRPr="006E709F">
              <w:rPr>
                <w:szCs w:val="22"/>
              </w:rPr>
              <w:t>A person to whom the following circumstances apply:</w:t>
            </w:r>
          </w:p>
          <w:p w:rsidR="002A22A4" w:rsidRPr="006E709F" w:rsidRDefault="00A801D0" w:rsidP="00A801D0">
            <w:pPr>
              <w:pStyle w:val="Tablea"/>
            </w:pPr>
            <w:r w:rsidRPr="006E709F">
              <w:rPr>
                <w:szCs w:val="22"/>
              </w:rPr>
              <w:t>(</w:t>
            </w:r>
            <w:r w:rsidR="002A22A4" w:rsidRPr="006E709F">
              <w:rPr>
                <w:szCs w:val="22"/>
              </w:rPr>
              <w:t>a</w:t>
            </w:r>
            <w:r w:rsidRPr="006E709F">
              <w:rPr>
                <w:szCs w:val="22"/>
              </w:rPr>
              <w:t xml:space="preserve">) </w:t>
            </w:r>
            <w:r w:rsidR="002A22A4" w:rsidRPr="006E709F">
              <w:rPr>
                <w:szCs w:val="22"/>
              </w:rPr>
              <w:t>the person is the subject of legal proceedings for a contravention of a law relating to financial services activities;</w:t>
            </w:r>
          </w:p>
          <w:p w:rsidR="002A22A4" w:rsidRPr="006E709F" w:rsidRDefault="00A801D0" w:rsidP="00A801D0">
            <w:pPr>
              <w:pStyle w:val="Tablea"/>
            </w:pPr>
            <w:r w:rsidRPr="006E709F">
              <w:t>(</w:t>
            </w:r>
            <w:r w:rsidR="002A22A4" w:rsidRPr="006E709F">
              <w:t>b</w:t>
            </w:r>
            <w:r w:rsidRPr="006E709F">
              <w:t xml:space="preserve">) </w:t>
            </w:r>
            <w:r w:rsidR="002A22A4" w:rsidRPr="006E709F">
              <w:t>the proceedings were brought by a regulator;</w:t>
            </w:r>
          </w:p>
        </w:tc>
        <w:tc>
          <w:tcPr>
            <w:tcW w:w="1723" w:type="pct"/>
            <w:tcBorders>
              <w:bottom w:val="nil"/>
            </w:tcBorders>
            <w:shd w:val="clear" w:color="auto" w:fill="auto"/>
          </w:tcPr>
          <w:p w:rsidR="002A22A4" w:rsidRPr="006E709F" w:rsidRDefault="002A22A4" w:rsidP="00A801D0">
            <w:pPr>
              <w:pStyle w:val="Tabletext"/>
            </w:pPr>
          </w:p>
        </w:tc>
      </w:tr>
      <w:tr w:rsidR="00873E94" w:rsidRPr="006E709F" w:rsidTr="00E118FA">
        <w:trPr>
          <w:trHeight w:val="255"/>
        </w:trPr>
        <w:tc>
          <w:tcPr>
            <w:tcW w:w="462" w:type="pct"/>
            <w:tcBorders>
              <w:top w:val="nil"/>
            </w:tcBorders>
            <w:shd w:val="clear" w:color="auto" w:fill="auto"/>
          </w:tcPr>
          <w:p w:rsidR="00873E94" w:rsidRPr="006E709F" w:rsidRDefault="00873E94" w:rsidP="00497EC9">
            <w:pPr>
              <w:pStyle w:val="Tabletext"/>
              <w:rPr>
                <w:szCs w:val="22"/>
              </w:rPr>
            </w:pPr>
          </w:p>
        </w:tc>
        <w:tc>
          <w:tcPr>
            <w:tcW w:w="2815" w:type="pct"/>
            <w:tcBorders>
              <w:top w:val="nil"/>
            </w:tcBorders>
            <w:shd w:val="clear" w:color="auto" w:fill="auto"/>
          </w:tcPr>
          <w:p w:rsidR="00873E94" w:rsidRPr="006E709F" w:rsidRDefault="00873E94" w:rsidP="00497EC9">
            <w:pPr>
              <w:pStyle w:val="Tablea"/>
            </w:pPr>
            <w:r w:rsidRPr="006E709F">
              <w:t>(c) the proceedings relate to conduct that occurred in the course of the person’s engaging in financial services activities, and was related to that person’s activities;</w:t>
            </w:r>
          </w:p>
          <w:p w:rsidR="00873E94" w:rsidRPr="006E709F" w:rsidRDefault="00873E94" w:rsidP="00873E94">
            <w:pPr>
              <w:pStyle w:val="Tablea"/>
              <w:keepNext/>
              <w:keepLines/>
              <w:rPr>
                <w:szCs w:val="22"/>
              </w:rPr>
            </w:pPr>
            <w:r w:rsidRPr="006E709F">
              <w:t>(d) the court has not delivered a judgment in relation to the contravention</w:t>
            </w:r>
          </w:p>
        </w:tc>
        <w:tc>
          <w:tcPr>
            <w:tcW w:w="1723" w:type="pct"/>
            <w:tcBorders>
              <w:top w:val="nil"/>
            </w:tcBorders>
            <w:shd w:val="clear" w:color="auto" w:fill="auto"/>
          </w:tcPr>
          <w:p w:rsidR="00873E94" w:rsidRPr="006E709F" w:rsidRDefault="00873E94" w:rsidP="00873E94">
            <w:pPr>
              <w:pStyle w:val="Tabletext"/>
              <w:keepNext/>
              <w:keepLines/>
            </w:pPr>
          </w:p>
        </w:tc>
      </w:tr>
      <w:tr w:rsidR="002A22A4" w:rsidRPr="006E709F" w:rsidTr="00E118FA">
        <w:trPr>
          <w:cantSplit/>
        </w:trPr>
        <w:tc>
          <w:tcPr>
            <w:tcW w:w="462" w:type="pct"/>
            <w:shd w:val="clear" w:color="auto" w:fill="auto"/>
          </w:tcPr>
          <w:p w:rsidR="002A22A4" w:rsidRPr="006E709F" w:rsidRDefault="002A22A4" w:rsidP="00A801D0">
            <w:pPr>
              <w:pStyle w:val="Tabletext"/>
            </w:pPr>
            <w:r w:rsidRPr="006E709F">
              <w:rPr>
                <w:szCs w:val="22"/>
              </w:rPr>
              <w:t>7</w:t>
            </w:r>
          </w:p>
        </w:tc>
        <w:tc>
          <w:tcPr>
            <w:tcW w:w="2815" w:type="pct"/>
            <w:shd w:val="clear" w:color="auto" w:fill="auto"/>
          </w:tcPr>
          <w:p w:rsidR="002A22A4" w:rsidRPr="006E709F" w:rsidRDefault="002A22A4" w:rsidP="00A801D0">
            <w:pPr>
              <w:pStyle w:val="Tabletext"/>
            </w:pPr>
            <w:r w:rsidRPr="006E709F">
              <w:rPr>
                <w:szCs w:val="22"/>
              </w:rPr>
              <w:t>A person who has had:</w:t>
            </w:r>
          </w:p>
          <w:p w:rsidR="002A22A4" w:rsidRPr="006E709F" w:rsidRDefault="00A801D0" w:rsidP="00A801D0">
            <w:pPr>
              <w:pStyle w:val="Tablea"/>
            </w:pPr>
            <w:r w:rsidRPr="006E709F">
              <w:rPr>
                <w:szCs w:val="22"/>
              </w:rPr>
              <w:t>(</w:t>
            </w:r>
            <w:r w:rsidR="002A22A4" w:rsidRPr="006E709F">
              <w:rPr>
                <w:szCs w:val="22"/>
              </w:rPr>
              <w:t>a</w:t>
            </w:r>
            <w:r w:rsidRPr="006E709F">
              <w:rPr>
                <w:szCs w:val="22"/>
              </w:rPr>
              <w:t xml:space="preserve">) </w:t>
            </w:r>
            <w:r w:rsidR="002A22A4" w:rsidRPr="006E709F">
              <w:rPr>
                <w:szCs w:val="22"/>
              </w:rPr>
              <w:t>an authorisation; or</w:t>
            </w:r>
          </w:p>
          <w:p w:rsidR="002A22A4" w:rsidRPr="006E709F" w:rsidRDefault="00A801D0" w:rsidP="00A801D0">
            <w:pPr>
              <w:pStyle w:val="Tablea"/>
            </w:pPr>
            <w:r w:rsidRPr="006E709F">
              <w:t>(</w:t>
            </w:r>
            <w:r w:rsidR="002A22A4" w:rsidRPr="006E709F">
              <w:t>b</w:t>
            </w:r>
            <w:r w:rsidRPr="006E709F">
              <w:t xml:space="preserve">) </w:t>
            </w:r>
            <w:r w:rsidR="002A22A4" w:rsidRPr="006E709F">
              <w:t>a registration; or</w:t>
            </w:r>
          </w:p>
          <w:p w:rsidR="0048795D" w:rsidRPr="006E709F" w:rsidRDefault="00A801D0" w:rsidP="00A801D0">
            <w:pPr>
              <w:pStyle w:val="Tablea"/>
            </w:pPr>
            <w:r w:rsidRPr="006E709F">
              <w:t>(</w:t>
            </w:r>
            <w:r w:rsidR="002A22A4" w:rsidRPr="006E709F">
              <w:t>c</w:t>
            </w:r>
            <w:r w:rsidRPr="006E709F">
              <w:t xml:space="preserve">) </w:t>
            </w:r>
            <w:r w:rsidR="002A22A4" w:rsidRPr="006E709F">
              <w:t>a licence; or</w:t>
            </w:r>
          </w:p>
          <w:p w:rsidR="0048795D" w:rsidRPr="006E709F" w:rsidRDefault="00A801D0" w:rsidP="00A801D0">
            <w:pPr>
              <w:pStyle w:val="Tablea"/>
            </w:pPr>
            <w:r w:rsidRPr="006E709F">
              <w:t>(</w:t>
            </w:r>
            <w:r w:rsidR="002A22A4" w:rsidRPr="006E709F">
              <w:t>d</w:t>
            </w:r>
            <w:r w:rsidRPr="006E709F">
              <w:t xml:space="preserve">) </w:t>
            </w:r>
            <w:r w:rsidR="002A22A4" w:rsidRPr="006E709F">
              <w:t>the ability to engage in financial services activities;</w:t>
            </w:r>
          </w:p>
          <w:p w:rsidR="002A22A4" w:rsidRPr="006E709F" w:rsidRDefault="002A22A4" w:rsidP="00A801D0">
            <w:pPr>
              <w:pStyle w:val="Tabletext"/>
            </w:pPr>
            <w:r w:rsidRPr="006E709F">
              <w:rPr>
                <w:szCs w:val="22"/>
              </w:rPr>
              <w:t>cancelled, suspended or revoked by, or as a direct result of the actions of, a regulator</w:t>
            </w:r>
          </w:p>
        </w:tc>
        <w:tc>
          <w:tcPr>
            <w:tcW w:w="1723" w:type="pct"/>
            <w:shd w:val="clear" w:color="auto" w:fill="auto"/>
          </w:tcPr>
          <w:p w:rsidR="002A22A4" w:rsidRPr="006E709F" w:rsidRDefault="002A22A4" w:rsidP="00A801D0">
            <w:pPr>
              <w:pStyle w:val="Tabletext"/>
            </w:pPr>
            <w:r w:rsidRPr="006E709F">
              <w:rPr>
                <w:szCs w:val="22"/>
              </w:rPr>
              <w:t>5 years after the cancellation, suspension or revocation</w:t>
            </w:r>
          </w:p>
        </w:tc>
      </w:tr>
      <w:tr w:rsidR="002A22A4" w:rsidRPr="006E709F" w:rsidTr="00E118FA">
        <w:tc>
          <w:tcPr>
            <w:tcW w:w="462" w:type="pct"/>
            <w:shd w:val="clear" w:color="auto" w:fill="auto"/>
          </w:tcPr>
          <w:p w:rsidR="002A22A4" w:rsidRPr="006E709F" w:rsidRDefault="002A22A4" w:rsidP="00A801D0">
            <w:pPr>
              <w:pStyle w:val="Tabletext"/>
            </w:pPr>
            <w:r w:rsidRPr="006E709F">
              <w:t>8</w:t>
            </w:r>
          </w:p>
        </w:tc>
        <w:tc>
          <w:tcPr>
            <w:tcW w:w="2815" w:type="pct"/>
            <w:shd w:val="clear" w:color="auto" w:fill="auto"/>
          </w:tcPr>
          <w:p w:rsidR="002A22A4" w:rsidRPr="006E709F" w:rsidRDefault="002A22A4" w:rsidP="00A801D0">
            <w:pPr>
              <w:pStyle w:val="Tabletext"/>
            </w:pPr>
            <w:r w:rsidRPr="006E709F">
              <w:t>A person who is a responsible officer of a person mentioned in item</w:t>
            </w:r>
            <w:r w:rsidR="00DA13DE" w:rsidRPr="006E709F">
              <w:t> </w:t>
            </w:r>
            <w:r w:rsidRPr="006E709F">
              <w:t>1</w:t>
            </w:r>
          </w:p>
        </w:tc>
        <w:tc>
          <w:tcPr>
            <w:tcW w:w="1723" w:type="pct"/>
            <w:shd w:val="clear" w:color="auto" w:fill="auto"/>
          </w:tcPr>
          <w:p w:rsidR="002A22A4" w:rsidRPr="006E709F" w:rsidRDefault="002A22A4" w:rsidP="00A801D0">
            <w:pPr>
              <w:pStyle w:val="Tabletext"/>
            </w:pPr>
          </w:p>
        </w:tc>
      </w:tr>
      <w:tr w:rsidR="002A22A4" w:rsidRPr="006E709F" w:rsidTr="00E118FA">
        <w:tc>
          <w:tcPr>
            <w:tcW w:w="462" w:type="pct"/>
            <w:shd w:val="clear" w:color="auto" w:fill="auto"/>
          </w:tcPr>
          <w:p w:rsidR="002A22A4" w:rsidRPr="006E709F" w:rsidRDefault="002A22A4" w:rsidP="00A801D0">
            <w:pPr>
              <w:pStyle w:val="Tabletext"/>
            </w:pPr>
            <w:r w:rsidRPr="006E709F">
              <w:t>8A</w:t>
            </w:r>
          </w:p>
        </w:tc>
        <w:tc>
          <w:tcPr>
            <w:tcW w:w="2815" w:type="pct"/>
            <w:shd w:val="clear" w:color="auto" w:fill="auto"/>
          </w:tcPr>
          <w:p w:rsidR="002A22A4" w:rsidRPr="006E709F" w:rsidRDefault="002A22A4" w:rsidP="00A801D0">
            <w:pPr>
              <w:pStyle w:val="Tabletext"/>
            </w:pPr>
            <w:r w:rsidRPr="006E709F">
              <w:t>A person who is a subsidiary of a body corporate mentioned in item</w:t>
            </w:r>
            <w:r w:rsidR="00DA13DE" w:rsidRPr="006E709F">
              <w:t> </w:t>
            </w:r>
            <w:r w:rsidRPr="006E709F">
              <w:t>2</w:t>
            </w:r>
          </w:p>
        </w:tc>
        <w:tc>
          <w:tcPr>
            <w:tcW w:w="1723" w:type="pct"/>
            <w:shd w:val="clear" w:color="auto" w:fill="auto"/>
          </w:tcPr>
          <w:p w:rsidR="002A22A4" w:rsidRPr="006E709F" w:rsidRDefault="002A22A4" w:rsidP="00A801D0">
            <w:pPr>
              <w:pStyle w:val="Tabletext"/>
            </w:pPr>
          </w:p>
        </w:tc>
      </w:tr>
      <w:tr w:rsidR="002A22A4" w:rsidRPr="006E709F" w:rsidTr="00E118FA">
        <w:tc>
          <w:tcPr>
            <w:tcW w:w="462" w:type="pct"/>
            <w:shd w:val="clear" w:color="auto" w:fill="auto"/>
          </w:tcPr>
          <w:p w:rsidR="002A22A4" w:rsidRPr="006E709F" w:rsidRDefault="002A22A4" w:rsidP="00A801D0">
            <w:pPr>
              <w:pStyle w:val="Tabletext"/>
            </w:pPr>
            <w:r w:rsidRPr="006E709F">
              <w:t>8B</w:t>
            </w:r>
          </w:p>
        </w:tc>
        <w:tc>
          <w:tcPr>
            <w:tcW w:w="2815" w:type="pct"/>
            <w:shd w:val="clear" w:color="auto" w:fill="auto"/>
          </w:tcPr>
          <w:p w:rsidR="002A22A4" w:rsidRPr="006E709F" w:rsidRDefault="002A22A4" w:rsidP="00A801D0">
            <w:pPr>
              <w:pStyle w:val="Tabletext"/>
            </w:pPr>
            <w:r w:rsidRPr="006E709F">
              <w:t>A person (</w:t>
            </w:r>
            <w:r w:rsidRPr="006E709F">
              <w:rPr>
                <w:b/>
                <w:i/>
              </w:rPr>
              <w:t>person 1</w:t>
            </w:r>
            <w:r w:rsidRPr="006E709F">
              <w:t>) who is related body corporate of a body corporate that is mentioned in item</w:t>
            </w:r>
            <w:r w:rsidR="00DA13DE" w:rsidRPr="006E709F">
              <w:t> </w:t>
            </w:r>
            <w:r w:rsidRPr="006E709F">
              <w:t>2 (</w:t>
            </w:r>
            <w:r w:rsidRPr="006E709F">
              <w:rPr>
                <w:b/>
                <w:i/>
              </w:rPr>
              <w:t>person 2</w:t>
            </w:r>
            <w:r w:rsidRPr="006E709F">
              <w:t xml:space="preserve">), if person 2 has previously held a licence, registration or authorisation granted by a regulator mentioned in </w:t>
            </w:r>
            <w:r w:rsidR="00DA13DE" w:rsidRPr="006E709F">
              <w:t>paragraphs (</w:t>
            </w:r>
            <w:r w:rsidRPr="006E709F">
              <w:t xml:space="preserve">a) to (d) of the definition of </w:t>
            </w:r>
            <w:r w:rsidRPr="006E709F">
              <w:rPr>
                <w:b/>
                <w:i/>
              </w:rPr>
              <w:t>regulator</w:t>
            </w:r>
            <w:r w:rsidRPr="006E709F">
              <w:t xml:space="preserve"> in regulation</w:t>
            </w:r>
            <w:r w:rsidR="00DA13DE" w:rsidRPr="006E709F">
              <w:t> </w:t>
            </w:r>
            <w:r w:rsidRPr="006E709F">
              <w:t>10.2.35</w:t>
            </w:r>
          </w:p>
        </w:tc>
        <w:tc>
          <w:tcPr>
            <w:tcW w:w="1723" w:type="pct"/>
            <w:shd w:val="clear" w:color="auto" w:fill="auto"/>
          </w:tcPr>
          <w:p w:rsidR="002A22A4" w:rsidRPr="006E709F" w:rsidRDefault="002A22A4" w:rsidP="00A801D0">
            <w:pPr>
              <w:pStyle w:val="Tabletext"/>
            </w:pPr>
          </w:p>
        </w:tc>
      </w:tr>
      <w:tr w:rsidR="002A22A4" w:rsidRPr="006E709F" w:rsidTr="00E118FA">
        <w:tc>
          <w:tcPr>
            <w:tcW w:w="462" w:type="pct"/>
            <w:tcBorders>
              <w:bottom w:val="single" w:sz="4" w:space="0" w:color="auto"/>
            </w:tcBorders>
            <w:shd w:val="clear" w:color="auto" w:fill="auto"/>
          </w:tcPr>
          <w:p w:rsidR="002A22A4" w:rsidRPr="006E709F" w:rsidRDefault="002A22A4" w:rsidP="00A801D0">
            <w:pPr>
              <w:pStyle w:val="Tabletext"/>
            </w:pPr>
            <w:r w:rsidRPr="006E709F">
              <w:rPr>
                <w:szCs w:val="22"/>
              </w:rPr>
              <w:t>9</w:t>
            </w:r>
          </w:p>
        </w:tc>
        <w:tc>
          <w:tcPr>
            <w:tcW w:w="2815" w:type="pct"/>
            <w:tcBorders>
              <w:bottom w:val="single" w:sz="4" w:space="0" w:color="auto"/>
            </w:tcBorders>
            <w:shd w:val="clear" w:color="auto" w:fill="auto"/>
          </w:tcPr>
          <w:p w:rsidR="002A22A4" w:rsidRPr="006E709F" w:rsidRDefault="002A22A4" w:rsidP="00A801D0">
            <w:pPr>
              <w:pStyle w:val="Tabletext"/>
            </w:pPr>
            <w:r w:rsidRPr="006E709F">
              <w:rPr>
                <w:szCs w:val="22"/>
              </w:rPr>
              <w:t>A person an associate of whom is a person mentioned in any of items</w:t>
            </w:r>
            <w:r w:rsidR="00DA13DE" w:rsidRPr="006E709F">
              <w:rPr>
                <w:szCs w:val="22"/>
              </w:rPr>
              <w:t> </w:t>
            </w:r>
            <w:r w:rsidRPr="006E709F">
              <w:rPr>
                <w:szCs w:val="22"/>
              </w:rPr>
              <w:t>3 to 7</w:t>
            </w:r>
          </w:p>
        </w:tc>
        <w:tc>
          <w:tcPr>
            <w:tcW w:w="1723" w:type="pct"/>
            <w:tcBorders>
              <w:bottom w:val="single" w:sz="4" w:space="0" w:color="auto"/>
            </w:tcBorders>
            <w:shd w:val="clear" w:color="auto" w:fill="auto"/>
          </w:tcPr>
          <w:p w:rsidR="002A22A4" w:rsidRPr="006E709F" w:rsidRDefault="002A22A4" w:rsidP="00A801D0">
            <w:pPr>
              <w:pStyle w:val="Tabletext"/>
            </w:pPr>
          </w:p>
        </w:tc>
      </w:tr>
      <w:tr w:rsidR="002A22A4" w:rsidRPr="006E709F" w:rsidTr="00E118FA">
        <w:tc>
          <w:tcPr>
            <w:tcW w:w="462" w:type="pct"/>
            <w:tcBorders>
              <w:bottom w:val="single" w:sz="12" w:space="0" w:color="auto"/>
            </w:tcBorders>
            <w:shd w:val="clear" w:color="auto" w:fill="auto"/>
          </w:tcPr>
          <w:p w:rsidR="002A22A4" w:rsidRPr="006E709F" w:rsidRDefault="002A22A4" w:rsidP="00A801D0">
            <w:pPr>
              <w:pStyle w:val="Tabletext"/>
            </w:pPr>
            <w:r w:rsidRPr="006E709F">
              <w:rPr>
                <w:szCs w:val="22"/>
              </w:rPr>
              <w:t>10</w:t>
            </w:r>
          </w:p>
        </w:tc>
        <w:tc>
          <w:tcPr>
            <w:tcW w:w="2815" w:type="pct"/>
            <w:tcBorders>
              <w:bottom w:val="single" w:sz="12" w:space="0" w:color="auto"/>
            </w:tcBorders>
            <w:shd w:val="clear" w:color="auto" w:fill="auto"/>
          </w:tcPr>
          <w:p w:rsidR="002A22A4" w:rsidRPr="006E709F" w:rsidRDefault="002A22A4" w:rsidP="00A801D0">
            <w:pPr>
              <w:pStyle w:val="Tabletext"/>
            </w:pPr>
            <w:r w:rsidRPr="006E709F">
              <w:rPr>
                <w:szCs w:val="22"/>
              </w:rPr>
              <w:t>A person who is deemed to be a registered insurance broker under subsection</w:t>
            </w:r>
            <w:r w:rsidR="00DA13DE" w:rsidRPr="006E709F">
              <w:rPr>
                <w:szCs w:val="22"/>
              </w:rPr>
              <w:t> </w:t>
            </w:r>
            <w:r w:rsidRPr="006E709F">
              <w:rPr>
                <w:szCs w:val="22"/>
              </w:rPr>
              <w:t xml:space="preserve">24(2) of the </w:t>
            </w:r>
            <w:r w:rsidRPr="006E709F">
              <w:rPr>
                <w:i/>
                <w:szCs w:val="22"/>
              </w:rPr>
              <w:t>Insurance (Agents and Brokers) Act 1984</w:t>
            </w:r>
          </w:p>
          <w:p w:rsidR="002A22A4" w:rsidRPr="006E709F" w:rsidRDefault="002A22A4" w:rsidP="00A801D0">
            <w:pPr>
              <w:pStyle w:val="Tabletext"/>
            </w:pPr>
            <w:r w:rsidRPr="006E709F">
              <w:t>This item applies to the person only to the extent that the person operates insurance broking activities that are described in that Act</w:t>
            </w:r>
          </w:p>
        </w:tc>
        <w:tc>
          <w:tcPr>
            <w:tcW w:w="1723" w:type="pct"/>
            <w:tcBorders>
              <w:bottom w:val="single" w:sz="12" w:space="0" w:color="auto"/>
            </w:tcBorders>
            <w:shd w:val="clear" w:color="auto" w:fill="auto"/>
          </w:tcPr>
          <w:p w:rsidR="002A22A4" w:rsidRPr="006E709F" w:rsidRDefault="002A22A4" w:rsidP="00A801D0">
            <w:pPr>
              <w:pStyle w:val="Tabletext"/>
            </w:pPr>
          </w:p>
        </w:tc>
      </w:tr>
    </w:tbl>
    <w:p w:rsidR="002A22A4" w:rsidRPr="006E709F" w:rsidRDefault="00A801D0" w:rsidP="00C2336D">
      <w:pPr>
        <w:pStyle w:val="ActHead1"/>
        <w:pageBreakBefore/>
      </w:pPr>
      <w:bookmarkStart w:id="181" w:name="_Toc160609868"/>
      <w:r w:rsidRPr="000C4237">
        <w:rPr>
          <w:rStyle w:val="CharChapNo"/>
        </w:rPr>
        <w:t>Schedule</w:t>
      </w:r>
      <w:r w:rsidR="00DA13DE" w:rsidRPr="000C4237">
        <w:rPr>
          <w:rStyle w:val="CharChapNo"/>
        </w:rPr>
        <w:t> </w:t>
      </w:r>
      <w:r w:rsidR="002A22A4" w:rsidRPr="000C4237">
        <w:rPr>
          <w:rStyle w:val="CharChapNo"/>
        </w:rPr>
        <w:t>12</w:t>
      </w:r>
      <w:r w:rsidRPr="006E709F">
        <w:t>—</w:t>
      </w:r>
      <w:r w:rsidR="002A22A4" w:rsidRPr="000C4237">
        <w:rPr>
          <w:rStyle w:val="CharChapText"/>
        </w:rPr>
        <w:t>ASIC transitional standards</w:t>
      </w:r>
      <w:bookmarkEnd w:id="181"/>
    </w:p>
    <w:p w:rsidR="002A22A4" w:rsidRPr="006E709F" w:rsidRDefault="002A22A4" w:rsidP="00A801D0">
      <w:pPr>
        <w:pStyle w:val="notemargin"/>
      </w:pPr>
      <w:r w:rsidRPr="006E709F">
        <w:t>(regulation</w:t>
      </w:r>
      <w:r w:rsidR="00DA13DE" w:rsidRPr="006E709F">
        <w:t> </w:t>
      </w:r>
      <w:r w:rsidRPr="006E709F">
        <w:t>12.7.01)</w:t>
      </w:r>
    </w:p>
    <w:p w:rsidR="002A22A4" w:rsidRPr="006E709F" w:rsidRDefault="00A801D0" w:rsidP="002A22A4">
      <w:pPr>
        <w:pStyle w:val="Header"/>
      </w:pPr>
      <w:r w:rsidRPr="000C4237">
        <w:rPr>
          <w:rStyle w:val="CharPartNo"/>
        </w:rPr>
        <w:t xml:space="preserve"> </w:t>
      </w:r>
      <w:r w:rsidRPr="000C4237">
        <w:rPr>
          <w:rStyle w:val="CharPartText"/>
        </w:rPr>
        <w:t xml:space="preserve"> </w:t>
      </w:r>
    </w:p>
    <w:p w:rsidR="002A22A4" w:rsidRPr="006E709F" w:rsidRDefault="002A22A4" w:rsidP="00A801D0">
      <w:pPr>
        <w:pStyle w:val="subsection"/>
      </w:pPr>
      <w:r w:rsidRPr="006E709F">
        <w:rPr>
          <w:color w:val="000000"/>
        </w:rPr>
        <w:t>1.</w:t>
      </w:r>
      <w:r w:rsidRPr="006E709F">
        <w:rPr>
          <w:color w:val="000000"/>
        </w:rPr>
        <w:tab/>
      </w:r>
      <w:r w:rsidRPr="006E709F">
        <w:rPr>
          <w:color w:val="000000"/>
        </w:rPr>
        <w:tab/>
        <w:t xml:space="preserve">The following provisions of Book 3 of the Prudential Notes and Prudential Standards issued by AFIC under </w:t>
      </w:r>
      <w:r w:rsidR="00A801D0" w:rsidRPr="006E709F">
        <w:rPr>
          <w:color w:val="000000"/>
        </w:rPr>
        <w:t>Part</w:t>
      </w:r>
      <w:r w:rsidR="00DA13DE" w:rsidRPr="006E709F">
        <w:rPr>
          <w:color w:val="000000"/>
        </w:rPr>
        <w:t> </w:t>
      </w:r>
      <w:r w:rsidRPr="006E709F">
        <w:rPr>
          <w:color w:val="000000"/>
        </w:rPr>
        <w:t>4 of the AFIC Code of a State or Territory, as in force immediately before the transfer date:</w:t>
      </w:r>
    </w:p>
    <w:p w:rsidR="002A22A4" w:rsidRPr="006E709F" w:rsidRDefault="002A22A4" w:rsidP="00A801D0">
      <w:pPr>
        <w:pStyle w:val="paragraph"/>
      </w:pPr>
      <w:r w:rsidRPr="006E709F">
        <w:rPr>
          <w:color w:val="000000"/>
        </w:rPr>
        <w:tab/>
        <w:t>(a)</w:t>
      </w:r>
      <w:r w:rsidRPr="006E709F">
        <w:rPr>
          <w:color w:val="000000"/>
        </w:rPr>
        <w:tab/>
        <w:t xml:space="preserve">the modification of the accounting standard known as Accounting Standard AASB 1032 (published in the </w:t>
      </w:r>
      <w:r w:rsidRPr="006E709F">
        <w:rPr>
          <w:i/>
          <w:color w:val="000000"/>
        </w:rPr>
        <w:t>Gazette</w:t>
      </w:r>
      <w:r w:rsidRPr="006E709F">
        <w:rPr>
          <w:color w:val="000000"/>
        </w:rPr>
        <w:t xml:space="preserve"> on 12</w:t>
      </w:r>
      <w:r w:rsidR="00DA13DE" w:rsidRPr="006E709F">
        <w:rPr>
          <w:color w:val="000000"/>
        </w:rPr>
        <w:t> </w:t>
      </w:r>
      <w:r w:rsidRPr="006E709F">
        <w:rPr>
          <w:color w:val="000000"/>
        </w:rPr>
        <w:t xml:space="preserve">December 1996) by Prudential Standard 3.3.1, except the definition of </w:t>
      </w:r>
      <w:r w:rsidRPr="006E709F">
        <w:rPr>
          <w:b/>
          <w:i/>
          <w:color w:val="000000"/>
        </w:rPr>
        <w:t>deposits</w:t>
      </w:r>
      <w:r w:rsidRPr="006E709F">
        <w:rPr>
          <w:b/>
          <w:color w:val="000000"/>
        </w:rPr>
        <w:t xml:space="preserve"> </w:t>
      </w:r>
      <w:r w:rsidRPr="006E709F">
        <w:rPr>
          <w:color w:val="000000"/>
        </w:rPr>
        <w:t>added to the accounting standard by the Prudential Standard;</w:t>
      </w:r>
    </w:p>
    <w:p w:rsidR="002A22A4" w:rsidRPr="006E709F" w:rsidRDefault="002A22A4" w:rsidP="00A801D0">
      <w:pPr>
        <w:pStyle w:val="paragraph"/>
      </w:pPr>
      <w:r w:rsidRPr="006E709F">
        <w:tab/>
        <w:t>(b)</w:t>
      </w:r>
      <w:r w:rsidRPr="006E709F">
        <w:tab/>
        <w:t>Prudential Standard 3.5.4;</w:t>
      </w:r>
    </w:p>
    <w:p w:rsidR="002A22A4" w:rsidRPr="006E709F" w:rsidRDefault="002A22A4" w:rsidP="00A801D0">
      <w:pPr>
        <w:pStyle w:val="paragraph"/>
      </w:pPr>
      <w:r w:rsidRPr="006E709F">
        <w:tab/>
        <w:t>(c)</w:t>
      </w:r>
      <w:r w:rsidRPr="006E709F">
        <w:tab/>
        <w:t>Prudential Standard 3.5.5;</w:t>
      </w:r>
    </w:p>
    <w:p w:rsidR="002A22A4" w:rsidRPr="006E709F" w:rsidRDefault="002A22A4" w:rsidP="00A801D0">
      <w:pPr>
        <w:pStyle w:val="paragraph"/>
      </w:pPr>
      <w:r w:rsidRPr="006E709F">
        <w:tab/>
        <w:t>(d)</w:t>
      </w:r>
      <w:r w:rsidRPr="006E709F">
        <w:tab/>
        <w:t>Prudential Standard 3.7.1;</w:t>
      </w:r>
    </w:p>
    <w:p w:rsidR="002A22A4" w:rsidRPr="006E709F" w:rsidRDefault="002A22A4" w:rsidP="00A801D0">
      <w:pPr>
        <w:pStyle w:val="paragraph"/>
      </w:pPr>
      <w:r w:rsidRPr="006E709F">
        <w:tab/>
        <w:t>(e)</w:t>
      </w:r>
      <w:r w:rsidRPr="006E709F">
        <w:tab/>
        <w:t>Prudential Standard 3.7.4;</w:t>
      </w:r>
    </w:p>
    <w:p w:rsidR="002A22A4" w:rsidRPr="006E709F" w:rsidRDefault="002A22A4" w:rsidP="00A801D0">
      <w:pPr>
        <w:pStyle w:val="paragraph"/>
      </w:pPr>
      <w:r w:rsidRPr="006E709F">
        <w:tab/>
        <w:t>(f)</w:t>
      </w:r>
      <w:r w:rsidRPr="006E709F">
        <w:tab/>
        <w:t>Prudential Standard 3.7.5.</w:t>
      </w:r>
    </w:p>
    <w:p w:rsidR="002A22A4" w:rsidRPr="006E709F" w:rsidRDefault="002A22A4" w:rsidP="00A801D0">
      <w:pPr>
        <w:pStyle w:val="subsection"/>
      </w:pPr>
      <w:r w:rsidRPr="006E709F">
        <w:rPr>
          <w:color w:val="000000"/>
        </w:rPr>
        <w:t>2.</w:t>
      </w:r>
      <w:r w:rsidRPr="006E709F">
        <w:rPr>
          <w:color w:val="000000"/>
        </w:rPr>
        <w:tab/>
      </w:r>
      <w:r w:rsidRPr="006E709F">
        <w:rPr>
          <w:color w:val="000000"/>
        </w:rPr>
        <w:tab/>
        <w:t xml:space="preserve">The following provisions of Book 4 of the Prudential Notes and Prudential Standards issued by AFIC under </w:t>
      </w:r>
      <w:r w:rsidR="00A801D0" w:rsidRPr="006E709F">
        <w:rPr>
          <w:color w:val="000000"/>
        </w:rPr>
        <w:t>Part</w:t>
      </w:r>
      <w:r w:rsidR="00DA13DE" w:rsidRPr="006E709F">
        <w:rPr>
          <w:color w:val="000000"/>
        </w:rPr>
        <w:t> </w:t>
      </w:r>
      <w:r w:rsidRPr="006E709F">
        <w:rPr>
          <w:color w:val="000000"/>
        </w:rPr>
        <w:t>4 of the AFIC Code of a State or Territory, as in force immediately before the transfer date:</w:t>
      </w:r>
    </w:p>
    <w:p w:rsidR="002A22A4" w:rsidRPr="006E709F" w:rsidRDefault="002A22A4" w:rsidP="00A801D0">
      <w:pPr>
        <w:pStyle w:val="paragraph"/>
      </w:pPr>
      <w:r w:rsidRPr="006E709F">
        <w:rPr>
          <w:color w:val="000000"/>
        </w:rPr>
        <w:tab/>
        <w:t>(a)</w:t>
      </w:r>
      <w:r w:rsidRPr="006E709F">
        <w:rPr>
          <w:color w:val="000000"/>
        </w:rPr>
        <w:tab/>
        <w:t xml:space="preserve">the modification of the accounting standard known Accounting Standard AASB 1032 (published in the </w:t>
      </w:r>
      <w:r w:rsidRPr="006E709F">
        <w:rPr>
          <w:i/>
          <w:color w:val="000000"/>
        </w:rPr>
        <w:t>Gazette</w:t>
      </w:r>
      <w:r w:rsidRPr="006E709F">
        <w:rPr>
          <w:color w:val="000000"/>
        </w:rPr>
        <w:t xml:space="preserve"> on 12</w:t>
      </w:r>
      <w:r w:rsidR="00DA13DE" w:rsidRPr="006E709F">
        <w:rPr>
          <w:color w:val="000000"/>
        </w:rPr>
        <w:t> </w:t>
      </w:r>
      <w:r w:rsidRPr="006E709F">
        <w:rPr>
          <w:color w:val="000000"/>
        </w:rPr>
        <w:t xml:space="preserve">December 1996) by Prudential Standard 4.3.1, except the definition of </w:t>
      </w:r>
      <w:r w:rsidRPr="006E709F">
        <w:rPr>
          <w:b/>
          <w:i/>
          <w:color w:val="000000"/>
        </w:rPr>
        <w:t>deposits</w:t>
      </w:r>
      <w:r w:rsidRPr="006E709F">
        <w:rPr>
          <w:b/>
          <w:color w:val="000000"/>
        </w:rPr>
        <w:t xml:space="preserve"> </w:t>
      </w:r>
      <w:r w:rsidRPr="006E709F">
        <w:rPr>
          <w:color w:val="000000"/>
        </w:rPr>
        <w:t>added to the accounting standard by the Prudential Standard;</w:t>
      </w:r>
    </w:p>
    <w:p w:rsidR="002A22A4" w:rsidRPr="006E709F" w:rsidRDefault="002A22A4" w:rsidP="00A801D0">
      <w:pPr>
        <w:pStyle w:val="paragraph"/>
      </w:pPr>
      <w:r w:rsidRPr="006E709F">
        <w:tab/>
        <w:t>(b)</w:t>
      </w:r>
      <w:r w:rsidRPr="006E709F">
        <w:tab/>
        <w:t>Prudential Standard 4.7.1;</w:t>
      </w:r>
    </w:p>
    <w:p w:rsidR="002A22A4" w:rsidRPr="006E709F" w:rsidRDefault="002A22A4" w:rsidP="00A801D0">
      <w:pPr>
        <w:pStyle w:val="paragraph"/>
      </w:pPr>
      <w:r w:rsidRPr="006E709F">
        <w:tab/>
        <w:t>(c)</w:t>
      </w:r>
      <w:r w:rsidRPr="006E709F">
        <w:tab/>
        <w:t>Prudential Standard 4.7.4;</w:t>
      </w:r>
    </w:p>
    <w:p w:rsidR="002A22A4" w:rsidRPr="006E709F" w:rsidRDefault="002A22A4" w:rsidP="00A801D0">
      <w:pPr>
        <w:pStyle w:val="paragraph"/>
      </w:pPr>
      <w:r w:rsidRPr="006E709F">
        <w:tab/>
        <w:t>(d)</w:t>
      </w:r>
      <w:r w:rsidRPr="006E709F">
        <w:tab/>
        <w:t>Prudential Standard 4.7.5.</w:t>
      </w:r>
    </w:p>
    <w:p w:rsidR="002A22A4" w:rsidRPr="006E709F" w:rsidRDefault="002A22A4" w:rsidP="00A801D0">
      <w:pPr>
        <w:pStyle w:val="subsection"/>
      </w:pPr>
      <w:r w:rsidRPr="006E709F">
        <w:rPr>
          <w:color w:val="000000"/>
        </w:rPr>
        <w:t>3.</w:t>
      </w:r>
      <w:r w:rsidRPr="006E709F">
        <w:rPr>
          <w:color w:val="000000"/>
        </w:rPr>
        <w:tab/>
      </w:r>
      <w:r w:rsidRPr="006E709F">
        <w:rPr>
          <w:color w:val="000000"/>
        </w:rPr>
        <w:tab/>
        <w:t xml:space="preserve">The following provisions of Book 5 of the Prudential Notes and Prudential Standards issued by AFIC under </w:t>
      </w:r>
      <w:r w:rsidR="00A801D0" w:rsidRPr="006E709F">
        <w:rPr>
          <w:color w:val="000000"/>
        </w:rPr>
        <w:t>Part</w:t>
      </w:r>
      <w:r w:rsidR="00DA13DE" w:rsidRPr="006E709F">
        <w:rPr>
          <w:color w:val="000000"/>
        </w:rPr>
        <w:t> </w:t>
      </w:r>
      <w:r w:rsidRPr="006E709F">
        <w:rPr>
          <w:color w:val="000000"/>
        </w:rPr>
        <w:t>4 of the AFIC Code of a State or Territory, as in force immediately before the transfer date:</w:t>
      </w:r>
    </w:p>
    <w:p w:rsidR="002A22A4" w:rsidRPr="006E709F" w:rsidRDefault="002A22A4" w:rsidP="00A801D0">
      <w:pPr>
        <w:pStyle w:val="paragraph"/>
      </w:pPr>
      <w:r w:rsidRPr="006E709F">
        <w:rPr>
          <w:color w:val="000000"/>
        </w:rPr>
        <w:tab/>
        <w:t>(a)</w:t>
      </w:r>
      <w:r w:rsidRPr="006E709F">
        <w:rPr>
          <w:color w:val="000000"/>
        </w:rPr>
        <w:tab/>
        <w:t>Prudential Standard 5.5.1;</w:t>
      </w:r>
    </w:p>
    <w:p w:rsidR="002A22A4" w:rsidRPr="006E709F" w:rsidRDefault="002A22A4" w:rsidP="00A801D0">
      <w:pPr>
        <w:pStyle w:val="paragraph"/>
      </w:pPr>
      <w:r w:rsidRPr="006E709F">
        <w:tab/>
        <w:t>(b)</w:t>
      </w:r>
      <w:r w:rsidRPr="006E709F">
        <w:tab/>
        <w:t>Prudential Standard 5.5.3;</w:t>
      </w:r>
    </w:p>
    <w:p w:rsidR="002A22A4" w:rsidRPr="006E709F" w:rsidRDefault="002A22A4" w:rsidP="00A801D0">
      <w:pPr>
        <w:pStyle w:val="paragraph"/>
      </w:pPr>
      <w:r w:rsidRPr="006E709F">
        <w:tab/>
        <w:t>(c)</w:t>
      </w:r>
      <w:r w:rsidRPr="006E709F">
        <w:tab/>
        <w:t>Prudential Standard 5.5.4.</w:t>
      </w:r>
    </w:p>
    <w:p w:rsidR="002A22A4" w:rsidRPr="006E709F" w:rsidRDefault="002A22A4" w:rsidP="00A801D0">
      <w:pPr>
        <w:pStyle w:val="subsection"/>
      </w:pPr>
      <w:r w:rsidRPr="006E709F">
        <w:rPr>
          <w:color w:val="000000"/>
        </w:rPr>
        <w:t>4.</w:t>
      </w:r>
      <w:r w:rsidRPr="006E709F">
        <w:rPr>
          <w:color w:val="000000"/>
        </w:rPr>
        <w:tab/>
      </w:r>
      <w:r w:rsidRPr="006E709F">
        <w:rPr>
          <w:color w:val="000000"/>
        </w:rPr>
        <w:tab/>
        <w:t xml:space="preserve">The following provisions of Book 6 of the Prudential Notes and Prudential Standards issued by AFIC under </w:t>
      </w:r>
      <w:r w:rsidR="00A801D0" w:rsidRPr="006E709F">
        <w:rPr>
          <w:color w:val="000000"/>
        </w:rPr>
        <w:t>Part</w:t>
      </w:r>
      <w:r w:rsidR="00DA13DE" w:rsidRPr="006E709F">
        <w:rPr>
          <w:color w:val="000000"/>
        </w:rPr>
        <w:t> </w:t>
      </w:r>
      <w:r w:rsidRPr="006E709F">
        <w:rPr>
          <w:color w:val="000000"/>
        </w:rPr>
        <w:t>4 of the AFIC Code of a State or Territory, as in force immediately before the transfer date:</w:t>
      </w:r>
    </w:p>
    <w:p w:rsidR="002A22A4" w:rsidRPr="006E709F" w:rsidRDefault="002A22A4" w:rsidP="00A801D0">
      <w:pPr>
        <w:pStyle w:val="paragraph"/>
      </w:pPr>
      <w:r w:rsidRPr="006E709F">
        <w:rPr>
          <w:color w:val="000000"/>
        </w:rPr>
        <w:tab/>
        <w:t>(a)</w:t>
      </w:r>
      <w:r w:rsidRPr="006E709F">
        <w:rPr>
          <w:color w:val="000000"/>
        </w:rPr>
        <w:tab/>
        <w:t>Prudential Standard 6.7.2;</w:t>
      </w:r>
    </w:p>
    <w:p w:rsidR="002A22A4" w:rsidRPr="006E709F" w:rsidRDefault="002A22A4" w:rsidP="00A801D0">
      <w:pPr>
        <w:pStyle w:val="paragraph"/>
      </w:pPr>
      <w:r w:rsidRPr="006E709F">
        <w:tab/>
        <w:t>(b)</w:t>
      </w:r>
      <w:r w:rsidRPr="006E709F">
        <w:tab/>
        <w:t>Prudential Standard 6.7.4;</w:t>
      </w:r>
    </w:p>
    <w:p w:rsidR="002A22A4" w:rsidRPr="006E709F" w:rsidRDefault="002A22A4" w:rsidP="00A801D0">
      <w:pPr>
        <w:pStyle w:val="paragraph"/>
      </w:pPr>
      <w:r w:rsidRPr="006E709F">
        <w:tab/>
        <w:t>(c)</w:t>
      </w:r>
      <w:r w:rsidRPr="006E709F">
        <w:tab/>
        <w:t>Prudential Standard 6.7.5;</w:t>
      </w:r>
    </w:p>
    <w:p w:rsidR="002A22A4" w:rsidRPr="006E709F" w:rsidRDefault="002A22A4" w:rsidP="00A801D0">
      <w:pPr>
        <w:pStyle w:val="paragraph"/>
      </w:pPr>
      <w:r w:rsidRPr="006E709F">
        <w:tab/>
        <w:t>(d)</w:t>
      </w:r>
      <w:r w:rsidRPr="006E709F">
        <w:tab/>
        <w:t>Prudential Standard 6.8.3.</w:t>
      </w:r>
    </w:p>
    <w:p w:rsidR="00E8131B" w:rsidRPr="006E709F" w:rsidRDefault="00E8131B" w:rsidP="00A52BA3">
      <w:pPr>
        <w:pStyle w:val="ActHead1"/>
        <w:pageBreakBefore/>
      </w:pPr>
      <w:bookmarkStart w:id="182" w:name="_Toc160609869"/>
      <w:r w:rsidRPr="000C4237">
        <w:rPr>
          <w:rStyle w:val="CharChapNo"/>
        </w:rPr>
        <w:t>Schedule</w:t>
      </w:r>
      <w:r w:rsidR="00DA13DE" w:rsidRPr="000C4237">
        <w:rPr>
          <w:rStyle w:val="CharChapNo"/>
        </w:rPr>
        <w:t> </w:t>
      </w:r>
      <w:r w:rsidRPr="000C4237">
        <w:rPr>
          <w:rStyle w:val="CharChapNo"/>
        </w:rPr>
        <w:t>13</w:t>
      </w:r>
      <w:r w:rsidRPr="006E709F">
        <w:t>—</w:t>
      </w:r>
      <w:r w:rsidRPr="000C4237">
        <w:rPr>
          <w:rStyle w:val="CharChapText"/>
        </w:rPr>
        <w:t>Transition to Part</w:t>
      </w:r>
      <w:r w:rsidR="00DA13DE" w:rsidRPr="000C4237">
        <w:rPr>
          <w:rStyle w:val="CharChapText"/>
        </w:rPr>
        <w:t> </w:t>
      </w:r>
      <w:r w:rsidRPr="000C4237">
        <w:rPr>
          <w:rStyle w:val="CharChapText"/>
        </w:rPr>
        <w:t>3 of the Insolvency Practice Schedule (Corporations)</w:t>
      </w:r>
      <w:bookmarkEnd w:id="182"/>
    </w:p>
    <w:p w:rsidR="00E8131B" w:rsidRPr="006E709F" w:rsidRDefault="00E8131B" w:rsidP="009244F1">
      <w:pPr>
        <w:pStyle w:val="notemargin"/>
      </w:pPr>
      <w:r w:rsidRPr="006E709F">
        <w:t>Note:</w:t>
      </w:r>
      <w:r w:rsidRPr="006E709F">
        <w:tab/>
        <w:t>See subregulation</w:t>
      </w:r>
      <w:r w:rsidR="00DA13DE" w:rsidRPr="006E709F">
        <w:t> </w:t>
      </w:r>
      <w:r w:rsidRPr="006E709F">
        <w:t>10.25.01(3).</w:t>
      </w:r>
    </w:p>
    <w:p w:rsidR="00E8131B" w:rsidRPr="006E709F" w:rsidRDefault="00E8131B" w:rsidP="00E8131B">
      <w:pPr>
        <w:pStyle w:val="Header"/>
      </w:pPr>
      <w:bookmarkStart w:id="183" w:name="f_Check_Lines_below"/>
      <w:bookmarkEnd w:id="183"/>
      <w:r w:rsidRPr="000C4237">
        <w:rPr>
          <w:rStyle w:val="CharPartNo"/>
        </w:rPr>
        <w:t xml:space="preserve"> </w:t>
      </w:r>
      <w:r w:rsidRPr="000C4237">
        <w:rPr>
          <w:rStyle w:val="CharPartText"/>
        </w:rPr>
        <w:t xml:space="preserve"> </w:t>
      </w:r>
    </w:p>
    <w:p w:rsidR="00E8131B" w:rsidRPr="006E709F" w:rsidRDefault="00E8131B" w:rsidP="00E8131B">
      <w:pPr>
        <w:pStyle w:val="Header"/>
      </w:pPr>
      <w:r w:rsidRPr="000C4237">
        <w:rPr>
          <w:rStyle w:val="CharDivNo"/>
        </w:rPr>
        <w:t xml:space="preserve"> </w:t>
      </w:r>
      <w:r w:rsidRPr="000C4237">
        <w:rPr>
          <w:rStyle w:val="CharDivText"/>
        </w:rPr>
        <w:t xml:space="preserve"> </w:t>
      </w:r>
    </w:p>
    <w:p w:rsidR="00E8131B" w:rsidRPr="006E709F" w:rsidRDefault="00E8131B" w:rsidP="00F00C89">
      <w:pPr>
        <w:pStyle w:val="Specialaat"/>
      </w:pPr>
      <w:r w:rsidRPr="006E709F">
        <w:t>Corporations Act 2001</w:t>
      </w:r>
    </w:p>
    <w:p w:rsidR="00E8131B" w:rsidRPr="006E709F" w:rsidRDefault="00E8131B" w:rsidP="00A52BA3">
      <w:pPr>
        <w:pStyle w:val="ItemHead"/>
      </w:pPr>
      <w:r w:rsidRPr="006E709F">
        <w:t>1  Section</w:t>
      </w:r>
      <w:r w:rsidR="00DA13DE" w:rsidRPr="006E709F">
        <w:t> </w:t>
      </w:r>
      <w:r w:rsidRPr="006E709F">
        <w:t>1550 (paragraph relating to Part</w:t>
      </w:r>
      <w:r w:rsidR="00DA13DE" w:rsidRPr="006E709F">
        <w:t> </w:t>
      </w:r>
      <w:r w:rsidRPr="006E709F">
        <w:t>3)</w:t>
      </w:r>
    </w:p>
    <w:p w:rsidR="00E8131B" w:rsidRPr="006E709F" w:rsidRDefault="00E8131B" w:rsidP="00F925D9">
      <w:pPr>
        <w:pStyle w:val="Item"/>
        <w:keepLines w:val="0"/>
      </w:pPr>
      <w:r w:rsidRPr="006E709F">
        <w:t>Omit “that starts on or after the commencement of Part</w:t>
      </w:r>
      <w:r w:rsidR="00DA13DE" w:rsidRPr="006E709F">
        <w:t> </w:t>
      </w:r>
      <w:r w:rsidRPr="006E709F">
        <w:t>1 of Schedule</w:t>
      </w:r>
      <w:r w:rsidR="00DA13DE" w:rsidRPr="006E709F">
        <w:t> </w:t>
      </w:r>
      <w:r w:rsidRPr="006E709F">
        <w:t xml:space="preserve">2 to the </w:t>
      </w:r>
      <w:r w:rsidRPr="006E709F">
        <w:rPr>
          <w:i/>
        </w:rPr>
        <w:t>Insolvency Law Reform Act 2016</w:t>
      </w:r>
      <w:r w:rsidRPr="006E709F">
        <w:t>”, substitute “that starts on or after 1</w:t>
      </w:r>
      <w:r w:rsidR="00DA13DE" w:rsidRPr="006E709F">
        <w:t> </w:t>
      </w:r>
      <w:r w:rsidRPr="006E709F">
        <w:t>September 2017”.</w:t>
      </w:r>
    </w:p>
    <w:p w:rsidR="00E8131B" w:rsidRPr="006E709F" w:rsidRDefault="00E8131B" w:rsidP="00A52BA3">
      <w:pPr>
        <w:pStyle w:val="ItemHead"/>
      </w:pPr>
      <w:r w:rsidRPr="006E709F">
        <w:t>2  After section</w:t>
      </w:r>
      <w:r w:rsidR="00DA13DE" w:rsidRPr="006E709F">
        <w:t> </w:t>
      </w:r>
      <w:r w:rsidRPr="006E709F">
        <w:t>1554</w:t>
      </w:r>
    </w:p>
    <w:p w:rsidR="00E8131B" w:rsidRPr="006E709F" w:rsidRDefault="00E8131B" w:rsidP="00E8131B">
      <w:pPr>
        <w:pStyle w:val="Item"/>
      </w:pPr>
      <w:r w:rsidRPr="006E709F">
        <w:t>Insert:</w:t>
      </w:r>
    </w:p>
    <w:p w:rsidR="00E8131B" w:rsidRPr="006E709F" w:rsidRDefault="00E8131B" w:rsidP="00A52BA3">
      <w:pPr>
        <w:pStyle w:val="Specials"/>
      </w:pPr>
      <w:r w:rsidRPr="006E709F">
        <w:t>1554A  Saving of Register of Official Liquidators</w:t>
      </w:r>
    </w:p>
    <w:p w:rsidR="00E8131B" w:rsidRPr="006E709F" w:rsidRDefault="00E8131B" w:rsidP="00E8131B">
      <w:pPr>
        <w:pStyle w:val="subsection"/>
      </w:pPr>
      <w:r w:rsidRPr="006E709F">
        <w:tab/>
        <w:t>(1)</w:t>
      </w:r>
      <w:r w:rsidRPr="006E709F">
        <w:tab/>
        <w:t>This section applies to the Register of Official Liquidators kept in accordance with subsection</w:t>
      </w:r>
      <w:r w:rsidR="00DA13DE" w:rsidRPr="006E709F">
        <w:t> </w:t>
      </w:r>
      <w:r w:rsidRPr="006E709F">
        <w:t>1286(2) of the old Act.</w:t>
      </w:r>
    </w:p>
    <w:p w:rsidR="00E8131B" w:rsidRPr="006E709F" w:rsidRDefault="00E8131B" w:rsidP="00E8131B">
      <w:pPr>
        <w:pStyle w:val="subsection"/>
      </w:pPr>
      <w:r w:rsidRPr="006E709F">
        <w:tab/>
        <w:t>(2)</w:t>
      </w:r>
      <w:r w:rsidRPr="006E709F">
        <w:tab/>
        <w:t>Despite the repeal of sections</w:t>
      </w:r>
      <w:r w:rsidR="00DA13DE" w:rsidRPr="006E709F">
        <w:t> </w:t>
      </w:r>
      <w:r w:rsidRPr="006E709F">
        <w:t>1283 and 1286 by Schedule</w:t>
      </w:r>
      <w:r w:rsidR="00DA13DE" w:rsidRPr="006E709F">
        <w:t> </w:t>
      </w:r>
      <w:r w:rsidRPr="006E709F">
        <w:t xml:space="preserve">2 to the </w:t>
      </w:r>
      <w:r w:rsidRPr="006E709F">
        <w:rPr>
          <w:i/>
        </w:rPr>
        <w:t>Insolvency Law Reform Act 2016</w:t>
      </w:r>
      <w:r w:rsidRPr="006E709F">
        <w:t>, the Register of Official Liquidators continues in existence, and may be dealt with, as if those repeals had not happened.</w:t>
      </w:r>
    </w:p>
    <w:p w:rsidR="00E8131B" w:rsidRPr="006E709F" w:rsidRDefault="00E8131B" w:rsidP="00A52BA3">
      <w:pPr>
        <w:pStyle w:val="ItemHead"/>
      </w:pPr>
      <w:r w:rsidRPr="006E709F">
        <w:t>3  Section</w:t>
      </w:r>
      <w:r w:rsidR="00DA13DE" w:rsidRPr="006E709F">
        <w:t> </w:t>
      </w:r>
      <w:r w:rsidRPr="006E709F">
        <w:t>1578 (paragraph relating to new external administrations)</w:t>
      </w:r>
    </w:p>
    <w:p w:rsidR="00E8131B" w:rsidRPr="006E709F" w:rsidRDefault="00E8131B" w:rsidP="00F925D9">
      <w:pPr>
        <w:pStyle w:val="Item"/>
        <w:keepLines w:val="0"/>
      </w:pPr>
      <w:r w:rsidRPr="006E709F">
        <w:t xml:space="preserve">Omit “the commencement of the </w:t>
      </w:r>
      <w:r w:rsidRPr="006E709F">
        <w:rPr>
          <w:i/>
        </w:rPr>
        <w:t>Insolvency Law Reform Act 2016</w:t>
      </w:r>
      <w:r w:rsidRPr="006E709F">
        <w:t xml:space="preserve"> (called new external administrations)”, substitute “1</w:t>
      </w:r>
      <w:r w:rsidR="00DA13DE" w:rsidRPr="006E709F">
        <w:t> </w:t>
      </w:r>
      <w:r w:rsidRPr="006E709F">
        <w:t>September 2017”.</w:t>
      </w:r>
    </w:p>
    <w:p w:rsidR="00E8131B" w:rsidRPr="006E709F" w:rsidRDefault="00E8131B" w:rsidP="00A52BA3">
      <w:pPr>
        <w:pStyle w:val="ItemHead"/>
      </w:pPr>
      <w:r w:rsidRPr="006E709F">
        <w:t>4  Section</w:t>
      </w:r>
      <w:r w:rsidR="00DA13DE" w:rsidRPr="006E709F">
        <w:t> </w:t>
      </w:r>
      <w:r w:rsidRPr="006E709F">
        <w:t>1579</w:t>
      </w:r>
    </w:p>
    <w:p w:rsidR="00E8131B" w:rsidRPr="006E709F" w:rsidRDefault="00E8131B" w:rsidP="00F925D9">
      <w:pPr>
        <w:pStyle w:val="Item"/>
        <w:keepLines w:val="0"/>
      </w:pPr>
      <w:r w:rsidRPr="006E709F">
        <w:t>Repeal the section, substitute:</w:t>
      </w:r>
    </w:p>
    <w:p w:rsidR="00E8131B" w:rsidRPr="006E709F" w:rsidRDefault="00E8131B" w:rsidP="00A52BA3">
      <w:pPr>
        <w:pStyle w:val="Specials"/>
      </w:pPr>
      <w:r w:rsidRPr="006E709F">
        <w:t>1579  Application of Part</w:t>
      </w:r>
      <w:r w:rsidR="00DA13DE" w:rsidRPr="006E709F">
        <w:t> </w:t>
      </w:r>
      <w:r w:rsidRPr="006E709F">
        <w:t>3 of the Insolvency Practice Schedule (Corporations)—general rules</w:t>
      </w:r>
    </w:p>
    <w:p w:rsidR="00E8131B" w:rsidRPr="006E709F" w:rsidRDefault="00E8131B" w:rsidP="00E8131B">
      <w:pPr>
        <w:pStyle w:val="subsection"/>
      </w:pPr>
      <w:r w:rsidRPr="006E709F">
        <w:tab/>
        <w:t>(1)</w:t>
      </w:r>
      <w:r w:rsidRPr="006E709F">
        <w:tab/>
        <w:t>Part</w:t>
      </w:r>
      <w:r w:rsidR="00DA13DE" w:rsidRPr="006E709F">
        <w:t> </w:t>
      </w:r>
      <w:r w:rsidRPr="006E709F">
        <w:t>3 of the Insolvency Practice Schedule (Corporations) applies in relation to an external administration of a company that starts on or after 1</w:t>
      </w:r>
      <w:r w:rsidR="00DA13DE" w:rsidRPr="006E709F">
        <w:t> </w:t>
      </w:r>
      <w:r w:rsidRPr="006E709F">
        <w:t>September 2017.</w:t>
      </w:r>
    </w:p>
    <w:p w:rsidR="00E8131B" w:rsidRPr="006E709F" w:rsidRDefault="00E8131B" w:rsidP="00E8131B">
      <w:pPr>
        <w:pStyle w:val="subsection"/>
      </w:pPr>
      <w:r w:rsidRPr="006E709F">
        <w:tab/>
        <w:t>(2)</w:t>
      </w:r>
      <w:r w:rsidRPr="006E709F">
        <w:tab/>
        <w:t>Part</w:t>
      </w:r>
      <w:r w:rsidR="00DA13DE" w:rsidRPr="006E709F">
        <w:t> </w:t>
      </w:r>
      <w:r w:rsidRPr="006E709F">
        <w:t>3 of the Insolvency Practice Schedule (Corporations) applies in relation to an ongoing external administration of a company in accordance with this Division.</w:t>
      </w:r>
    </w:p>
    <w:p w:rsidR="00E8131B" w:rsidRPr="006E709F" w:rsidRDefault="00E8131B" w:rsidP="00A52BA3">
      <w:pPr>
        <w:pStyle w:val="ItemHead"/>
      </w:pPr>
      <w:r w:rsidRPr="006E709F">
        <w:t>5  Sections</w:t>
      </w:r>
      <w:r w:rsidR="00DA13DE" w:rsidRPr="006E709F">
        <w:t> </w:t>
      </w:r>
      <w:r w:rsidRPr="006E709F">
        <w:t>1581 and 1582</w:t>
      </w:r>
    </w:p>
    <w:p w:rsidR="00E8131B" w:rsidRPr="006E709F" w:rsidRDefault="00E8131B" w:rsidP="00E8131B">
      <w:pPr>
        <w:pStyle w:val="Item"/>
      </w:pPr>
      <w:r w:rsidRPr="006E709F">
        <w:t>Repeal the sections, substitute:</w:t>
      </w:r>
    </w:p>
    <w:p w:rsidR="00E8131B" w:rsidRPr="006E709F" w:rsidRDefault="00E8131B" w:rsidP="00A52BA3">
      <w:pPr>
        <w:pStyle w:val="Specials"/>
      </w:pPr>
      <w:r w:rsidRPr="006E709F">
        <w:t>1581  Old Act continues to apply in relation to remuneration for administrators already appointed or appointed during transition period</w:t>
      </w:r>
    </w:p>
    <w:p w:rsidR="00E8131B" w:rsidRPr="006E709F" w:rsidRDefault="00E8131B" w:rsidP="00E8131B">
      <w:pPr>
        <w:pStyle w:val="subsection"/>
      </w:pPr>
      <w:r w:rsidRPr="006E709F">
        <w:tab/>
        <w:t>(1)</w:t>
      </w:r>
      <w:r w:rsidRPr="006E709F">
        <w:tab/>
        <w:t>Despite the repeal of sections</w:t>
      </w:r>
      <w:r w:rsidR="00DA13DE" w:rsidRPr="006E709F">
        <w:t> </w:t>
      </w:r>
      <w:r w:rsidRPr="006E709F">
        <w:t>449E and 473 and the repeal and substitution of subsections</w:t>
      </w:r>
      <w:r w:rsidR="00DA13DE" w:rsidRPr="006E709F">
        <w:t> </w:t>
      </w:r>
      <w:r w:rsidRPr="006E709F">
        <w:t>499(3) to (7) of the old Act by Schedule</w:t>
      </w:r>
      <w:r w:rsidR="00DA13DE" w:rsidRPr="006E709F">
        <w:t> </w:t>
      </w:r>
      <w:r w:rsidRPr="006E709F">
        <w:t xml:space="preserve">2 to the </w:t>
      </w:r>
      <w:r w:rsidRPr="006E709F">
        <w:rPr>
          <w:i/>
        </w:rPr>
        <w:t>Insolvency Law Reform Act 2016</w:t>
      </w:r>
      <w:r w:rsidRPr="006E709F">
        <w:t>, the old Act continues to apply in relation to the remuneration of an external administrator of a company who is appointed:</w:t>
      </w:r>
    </w:p>
    <w:p w:rsidR="00E8131B" w:rsidRPr="006E709F" w:rsidRDefault="00E8131B" w:rsidP="00E8131B">
      <w:pPr>
        <w:pStyle w:val="paragraph"/>
      </w:pPr>
      <w:r w:rsidRPr="006E709F">
        <w:tab/>
        <w:t>(a)</w:t>
      </w:r>
      <w:r w:rsidRPr="006E709F">
        <w:tab/>
        <w:t>before the start time; or</w:t>
      </w:r>
    </w:p>
    <w:p w:rsidR="00E8131B" w:rsidRPr="006E709F" w:rsidRDefault="00E8131B" w:rsidP="00E8131B">
      <w:pPr>
        <w:pStyle w:val="paragraph"/>
      </w:pPr>
      <w:r w:rsidRPr="006E709F">
        <w:tab/>
        <w:t>(b)</w:t>
      </w:r>
      <w:r w:rsidRPr="006E709F">
        <w:tab/>
        <w:t>during the transition period.</w:t>
      </w:r>
    </w:p>
    <w:p w:rsidR="00E8131B" w:rsidRPr="006E709F" w:rsidRDefault="00E8131B" w:rsidP="00E8131B">
      <w:pPr>
        <w:pStyle w:val="subsection"/>
      </w:pPr>
      <w:r w:rsidRPr="006E709F">
        <w:tab/>
        <w:t>(2)</w:t>
      </w:r>
      <w:r w:rsidRPr="006E709F">
        <w:tab/>
        <w:t xml:space="preserve">Despite </w:t>
      </w:r>
      <w:r w:rsidR="00DA13DE" w:rsidRPr="006E709F">
        <w:t>subsection (</w:t>
      </w:r>
      <w:r w:rsidRPr="006E709F">
        <w:t>1), if, under Subdivision F of this Division, Division</w:t>
      </w:r>
      <w:r w:rsidR="00DA13DE" w:rsidRPr="006E709F">
        <w:t> </w:t>
      </w:r>
      <w:r w:rsidRPr="006E709F">
        <w:t>75 of the Insolvency Practice Schedule (Corporations) rather than the old Act would apply to a meeting that deals with the remuneration of an external administrator of a company who is appointed before the start time or during the transition period, Division</w:t>
      </w:r>
      <w:r w:rsidR="00DA13DE" w:rsidRPr="006E709F">
        <w:t> </w:t>
      </w:r>
      <w:r w:rsidRPr="006E709F">
        <w:t>75 of the Insolvency Practice Schedule (Corporations) applies to that meeting.</w:t>
      </w:r>
    </w:p>
    <w:p w:rsidR="00E8131B" w:rsidRPr="006E709F" w:rsidRDefault="00E8131B" w:rsidP="00E8131B">
      <w:pPr>
        <w:pStyle w:val="subsection"/>
      </w:pPr>
      <w:r w:rsidRPr="006E709F">
        <w:tab/>
        <w:t>(3)</w:t>
      </w:r>
      <w:r w:rsidRPr="006E709F">
        <w:tab/>
        <w:t>In this section:</w:t>
      </w:r>
    </w:p>
    <w:p w:rsidR="00E8131B" w:rsidRPr="006E709F" w:rsidRDefault="00E8131B" w:rsidP="00E8131B">
      <w:pPr>
        <w:pStyle w:val="Definition"/>
      </w:pPr>
      <w:r w:rsidRPr="006E709F">
        <w:rPr>
          <w:b/>
          <w:i/>
        </w:rPr>
        <w:t>start time</w:t>
      </w:r>
      <w:r w:rsidRPr="006E709F">
        <w:t xml:space="preserve"> means the commencement of Schedule</w:t>
      </w:r>
      <w:r w:rsidR="00DA13DE" w:rsidRPr="006E709F">
        <w:t> </w:t>
      </w:r>
      <w:r w:rsidRPr="006E709F">
        <w:t xml:space="preserve">1 to the </w:t>
      </w:r>
      <w:r w:rsidRPr="006E709F">
        <w:rPr>
          <w:i/>
        </w:rPr>
        <w:t>Insolvency Law Reform Act 2016</w:t>
      </w:r>
      <w:r w:rsidRPr="006E709F">
        <w:t>.</w:t>
      </w:r>
    </w:p>
    <w:p w:rsidR="00E8131B" w:rsidRPr="006E709F" w:rsidRDefault="00E8131B" w:rsidP="00E8131B">
      <w:pPr>
        <w:pStyle w:val="Definition"/>
      </w:pPr>
      <w:r w:rsidRPr="006E709F">
        <w:rPr>
          <w:b/>
          <w:i/>
        </w:rPr>
        <w:t>transition period</w:t>
      </w:r>
      <w:r w:rsidRPr="006E709F">
        <w:t xml:space="preserve"> means the period:</w:t>
      </w:r>
    </w:p>
    <w:p w:rsidR="00E8131B" w:rsidRPr="006E709F" w:rsidRDefault="00E8131B" w:rsidP="00E8131B">
      <w:pPr>
        <w:pStyle w:val="paragraph"/>
      </w:pPr>
      <w:r w:rsidRPr="006E709F">
        <w:tab/>
        <w:t>(a)</w:t>
      </w:r>
      <w:r w:rsidRPr="006E709F">
        <w:tab/>
        <w:t>starting immediately after the start time; and</w:t>
      </w:r>
    </w:p>
    <w:p w:rsidR="00E8131B" w:rsidRPr="006E709F" w:rsidRDefault="00E8131B" w:rsidP="00E8131B">
      <w:pPr>
        <w:pStyle w:val="paragraph"/>
      </w:pPr>
      <w:r w:rsidRPr="006E709F">
        <w:tab/>
        <w:t>(b)</w:t>
      </w:r>
      <w:r w:rsidRPr="006E709F">
        <w:tab/>
        <w:t>ending at the end of 31</w:t>
      </w:r>
      <w:r w:rsidR="00DA13DE" w:rsidRPr="006E709F">
        <w:t> </w:t>
      </w:r>
      <w:r w:rsidRPr="006E709F">
        <w:t>August 2017.</w:t>
      </w:r>
    </w:p>
    <w:p w:rsidR="00E8131B" w:rsidRPr="006E709F" w:rsidRDefault="00E8131B" w:rsidP="00A52BA3">
      <w:pPr>
        <w:pStyle w:val="Specials"/>
      </w:pPr>
      <w:r w:rsidRPr="006E709F">
        <w:t>1582  Duties of administrators relating to remuneration and other benefits</w:t>
      </w:r>
    </w:p>
    <w:p w:rsidR="00E8131B" w:rsidRPr="006E709F" w:rsidRDefault="00E8131B" w:rsidP="00E8131B">
      <w:pPr>
        <w:pStyle w:val="subsection"/>
      </w:pPr>
      <w:r w:rsidRPr="006E709F">
        <w:tab/>
        <w:t>(1)</w:t>
      </w:r>
      <w:r w:rsidRPr="006E709F">
        <w:tab/>
        <w:t>Section</w:t>
      </w:r>
      <w:r w:rsidR="00DA13DE" w:rsidRPr="006E709F">
        <w:t> </w:t>
      </w:r>
      <w:r w:rsidRPr="006E709F">
        <w:t>60</w:t>
      </w:r>
      <w:r w:rsidR="000C4237">
        <w:noBreakHyphen/>
      </w:r>
      <w:r w:rsidRPr="006E709F">
        <w:t>20 of the Insolvency Practice Schedule (Corporations) applies on and after 1</w:t>
      </w:r>
      <w:r w:rsidR="00DA13DE" w:rsidRPr="006E709F">
        <w:t> </w:t>
      </w:r>
      <w:r w:rsidRPr="006E709F">
        <w:t>September 2017 in relation to an external administrator of an ongoing external administration of a company regardless of when the administrator was appointed.</w:t>
      </w:r>
    </w:p>
    <w:p w:rsidR="00E8131B" w:rsidRPr="006E709F" w:rsidRDefault="00E8131B" w:rsidP="00E8131B">
      <w:pPr>
        <w:pStyle w:val="subsection"/>
      </w:pPr>
      <w:r w:rsidRPr="006E709F">
        <w:tab/>
        <w:t>(2)</w:t>
      </w:r>
      <w:r w:rsidRPr="006E709F">
        <w:tab/>
        <w:t>However, that section does not apply in relation to arrangements made before 1</w:t>
      </w:r>
      <w:r w:rsidR="00DA13DE" w:rsidRPr="006E709F">
        <w:t> </w:t>
      </w:r>
      <w:r w:rsidRPr="006E709F">
        <w:t>September 2017.</w:t>
      </w:r>
    </w:p>
    <w:p w:rsidR="00E8131B" w:rsidRPr="006E709F" w:rsidRDefault="00E8131B" w:rsidP="00A52BA3">
      <w:pPr>
        <w:pStyle w:val="ItemHead"/>
      </w:pPr>
      <w:r w:rsidRPr="006E709F">
        <w:t>6  Subsection</w:t>
      </w:r>
      <w:r w:rsidR="00DA13DE" w:rsidRPr="006E709F">
        <w:t> </w:t>
      </w:r>
      <w:r w:rsidRPr="006E709F">
        <w:t>1582(1)</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7  Section</w:t>
      </w:r>
      <w:r w:rsidR="00DA13DE" w:rsidRPr="006E709F">
        <w:t> </w:t>
      </w:r>
      <w:r w:rsidRPr="006E709F">
        <w:t>1584</w:t>
      </w:r>
    </w:p>
    <w:p w:rsidR="00E8131B" w:rsidRPr="006E709F" w:rsidRDefault="00E8131B" w:rsidP="00F925D9">
      <w:pPr>
        <w:pStyle w:val="Item"/>
        <w:keepLines w:val="0"/>
      </w:pPr>
      <w:r w:rsidRPr="006E709F">
        <w:t>Omit all the words after “applies”, substitute “on and after 1</w:t>
      </w:r>
      <w:r w:rsidR="00DA13DE" w:rsidRPr="006E709F">
        <w:t> </w:t>
      </w:r>
      <w:r w:rsidRPr="006E709F">
        <w:t>September 2017 regardless of when the vacancy in the office of the liquidator arose”.</w:t>
      </w:r>
    </w:p>
    <w:p w:rsidR="00E8131B" w:rsidRPr="006E709F" w:rsidRDefault="00E8131B" w:rsidP="00A52BA3">
      <w:pPr>
        <w:pStyle w:val="ItemHead"/>
      </w:pPr>
      <w:r w:rsidRPr="006E709F">
        <w:t>8  At the end of section</w:t>
      </w:r>
      <w:r w:rsidR="00DA13DE" w:rsidRPr="006E709F">
        <w:t> </w:t>
      </w:r>
      <w:r w:rsidRPr="006E709F">
        <w:t>1586</w:t>
      </w:r>
    </w:p>
    <w:p w:rsidR="00E8131B" w:rsidRPr="006E709F" w:rsidRDefault="00E8131B" w:rsidP="00F925D9">
      <w:pPr>
        <w:pStyle w:val="Item"/>
        <w:keepLines w:val="0"/>
      </w:pPr>
      <w:r w:rsidRPr="006E709F">
        <w:t>Add “on and after 1</w:t>
      </w:r>
      <w:r w:rsidR="00DA13DE" w:rsidRPr="006E709F">
        <w:t> </w:t>
      </w:r>
      <w:r w:rsidRPr="006E709F">
        <w:t>September 2017”.</w:t>
      </w:r>
    </w:p>
    <w:p w:rsidR="00E8131B" w:rsidRPr="006E709F" w:rsidRDefault="00E8131B" w:rsidP="00A52BA3">
      <w:pPr>
        <w:pStyle w:val="ItemHead"/>
      </w:pPr>
      <w:r w:rsidRPr="006E709F">
        <w:t>9  Subsection</w:t>
      </w:r>
      <w:r w:rsidR="00DA13DE" w:rsidRPr="006E709F">
        <w:t> </w:t>
      </w:r>
      <w:r w:rsidRPr="006E709F">
        <w:t>1588(2) (heading)</w:t>
      </w:r>
    </w:p>
    <w:p w:rsidR="00E8131B" w:rsidRPr="006E709F" w:rsidRDefault="00E8131B" w:rsidP="00E8131B">
      <w:pPr>
        <w:pStyle w:val="Item"/>
      </w:pPr>
      <w:r w:rsidRPr="006E709F">
        <w:t>Repeal the heading, substitute:</w:t>
      </w:r>
    </w:p>
    <w:p w:rsidR="00E8131B" w:rsidRPr="006E709F" w:rsidRDefault="00E8131B" w:rsidP="00E8131B">
      <w:pPr>
        <w:pStyle w:val="SubsectionHead"/>
      </w:pPr>
      <w:r w:rsidRPr="006E709F">
        <w:t>Old regulations continue to apply to money received before 1</w:t>
      </w:r>
      <w:r w:rsidR="00DA13DE" w:rsidRPr="006E709F">
        <w:t> </w:t>
      </w:r>
      <w:r w:rsidRPr="006E709F">
        <w:t>September 2017</w:t>
      </w:r>
    </w:p>
    <w:p w:rsidR="00E8131B" w:rsidRPr="006E709F" w:rsidRDefault="00E8131B" w:rsidP="00A52BA3">
      <w:pPr>
        <w:pStyle w:val="ItemHead"/>
      </w:pPr>
      <w:r w:rsidRPr="006E709F">
        <w:t>10  Subsection</w:t>
      </w:r>
      <w:r w:rsidR="00DA13DE" w:rsidRPr="006E709F">
        <w:t> </w:t>
      </w:r>
      <w:r w:rsidRPr="006E709F">
        <w:t>1590(2) (heading)</w:t>
      </w:r>
    </w:p>
    <w:p w:rsidR="00E8131B" w:rsidRPr="006E709F" w:rsidRDefault="00E8131B" w:rsidP="00E8131B">
      <w:pPr>
        <w:pStyle w:val="Item"/>
      </w:pPr>
      <w:r w:rsidRPr="006E709F">
        <w:t>Repeal the heading, substitute:</w:t>
      </w:r>
    </w:p>
    <w:p w:rsidR="00E8131B" w:rsidRPr="006E709F" w:rsidRDefault="00E8131B" w:rsidP="00E8131B">
      <w:pPr>
        <w:pStyle w:val="SubsectionHead"/>
      </w:pPr>
      <w:r w:rsidRPr="006E709F">
        <w:t>Old regulations continue to apply to securities received before 1</w:t>
      </w:r>
      <w:r w:rsidR="00DA13DE" w:rsidRPr="006E709F">
        <w:t> </w:t>
      </w:r>
      <w:r w:rsidRPr="006E709F">
        <w:t>September 2017</w:t>
      </w:r>
    </w:p>
    <w:p w:rsidR="00E8131B" w:rsidRPr="006E709F" w:rsidRDefault="00E8131B" w:rsidP="00A52BA3">
      <w:pPr>
        <w:pStyle w:val="ItemHead"/>
      </w:pPr>
      <w:r w:rsidRPr="006E709F">
        <w:t>11  At the end of section</w:t>
      </w:r>
      <w:r w:rsidR="00DA13DE" w:rsidRPr="006E709F">
        <w:t> </w:t>
      </w:r>
      <w:r w:rsidRPr="006E709F">
        <w:t>1591</w:t>
      </w:r>
    </w:p>
    <w:p w:rsidR="00E8131B" w:rsidRPr="006E709F" w:rsidRDefault="00E8131B" w:rsidP="00F925D9">
      <w:pPr>
        <w:pStyle w:val="Item"/>
        <w:keepLines w:val="0"/>
      </w:pPr>
      <w:r w:rsidRPr="006E709F">
        <w:t>Add “on and after 1</w:t>
      </w:r>
      <w:r w:rsidR="00DA13DE" w:rsidRPr="006E709F">
        <w:t> </w:t>
      </w:r>
      <w:r w:rsidRPr="006E709F">
        <w:t>September 2017”.</w:t>
      </w:r>
    </w:p>
    <w:p w:rsidR="00E8131B" w:rsidRPr="006E709F" w:rsidRDefault="00E8131B" w:rsidP="00A52BA3">
      <w:pPr>
        <w:pStyle w:val="ItemHead"/>
      </w:pPr>
      <w:r w:rsidRPr="006E709F">
        <w:t>12  Section</w:t>
      </w:r>
      <w:r w:rsidR="00DA13DE" w:rsidRPr="006E709F">
        <w:t> </w:t>
      </w:r>
      <w:r w:rsidRPr="006E709F">
        <w:t>1592</w:t>
      </w:r>
    </w:p>
    <w:p w:rsidR="00E8131B" w:rsidRPr="006E709F" w:rsidRDefault="00E8131B" w:rsidP="00F925D9">
      <w:pPr>
        <w:pStyle w:val="Item"/>
        <w:keepLines w:val="0"/>
      </w:pPr>
      <w:r w:rsidRPr="006E709F">
        <w:t>Repeal the section, substitute:</w:t>
      </w:r>
    </w:p>
    <w:p w:rsidR="00E8131B" w:rsidRPr="006E709F" w:rsidRDefault="00E8131B" w:rsidP="00A52BA3">
      <w:pPr>
        <w:pStyle w:val="Specials"/>
      </w:pPr>
      <w:r w:rsidRPr="006E709F">
        <w:t>1592  Transitional rules for annual administration returns</w:t>
      </w:r>
    </w:p>
    <w:p w:rsidR="00E8131B" w:rsidRPr="006E709F" w:rsidRDefault="00E8131B" w:rsidP="00E8131B">
      <w:pPr>
        <w:pStyle w:val="subsection"/>
      </w:pPr>
      <w:r w:rsidRPr="006E709F">
        <w:tab/>
        <w:t>(1)</w:t>
      </w:r>
      <w:r w:rsidRPr="006E709F">
        <w:tab/>
        <w:t>Section</w:t>
      </w:r>
      <w:r w:rsidR="00DA13DE" w:rsidRPr="006E709F">
        <w:t> </w:t>
      </w:r>
      <w:r w:rsidRPr="006E709F">
        <w:t>70</w:t>
      </w:r>
      <w:r w:rsidR="000C4237">
        <w:noBreakHyphen/>
      </w:r>
      <w:r w:rsidRPr="006E709F">
        <w:t>5 of the Insolvency Practice Schedule (Corporations) applies in relation to a person if the person first began to be an external administrator of a company on or after 1</w:t>
      </w:r>
      <w:r w:rsidR="00DA13DE" w:rsidRPr="006E709F">
        <w:t> </w:t>
      </w:r>
      <w:r w:rsidRPr="006E709F">
        <w:t>September 2017.</w:t>
      </w:r>
    </w:p>
    <w:p w:rsidR="00E8131B" w:rsidRPr="006E709F" w:rsidRDefault="00E8131B" w:rsidP="00E8131B">
      <w:pPr>
        <w:pStyle w:val="subsection"/>
      </w:pPr>
      <w:r w:rsidRPr="006E709F">
        <w:tab/>
        <w:t>(2)</w:t>
      </w:r>
      <w:r w:rsidRPr="006E709F">
        <w:tab/>
        <w:t>Section</w:t>
      </w:r>
      <w:r w:rsidR="00DA13DE" w:rsidRPr="006E709F">
        <w:t> </w:t>
      </w:r>
      <w:r w:rsidRPr="006E709F">
        <w:t>70</w:t>
      </w:r>
      <w:r w:rsidR="000C4237">
        <w:noBreakHyphen/>
      </w:r>
      <w:r w:rsidRPr="006E709F">
        <w:t>5 of the Insolvency Practice Schedule (Corporations) also applies in relation to a person if the person first began to be an external administrator of a company before 1</w:t>
      </w:r>
      <w:r w:rsidR="00DA13DE" w:rsidRPr="006E709F">
        <w:t> </w:t>
      </w:r>
      <w:r w:rsidRPr="006E709F">
        <w:t>September 2017 as if the reference in that section to an administration return year for the administrator were a reference to:</w:t>
      </w:r>
    </w:p>
    <w:p w:rsidR="00E8131B" w:rsidRPr="006E709F" w:rsidRDefault="00E8131B" w:rsidP="00E8131B">
      <w:pPr>
        <w:pStyle w:val="paragraph"/>
      </w:pPr>
      <w:r w:rsidRPr="006E709F">
        <w:tab/>
        <w:t>(a)</w:t>
      </w:r>
      <w:r w:rsidRPr="006E709F">
        <w:tab/>
        <w:t>the first full year starting on or after 1</w:t>
      </w:r>
      <w:r w:rsidR="00DA13DE" w:rsidRPr="006E709F">
        <w:t> </w:t>
      </w:r>
      <w:r w:rsidRPr="006E709F">
        <w:t>September 2017 that is an anniversary of when the person first began to be the external administrator of the company; and</w:t>
      </w:r>
    </w:p>
    <w:p w:rsidR="00E8131B" w:rsidRPr="006E709F" w:rsidRDefault="00E8131B" w:rsidP="00E8131B">
      <w:pPr>
        <w:pStyle w:val="paragraph"/>
      </w:pPr>
      <w:r w:rsidRPr="006E709F">
        <w:tab/>
        <w:t>(b)</w:t>
      </w:r>
      <w:r w:rsidRPr="006E709F">
        <w:tab/>
        <w:t>each subsequent period of 12 months.</w:t>
      </w:r>
    </w:p>
    <w:p w:rsidR="00E8131B" w:rsidRPr="006E709F" w:rsidRDefault="00E8131B" w:rsidP="00E8131B">
      <w:pPr>
        <w:pStyle w:val="subsection"/>
      </w:pPr>
      <w:r w:rsidRPr="006E709F">
        <w:tab/>
        <w:t>(3)</w:t>
      </w:r>
      <w:r w:rsidRPr="006E709F">
        <w:tab/>
        <w:t>Despite the repeal of the old return provisions by Schedule</w:t>
      </w:r>
      <w:r w:rsidR="00DA13DE" w:rsidRPr="006E709F">
        <w:t> </w:t>
      </w:r>
      <w:r w:rsidRPr="006E709F">
        <w:t xml:space="preserve">2 to the </w:t>
      </w:r>
      <w:r w:rsidRPr="006E709F">
        <w:rPr>
          <w:i/>
        </w:rPr>
        <w:t>Insolvency Law Reform Act 2016</w:t>
      </w:r>
      <w:r w:rsidRPr="006E709F">
        <w:t>, those provisions continue to apply to an external administrator of a company appointed before 1</w:t>
      </w:r>
      <w:r w:rsidR="00DA13DE" w:rsidRPr="006E709F">
        <w:t> </w:t>
      </w:r>
      <w:r w:rsidRPr="006E709F">
        <w:t>September 2017:</w:t>
      </w:r>
    </w:p>
    <w:p w:rsidR="00E8131B" w:rsidRPr="006E709F" w:rsidRDefault="00E8131B" w:rsidP="00E8131B">
      <w:pPr>
        <w:pStyle w:val="paragraph"/>
      </w:pPr>
      <w:r w:rsidRPr="006E709F">
        <w:tab/>
        <w:t>(a)</w:t>
      </w:r>
      <w:r w:rsidRPr="006E709F">
        <w:tab/>
        <w:t>if the end of the 6</w:t>
      </w:r>
      <w:r w:rsidR="000C4237">
        <w:noBreakHyphen/>
      </w:r>
      <w:r w:rsidRPr="006E709F">
        <w:t>month period referred to in the old return provisions occurs before 1</w:t>
      </w:r>
      <w:r w:rsidR="00DA13DE" w:rsidRPr="006E709F">
        <w:t> </w:t>
      </w:r>
      <w:r w:rsidRPr="006E709F">
        <w:t>March 2018—in relation to that period; and</w:t>
      </w:r>
    </w:p>
    <w:p w:rsidR="00E8131B" w:rsidRPr="006E709F" w:rsidRDefault="00E8131B" w:rsidP="00E8131B">
      <w:pPr>
        <w:pStyle w:val="paragraph"/>
      </w:pPr>
      <w:r w:rsidRPr="006E709F">
        <w:tab/>
        <w:t>(b)</w:t>
      </w:r>
      <w:r w:rsidRPr="006E709F">
        <w:tab/>
        <w:t>if the end of that period is not an anniversary of the administrator’s appointment—in relation to the subsequent 6</w:t>
      </w:r>
      <w:r w:rsidR="000C4237">
        <w:noBreakHyphen/>
      </w:r>
      <w:r w:rsidRPr="006E709F">
        <w:t>month period.</w:t>
      </w:r>
    </w:p>
    <w:p w:rsidR="00E8131B" w:rsidRPr="006E709F" w:rsidRDefault="00E8131B" w:rsidP="00E8131B">
      <w:pPr>
        <w:pStyle w:val="subsection"/>
      </w:pPr>
      <w:r w:rsidRPr="006E709F">
        <w:tab/>
        <w:t>(4)</w:t>
      </w:r>
      <w:r w:rsidRPr="006E709F">
        <w:tab/>
        <w:t>To avoid doubt, despite the repeal of the old return provisions by Schedule</w:t>
      </w:r>
      <w:r w:rsidR="00DA13DE" w:rsidRPr="006E709F">
        <w:t> </w:t>
      </w:r>
      <w:r w:rsidRPr="006E709F">
        <w:t>2 to the</w:t>
      </w:r>
      <w:r w:rsidRPr="006E709F">
        <w:rPr>
          <w:i/>
        </w:rPr>
        <w:t xml:space="preserve"> Insolvency Law Reform Act 2016</w:t>
      </w:r>
      <w:r w:rsidRPr="006E709F">
        <w:t>, audits may be continued in relation to accounts lodged under those provisions as if the old Act continued to apply.</w:t>
      </w:r>
    </w:p>
    <w:p w:rsidR="00E8131B" w:rsidRPr="006E709F" w:rsidRDefault="00E8131B" w:rsidP="00E8131B">
      <w:pPr>
        <w:pStyle w:val="subsection"/>
      </w:pPr>
      <w:r w:rsidRPr="006E709F">
        <w:tab/>
        <w:t>(5)</w:t>
      </w:r>
      <w:r w:rsidRPr="006E709F">
        <w:tab/>
        <w:t>In this section:</w:t>
      </w:r>
    </w:p>
    <w:p w:rsidR="00E8131B" w:rsidRPr="006E709F" w:rsidRDefault="00E8131B" w:rsidP="00E8131B">
      <w:pPr>
        <w:pStyle w:val="Definition"/>
      </w:pPr>
      <w:r w:rsidRPr="006E709F">
        <w:rPr>
          <w:b/>
          <w:i/>
        </w:rPr>
        <w:t>old return provisions</w:t>
      </w:r>
      <w:r w:rsidRPr="006E709F">
        <w:t xml:space="preserve"> means the following provisions of the old Act:</w:t>
      </w:r>
    </w:p>
    <w:p w:rsidR="00E8131B" w:rsidRPr="006E709F" w:rsidRDefault="00E8131B" w:rsidP="00E8131B">
      <w:pPr>
        <w:pStyle w:val="paragraph"/>
      </w:pPr>
      <w:r w:rsidRPr="006E709F">
        <w:tab/>
        <w:t>(a)</w:t>
      </w:r>
      <w:r w:rsidRPr="006E709F">
        <w:tab/>
        <w:t>subsection</w:t>
      </w:r>
      <w:r w:rsidR="00DA13DE" w:rsidRPr="006E709F">
        <w:t> </w:t>
      </w:r>
      <w:r w:rsidRPr="006E709F">
        <w:t>438E(1);</w:t>
      </w:r>
    </w:p>
    <w:p w:rsidR="00E8131B" w:rsidRPr="006E709F" w:rsidRDefault="00E8131B" w:rsidP="00E8131B">
      <w:pPr>
        <w:pStyle w:val="paragraph"/>
      </w:pPr>
      <w:r w:rsidRPr="006E709F">
        <w:tab/>
        <w:t>(b)</w:t>
      </w:r>
      <w:r w:rsidRPr="006E709F">
        <w:tab/>
        <w:t>subsection</w:t>
      </w:r>
      <w:r w:rsidR="00DA13DE" w:rsidRPr="006E709F">
        <w:t> </w:t>
      </w:r>
      <w:r w:rsidRPr="006E709F">
        <w:t>445J(1);</w:t>
      </w:r>
    </w:p>
    <w:p w:rsidR="00E8131B" w:rsidRPr="006E709F" w:rsidRDefault="00E8131B" w:rsidP="00E8131B">
      <w:pPr>
        <w:pStyle w:val="paragraph"/>
      </w:pPr>
      <w:r w:rsidRPr="006E709F">
        <w:tab/>
        <w:t>(c)</w:t>
      </w:r>
      <w:r w:rsidRPr="006E709F">
        <w:tab/>
        <w:t>subsection</w:t>
      </w:r>
      <w:r w:rsidR="00DA13DE" w:rsidRPr="006E709F">
        <w:t> </w:t>
      </w:r>
      <w:r w:rsidRPr="006E709F">
        <w:t>539(1), other than the extent to which it relates to a liquidator ceasing to act as liquidator.</w:t>
      </w:r>
    </w:p>
    <w:p w:rsidR="00E8131B" w:rsidRPr="006E709F" w:rsidRDefault="00E8131B" w:rsidP="00A52BA3">
      <w:pPr>
        <w:pStyle w:val="Specials"/>
      </w:pPr>
      <w:r w:rsidRPr="006E709F">
        <w:t>1592A  Transitional rules for end of administration returns</w:t>
      </w:r>
    </w:p>
    <w:p w:rsidR="00E8131B" w:rsidRPr="006E709F" w:rsidRDefault="00E8131B" w:rsidP="00E8131B">
      <w:pPr>
        <w:pStyle w:val="subsection"/>
      </w:pPr>
      <w:r w:rsidRPr="006E709F">
        <w:tab/>
        <w:t>(1)</w:t>
      </w:r>
      <w:r w:rsidRPr="006E709F">
        <w:tab/>
        <w:t>Section</w:t>
      </w:r>
      <w:r w:rsidR="00DA13DE" w:rsidRPr="006E709F">
        <w:t> </w:t>
      </w:r>
      <w:r w:rsidRPr="006E709F">
        <w:t>70</w:t>
      </w:r>
      <w:r w:rsidR="000C4237">
        <w:noBreakHyphen/>
      </w:r>
      <w:r w:rsidRPr="006E709F">
        <w:t>6 of the Insolvency Practice Schedule (Corporations) applies in relation to external administrations that end on or after 1</w:t>
      </w:r>
      <w:r w:rsidR="00DA13DE" w:rsidRPr="006E709F">
        <w:t> </w:t>
      </w:r>
      <w:r w:rsidRPr="006E709F">
        <w:t>September 2017.</w:t>
      </w:r>
    </w:p>
    <w:p w:rsidR="00E8131B" w:rsidRPr="006E709F" w:rsidRDefault="00E8131B" w:rsidP="00E8131B">
      <w:pPr>
        <w:pStyle w:val="subsection"/>
      </w:pPr>
      <w:r w:rsidRPr="006E709F">
        <w:tab/>
        <w:t>(2)</w:t>
      </w:r>
      <w:r w:rsidRPr="006E709F">
        <w:tab/>
        <w:t>Despite the repeal of the old return provisions by Schedule</w:t>
      </w:r>
      <w:r w:rsidR="00DA13DE" w:rsidRPr="006E709F">
        <w:t> </w:t>
      </w:r>
      <w:r w:rsidRPr="006E709F">
        <w:t xml:space="preserve">2 to the </w:t>
      </w:r>
      <w:r w:rsidRPr="006E709F">
        <w:rPr>
          <w:i/>
        </w:rPr>
        <w:t>Insolvency Law Reform Act 2016</w:t>
      </w:r>
      <w:r w:rsidRPr="006E709F">
        <w:t>, those provisions continue to apply, in relation to an external administrator of a company, if the external administrator ceases to act as an external administrator for the company before 1</w:t>
      </w:r>
      <w:r w:rsidR="00DA13DE" w:rsidRPr="006E709F">
        <w:t> </w:t>
      </w:r>
      <w:r w:rsidRPr="006E709F">
        <w:t>September 2017.</w:t>
      </w:r>
    </w:p>
    <w:p w:rsidR="00E8131B" w:rsidRPr="006E709F" w:rsidRDefault="00E8131B" w:rsidP="00E8131B">
      <w:pPr>
        <w:pStyle w:val="subsection"/>
      </w:pPr>
      <w:r w:rsidRPr="006E709F">
        <w:tab/>
        <w:t>(3)</w:t>
      </w:r>
      <w:r w:rsidRPr="006E709F">
        <w:tab/>
        <w:t>To avoid doubt, despite the repeal of the old return provisions by Schedule</w:t>
      </w:r>
      <w:r w:rsidR="00DA13DE" w:rsidRPr="006E709F">
        <w:t> </w:t>
      </w:r>
      <w:r w:rsidRPr="006E709F">
        <w:t>2 to the</w:t>
      </w:r>
      <w:r w:rsidRPr="006E709F">
        <w:rPr>
          <w:i/>
        </w:rPr>
        <w:t xml:space="preserve"> Insolvency Law Reform Act 2016</w:t>
      </w:r>
      <w:r w:rsidRPr="006E709F">
        <w:t>, audits may be continued in relation to accounts lodged under those provisions as if the old Act continued to apply.</w:t>
      </w:r>
    </w:p>
    <w:p w:rsidR="00E8131B" w:rsidRPr="006E709F" w:rsidRDefault="00E8131B" w:rsidP="00E8131B">
      <w:pPr>
        <w:pStyle w:val="subsection"/>
      </w:pPr>
      <w:r w:rsidRPr="006E709F">
        <w:tab/>
        <w:t>(4)</w:t>
      </w:r>
      <w:r w:rsidRPr="006E709F">
        <w:tab/>
        <w:t>In this section:</w:t>
      </w:r>
    </w:p>
    <w:p w:rsidR="00E8131B" w:rsidRPr="006E709F" w:rsidRDefault="00E8131B" w:rsidP="00E8131B">
      <w:pPr>
        <w:pStyle w:val="Definition"/>
      </w:pPr>
      <w:r w:rsidRPr="006E709F">
        <w:rPr>
          <w:b/>
          <w:i/>
        </w:rPr>
        <w:t>old return provisions</w:t>
      </w:r>
      <w:r w:rsidRPr="006E709F">
        <w:t xml:space="preserve"> means the following provisions of the old Act, as in force before their repeal by Schedule</w:t>
      </w:r>
      <w:r w:rsidR="00DA13DE" w:rsidRPr="006E709F">
        <w:t> </w:t>
      </w:r>
      <w:r w:rsidRPr="006E709F">
        <w:t xml:space="preserve">2 to the </w:t>
      </w:r>
      <w:r w:rsidRPr="006E709F">
        <w:rPr>
          <w:i/>
        </w:rPr>
        <w:t>Insolvency Law Reform Act 2016</w:t>
      </w:r>
      <w:r w:rsidRPr="006E709F">
        <w:t>:</w:t>
      </w:r>
    </w:p>
    <w:p w:rsidR="00E8131B" w:rsidRPr="006E709F" w:rsidRDefault="00E8131B" w:rsidP="00E8131B">
      <w:pPr>
        <w:pStyle w:val="paragraph"/>
      </w:pPr>
      <w:r w:rsidRPr="006E709F">
        <w:tab/>
        <w:t>(a)</w:t>
      </w:r>
      <w:r w:rsidRPr="006E709F">
        <w:tab/>
        <w:t>subsection</w:t>
      </w:r>
      <w:r w:rsidR="00DA13DE" w:rsidRPr="006E709F">
        <w:t> </w:t>
      </w:r>
      <w:r w:rsidRPr="006E709F">
        <w:t>438E(2);</w:t>
      </w:r>
    </w:p>
    <w:p w:rsidR="00E8131B" w:rsidRPr="006E709F" w:rsidRDefault="00E8131B" w:rsidP="00E8131B">
      <w:pPr>
        <w:pStyle w:val="paragraph"/>
      </w:pPr>
      <w:r w:rsidRPr="006E709F">
        <w:tab/>
        <w:t>(b)</w:t>
      </w:r>
      <w:r w:rsidRPr="006E709F">
        <w:tab/>
        <w:t>subsection</w:t>
      </w:r>
      <w:r w:rsidR="00DA13DE" w:rsidRPr="006E709F">
        <w:t> </w:t>
      </w:r>
      <w:r w:rsidRPr="006E709F">
        <w:t>445J(2);</w:t>
      </w:r>
    </w:p>
    <w:p w:rsidR="00E8131B" w:rsidRPr="006E709F" w:rsidRDefault="00E8131B" w:rsidP="00E8131B">
      <w:pPr>
        <w:pStyle w:val="paragraph"/>
      </w:pPr>
      <w:r w:rsidRPr="006E709F">
        <w:tab/>
        <w:t>(c)</w:t>
      </w:r>
      <w:r w:rsidRPr="006E709F">
        <w:tab/>
        <w:t>subsection</w:t>
      </w:r>
      <w:r w:rsidR="00DA13DE" w:rsidRPr="006E709F">
        <w:t> </w:t>
      </w:r>
      <w:r w:rsidRPr="006E709F">
        <w:t>539(1), to the extent to which it relates to a liquidator ceasing to act as liquidator.</w:t>
      </w:r>
    </w:p>
    <w:p w:rsidR="00E8131B" w:rsidRPr="006E709F" w:rsidRDefault="00E8131B" w:rsidP="00A52BA3">
      <w:pPr>
        <w:pStyle w:val="ItemHead"/>
      </w:pPr>
      <w:r w:rsidRPr="006E709F">
        <w:t>13  Section</w:t>
      </w:r>
      <w:r w:rsidR="00DA13DE" w:rsidRPr="006E709F">
        <w:t> </w:t>
      </w:r>
      <w:r w:rsidRPr="006E709F">
        <w:t>1594</w:t>
      </w:r>
    </w:p>
    <w:p w:rsidR="00E8131B" w:rsidRPr="006E709F" w:rsidRDefault="00E8131B" w:rsidP="00F925D9">
      <w:pPr>
        <w:pStyle w:val="Item"/>
        <w:keepLines w:val="0"/>
      </w:pPr>
      <w:r w:rsidRPr="006E709F">
        <w:t>After “apply”, insert “on and after 1</w:t>
      </w:r>
      <w:r w:rsidR="00DA13DE" w:rsidRPr="006E709F">
        <w:t> </w:t>
      </w:r>
      <w:r w:rsidRPr="006E709F">
        <w:t>September 2017”.</w:t>
      </w:r>
    </w:p>
    <w:p w:rsidR="00E8131B" w:rsidRPr="006E709F" w:rsidRDefault="00E8131B" w:rsidP="00A52BA3">
      <w:pPr>
        <w:pStyle w:val="ItemHead"/>
      </w:pPr>
      <w:r w:rsidRPr="006E709F">
        <w:t>14  Subsection</w:t>
      </w:r>
      <w:r w:rsidR="00DA13DE" w:rsidRPr="006E709F">
        <w:t> </w:t>
      </w:r>
      <w:r w:rsidRPr="006E709F">
        <w:t>1596(1)</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15  Sections</w:t>
      </w:r>
      <w:r w:rsidR="00DA13DE" w:rsidRPr="006E709F">
        <w:t> </w:t>
      </w:r>
      <w:r w:rsidRPr="006E709F">
        <w:t>1597, 1598 and 1599</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16  At the end of section</w:t>
      </w:r>
      <w:r w:rsidR="00DA13DE" w:rsidRPr="006E709F">
        <w:t> </w:t>
      </w:r>
      <w:r w:rsidRPr="006E709F">
        <w:t>1601</w:t>
      </w:r>
    </w:p>
    <w:p w:rsidR="00E8131B" w:rsidRPr="006E709F" w:rsidRDefault="00E8131B" w:rsidP="00F925D9">
      <w:pPr>
        <w:pStyle w:val="Item"/>
        <w:keepLines w:val="0"/>
      </w:pPr>
      <w:r w:rsidRPr="006E709F">
        <w:t>Add “on and after 1</w:t>
      </w:r>
      <w:r w:rsidR="00DA13DE" w:rsidRPr="006E709F">
        <w:t> </w:t>
      </w:r>
      <w:r w:rsidRPr="006E709F">
        <w:t>September 2017”.</w:t>
      </w:r>
    </w:p>
    <w:p w:rsidR="00E8131B" w:rsidRPr="006E709F" w:rsidRDefault="00E8131B" w:rsidP="00A52BA3">
      <w:pPr>
        <w:pStyle w:val="ItemHead"/>
      </w:pPr>
      <w:r w:rsidRPr="006E709F">
        <w:t>17  Section</w:t>
      </w:r>
      <w:r w:rsidR="00DA13DE" w:rsidRPr="006E709F">
        <w:t> </w:t>
      </w:r>
      <w:r w:rsidRPr="006E709F">
        <w:t>1604</w:t>
      </w:r>
    </w:p>
    <w:p w:rsidR="00E8131B" w:rsidRPr="006E709F" w:rsidRDefault="00E8131B" w:rsidP="00F925D9">
      <w:pPr>
        <w:pStyle w:val="Item"/>
        <w:keepLines w:val="0"/>
      </w:pPr>
      <w:r w:rsidRPr="006E709F">
        <w:t>Omit “2017”, insert “2018”.</w:t>
      </w:r>
    </w:p>
    <w:p w:rsidR="00E8131B" w:rsidRPr="006E709F" w:rsidRDefault="00E8131B" w:rsidP="00A52BA3">
      <w:pPr>
        <w:pStyle w:val="ItemHead"/>
      </w:pPr>
      <w:r w:rsidRPr="006E709F">
        <w:t>18  Section</w:t>
      </w:r>
      <w:r w:rsidR="00DA13DE" w:rsidRPr="006E709F">
        <w:t> </w:t>
      </w:r>
      <w:r w:rsidRPr="006E709F">
        <w:t>1606</w:t>
      </w:r>
    </w:p>
    <w:p w:rsidR="00E8131B" w:rsidRPr="006E709F" w:rsidRDefault="00E8131B" w:rsidP="00F925D9">
      <w:pPr>
        <w:pStyle w:val="Item"/>
        <w:keepLines w:val="0"/>
      </w:pPr>
      <w:r w:rsidRPr="006E709F">
        <w:t>After “apply”, insert “on and after 1</w:t>
      </w:r>
      <w:r w:rsidR="00DA13DE" w:rsidRPr="006E709F">
        <w:t> </w:t>
      </w:r>
      <w:r w:rsidRPr="006E709F">
        <w:t>September 2017”.</w:t>
      </w:r>
    </w:p>
    <w:p w:rsidR="00E8131B" w:rsidRPr="006E709F" w:rsidRDefault="00E8131B" w:rsidP="00A52BA3">
      <w:pPr>
        <w:pStyle w:val="ItemHead"/>
      </w:pPr>
      <w:r w:rsidRPr="006E709F">
        <w:t>19  Section</w:t>
      </w:r>
      <w:r w:rsidR="00DA13DE" w:rsidRPr="006E709F">
        <w:t> </w:t>
      </w:r>
      <w:r w:rsidRPr="006E709F">
        <w:t>1606</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20  Section</w:t>
      </w:r>
      <w:r w:rsidR="00DA13DE" w:rsidRPr="006E709F">
        <w:t> </w:t>
      </w:r>
      <w:r w:rsidRPr="006E709F">
        <w:t>1612</w:t>
      </w:r>
    </w:p>
    <w:p w:rsidR="00E8131B" w:rsidRPr="006E709F" w:rsidRDefault="00E8131B" w:rsidP="00F925D9">
      <w:pPr>
        <w:pStyle w:val="Item"/>
        <w:keepLines w:val="0"/>
      </w:pPr>
      <w:r w:rsidRPr="006E709F">
        <w:t>After “apply”, insert “on and after 1</w:t>
      </w:r>
      <w:r w:rsidR="00DA13DE" w:rsidRPr="006E709F">
        <w:t> </w:t>
      </w:r>
      <w:r w:rsidRPr="006E709F">
        <w:t>September 2017”.</w:t>
      </w:r>
    </w:p>
    <w:p w:rsidR="00E8131B" w:rsidRPr="006E709F" w:rsidRDefault="00E8131B" w:rsidP="00A52BA3">
      <w:pPr>
        <w:pStyle w:val="ItemHead"/>
      </w:pPr>
      <w:r w:rsidRPr="006E709F">
        <w:t>21  Section</w:t>
      </w:r>
      <w:r w:rsidR="00DA13DE" w:rsidRPr="006E709F">
        <w:t> </w:t>
      </w:r>
      <w:r w:rsidRPr="006E709F">
        <w:t>1612</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22  Section</w:t>
      </w:r>
      <w:r w:rsidR="00DA13DE" w:rsidRPr="006E709F">
        <w:t> </w:t>
      </w:r>
      <w:r w:rsidRPr="006E709F">
        <w:t>1613</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23  Section</w:t>
      </w:r>
      <w:r w:rsidR="00DA13DE" w:rsidRPr="006E709F">
        <w:t> </w:t>
      </w:r>
      <w:r w:rsidRPr="006E709F">
        <w:t>1615</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24  Section</w:t>
      </w:r>
      <w:r w:rsidR="00DA13DE" w:rsidRPr="006E709F">
        <w:t> </w:t>
      </w:r>
      <w:r w:rsidRPr="006E709F">
        <w:t>1615</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25  Subsection</w:t>
      </w:r>
      <w:r w:rsidR="00DA13DE" w:rsidRPr="006E709F">
        <w:t> </w:t>
      </w:r>
      <w:r w:rsidRPr="006E709F">
        <w:t>1618(2)</w:t>
      </w:r>
    </w:p>
    <w:p w:rsidR="00E8131B" w:rsidRPr="006E709F" w:rsidRDefault="00E8131B" w:rsidP="00F925D9">
      <w:pPr>
        <w:pStyle w:val="Item"/>
        <w:keepLines w:val="0"/>
      </w:pPr>
      <w:r w:rsidRPr="006E709F">
        <w:t>After “apply”, insert “on and after 1</w:t>
      </w:r>
      <w:r w:rsidR="00DA13DE" w:rsidRPr="006E709F">
        <w:t> </w:t>
      </w:r>
      <w:r w:rsidRPr="006E709F">
        <w:t>September 2017”.</w:t>
      </w:r>
    </w:p>
    <w:p w:rsidR="00E8131B" w:rsidRPr="006E709F" w:rsidRDefault="00E8131B" w:rsidP="00A52BA3">
      <w:pPr>
        <w:pStyle w:val="ItemHead"/>
      </w:pPr>
      <w:r w:rsidRPr="006E709F">
        <w:t>26  Subsection</w:t>
      </w:r>
      <w:r w:rsidR="00DA13DE" w:rsidRPr="006E709F">
        <w:t> </w:t>
      </w:r>
      <w:r w:rsidRPr="006E709F">
        <w:t>1618(2)</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27  Subsection</w:t>
      </w:r>
      <w:r w:rsidR="00DA13DE" w:rsidRPr="006E709F">
        <w:t> </w:t>
      </w:r>
      <w:r w:rsidRPr="006E709F">
        <w:t>1618(3)</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28  Subsection</w:t>
      </w:r>
      <w:r w:rsidR="00DA13DE" w:rsidRPr="006E709F">
        <w:t> </w:t>
      </w:r>
      <w:r w:rsidRPr="006E709F">
        <w:t>1618(3)</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29  Subsection</w:t>
      </w:r>
      <w:r w:rsidR="00DA13DE" w:rsidRPr="006E709F">
        <w:t> </w:t>
      </w:r>
      <w:r w:rsidRPr="006E709F">
        <w:t>1618(4)</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30  Subsection</w:t>
      </w:r>
      <w:r w:rsidR="00DA13DE" w:rsidRPr="006E709F">
        <w:t> </w:t>
      </w:r>
      <w:r w:rsidRPr="006E709F">
        <w:t>1618(4)</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31  Subsection</w:t>
      </w:r>
      <w:r w:rsidR="00DA13DE" w:rsidRPr="006E709F">
        <w:t> </w:t>
      </w:r>
      <w:r w:rsidRPr="006E709F">
        <w:t>1618(6)</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32  Subsection</w:t>
      </w:r>
      <w:r w:rsidR="00DA13DE" w:rsidRPr="006E709F">
        <w:t> </w:t>
      </w:r>
      <w:r w:rsidRPr="006E709F">
        <w:t>1618(6)</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33  Subsection</w:t>
      </w:r>
      <w:r w:rsidR="00DA13DE" w:rsidRPr="006E709F">
        <w:t> </w:t>
      </w:r>
      <w:r w:rsidRPr="006E709F">
        <w:t>1619(2)</w:t>
      </w:r>
    </w:p>
    <w:p w:rsidR="00E8131B" w:rsidRPr="006E709F" w:rsidRDefault="00E8131B" w:rsidP="00F925D9">
      <w:pPr>
        <w:pStyle w:val="Item"/>
        <w:keepLines w:val="0"/>
      </w:pPr>
      <w:r w:rsidRPr="006E709F">
        <w:t>After “apply”, insert “on and after 1</w:t>
      </w:r>
      <w:r w:rsidR="00DA13DE" w:rsidRPr="006E709F">
        <w:t> </w:t>
      </w:r>
      <w:r w:rsidRPr="006E709F">
        <w:t>September 2017”.</w:t>
      </w:r>
    </w:p>
    <w:p w:rsidR="00E8131B" w:rsidRPr="006E709F" w:rsidRDefault="00E8131B" w:rsidP="00A52BA3">
      <w:pPr>
        <w:pStyle w:val="ItemHead"/>
      </w:pPr>
      <w:r w:rsidRPr="006E709F">
        <w:t>34  Subsection</w:t>
      </w:r>
      <w:r w:rsidR="00DA13DE" w:rsidRPr="006E709F">
        <w:t> </w:t>
      </w:r>
      <w:r w:rsidRPr="006E709F">
        <w:t>1619(2)</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35  Subsection</w:t>
      </w:r>
      <w:r w:rsidR="00DA13DE" w:rsidRPr="006E709F">
        <w:t> </w:t>
      </w:r>
      <w:r w:rsidRPr="006E709F">
        <w:t>1619(4)</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36  Subsection</w:t>
      </w:r>
      <w:r w:rsidR="00DA13DE" w:rsidRPr="006E709F">
        <w:t> </w:t>
      </w:r>
      <w:r w:rsidRPr="006E709F">
        <w:t>1619(4)</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37  Section</w:t>
      </w:r>
      <w:r w:rsidR="00DA13DE" w:rsidRPr="006E709F">
        <w:t> </w:t>
      </w:r>
      <w:r w:rsidRPr="006E709F">
        <w:t>1620</w:t>
      </w:r>
    </w:p>
    <w:p w:rsidR="00E8131B" w:rsidRPr="006E709F" w:rsidRDefault="00E8131B" w:rsidP="00F925D9">
      <w:pPr>
        <w:pStyle w:val="Item"/>
        <w:keepLines w:val="0"/>
      </w:pPr>
      <w:r w:rsidRPr="006E709F">
        <w:t>After “applies”, insert “on and after 1</w:t>
      </w:r>
      <w:r w:rsidR="00DA13DE" w:rsidRPr="006E709F">
        <w:t> </w:t>
      </w:r>
      <w:r w:rsidRPr="006E709F">
        <w:t>September 2017”.</w:t>
      </w:r>
    </w:p>
    <w:p w:rsidR="00E8131B" w:rsidRPr="006E709F" w:rsidRDefault="00E8131B" w:rsidP="00A52BA3">
      <w:pPr>
        <w:pStyle w:val="ItemHead"/>
      </w:pPr>
      <w:r w:rsidRPr="006E709F">
        <w:t>38  Section</w:t>
      </w:r>
      <w:r w:rsidR="00DA13DE" w:rsidRPr="006E709F">
        <w:t> </w:t>
      </w:r>
      <w:r w:rsidRPr="006E709F">
        <w:t>1620</w:t>
      </w:r>
    </w:p>
    <w:p w:rsidR="00E8131B" w:rsidRPr="006E709F" w:rsidRDefault="00E8131B" w:rsidP="00F925D9">
      <w:pPr>
        <w:pStyle w:val="Item"/>
        <w:keepLines w:val="0"/>
      </w:pPr>
      <w:r w:rsidRPr="006E709F">
        <w:t>Omit “the commencement day”, substitute “that day”.</w:t>
      </w:r>
    </w:p>
    <w:p w:rsidR="00E8131B" w:rsidRPr="006E709F" w:rsidRDefault="00E8131B" w:rsidP="00A52BA3">
      <w:pPr>
        <w:pStyle w:val="ItemHead"/>
      </w:pPr>
      <w:r w:rsidRPr="006E709F">
        <w:t>39  Section</w:t>
      </w:r>
      <w:r w:rsidR="00DA13DE" w:rsidRPr="006E709F">
        <w:t> </w:t>
      </w:r>
      <w:r w:rsidRPr="006E709F">
        <w:t>1623</w:t>
      </w:r>
    </w:p>
    <w:p w:rsidR="00E8131B" w:rsidRPr="006E709F" w:rsidRDefault="00E8131B" w:rsidP="00F925D9">
      <w:pPr>
        <w:pStyle w:val="Item"/>
        <w:keepLines w:val="0"/>
      </w:pPr>
      <w:r w:rsidRPr="006E709F">
        <w:t>Repeal the section, substitute:</w:t>
      </w:r>
    </w:p>
    <w:p w:rsidR="00E8131B" w:rsidRPr="006E709F" w:rsidRDefault="00E8131B" w:rsidP="00A52BA3">
      <w:pPr>
        <w:pStyle w:val="Specials"/>
      </w:pPr>
      <w:r w:rsidRPr="006E709F">
        <w:t>1623  Transitional rules for controller returns</w:t>
      </w:r>
    </w:p>
    <w:p w:rsidR="00E8131B" w:rsidRPr="006E709F" w:rsidRDefault="00E8131B" w:rsidP="00E8131B">
      <w:pPr>
        <w:pStyle w:val="subsection"/>
      </w:pPr>
      <w:r w:rsidRPr="006E709F">
        <w:tab/>
        <w:t>(1)</w:t>
      </w:r>
      <w:r w:rsidRPr="006E709F">
        <w:tab/>
        <w:t>Section</w:t>
      </w:r>
      <w:r w:rsidR="00DA13DE" w:rsidRPr="006E709F">
        <w:t> </w:t>
      </w:r>
      <w:r w:rsidRPr="006E709F">
        <w:t>422A, as inserted by Schedule</w:t>
      </w:r>
      <w:r w:rsidR="00DA13DE" w:rsidRPr="006E709F">
        <w:t> </w:t>
      </w:r>
      <w:r w:rsidRPr="006E709F">
        <w:t xml:space="preserve">2 to the </w:t>
      </w:r>
      <w:r w:rsidRPr="006E709F">
        <w:rPr>
          <w:i/>
        </w:rPr>
        <w:t>Insolvency Law Reform Act 2016</w:t>
      </w:r>
      <w:r w:rsidRPr="006E709F">
        <w:t>, applies in relation to a person if the person first began to be a controller of the property of a corporation on or after 1</w:t>
      </w:r>
      <w:r w:rsidR="00DA13DE" w:rsidRPr="006E709F">
        <w:t> </w:t>
      </w:r>
      <w:r w:rsidRPr="006E709F">
        <w:t>September 2017.</w:t>
      </w:r>
    </w:p>
    <w:p w:rsidR="00E8131B" w:rsidRPr="006E709F" w:rsidRDefault="00E8131B" w:rsidP="00E8131B">
      <w:pPr>
        <w:pStyle w:val="subsection"/>
      </w:pPr>
      <w:r w:rsidRPr="006E709F">
        <w:tab/>
        <w:t>(2)</w:t>
      </w:r>
      <w:r w:rsidRPr="006E709F">
        <w:tab/>
        <w:t>Section</w:t>
      </w:r>
      <w:r w:rsidR="00DA13DE" w:rsidRPr="006E709F">
        <w:t> </w:t>
      </w:r>
      <w:r w:rsidRPr="006E709F">
        <w:t>422A, as inserted by Schedule</w:t>
      </w:r>
      <w:r w:rsidR="00DA13DE" w:rsidRPr="006E709F">
        <w:t> </w:t>
      </w:r>
      <w:r w:rsidRPr="006E709F">
        <w:t xml:space="preserve">2 to the </w:t>
      </w:r>
      <w:r w:rsidRPr="006E709F">
        <w:rPr>
          <w:i/>
        </w:rPr>
        <w:t>Insolvency Law Reform Act 2016</w:t>
      </w:r>
      <w:r w:rsidRPr="006E709F">
        <w:t>, also applies in relation to a person if the person first began to be the controller of the property of a corporation before 1</w:t>
      </w:r>
      <w:r w:rsidR="00DA13DE" w:rsidRPr="006E709F">
        <w:t> </w:t>
      </w:r>
      <w:r w:rsidRPr="006E709F">
        <w:t>September 2017 as if the reference in that section to a control return year for the controller were a reference to:</w:t>
      </w:r>
    </w:p>
    <w:p w:rsidR="00E8131B" w:rsidRPr="006E709F" w:rsidRDefault="00E8131B" w:rsidP="00E8131B">
      <w:pPr>
        <w:pStyle w:val="paragraph"/>
      </w:pPr>
      <w:r w:rsidRPr="006E709F">
        <w:tab/>
        <w:t>(a)</w:t>
      </w:r>
      <w:r w:rsidRPr="006E709F">
        <w:tab/>
        <w:t>the first full year starting on or after 1</w:t>
      </w:r>
      <w:r w:rsidR="00DA13DE" w:rsidRPr="006E709F">
        <w:t> </w:t>
      </w:r>
      <w:r w:rsidRPr="006E709F">
        <w:t>September 2017 that is an anniversary of when the person first began to be the controller of the property of a corporation; and</w:t>
      </w:r>
    </w:p>
    <w:p w:rsidR="00E8131B" w:rsidRPr="006E709F" w:rsidRDefault="00E8131B" w:rsidP="00E8131B">
      <w:pPr>
        <w:pStyle w:val="paragraph"/>
      </w:pPr>
      <w:r w:rsidRPr="006E709F">
        <w:tab/>
        <w:t>(b)</w:t>
      </w:r>
      <w:r w:rsidRPr="006E709F">
        <w:tab/>
        <w:t>each subsequent period of 12 months.</w:t>
      </w:r>
    </w:p>
    <w:p w:rsidR="00E8131B" w:rsidRPr="006E709F" w:rsidRDefault="00E8131B" w:rsidP="00E8131B">
      <w:pPr>
        <w:pStyle w:val="subsection"/>
      </w:pPr>
      <w:r w:rsidRPr="006E709F">
        <w:tab/>
        <w:t>(3)</w:t>
      </w:r>
      <w:r w:rsidRPr="006E709F">
        <w:tab/>
        <w:t>Despite the repeal of subsections</w:t>
      </w:r>
      <w:r w:rsidR="00DA13DE" w:rsidRPr="006E709F">
        <w:t> </w:t>
      </w:r>
      <w:r w:rsidRPr="006E709F">
        <w:t>432(1) and (1A) of the old Act by Schedule</w:t>
      </w:r>
      <w:r w:rsidR="00DA13DE" w:rsidRPr="006E709F">
        <w:t> </w:t>
      </w:r>
      <w:r w:rsidRPr="006E709F">
        <w:t xml:space="preserve">2 to the </w:t>
      </w:r>
      <w:r w:rsidRPr="006E709F">
        <w:rPr>
          <w:i/>
        </w:rPr>
        <w:t>Insolvency Law Reform Act 2016</w:t>
      </w:r>
      <w:r w:rsidRPr="006E709F">
        <w:t>, those subsections continue to apply, in relation to a controller of a corporation appointed before 1</w:t>
      </w:r>
      <w:r w:rsidR="00DA13DE" w:rsidRPr="006E709F">
        <w:t> </w:t>
      </w:r>
      <w:r w:rsidRPr="006E709F">
        <w:t>September 2017:</w:t>
      </w:r>
    </w:p>
    <w:p w:rsidR="00E8131B" w:rsidRPr="006E709F" w:rsidRDefault="00E8131B" w:rsidP="00E8131B">
      <w:pPr>
        <w:pStyle w:val="paragraph"/>
      </w:pPr>
      <w:r w:rsidRPr="006E709F">
        <w:tab/>
        <w:t>(a)</w:t>
      </w:r>
      <w:r w:rsidRPr="006E709F">
        <w:tab/>
        <w:t>if the end of the 6</w:t>
      </w:r>
      <w:r w:rsidR="000C4237">
        <w:noBreakHyphen/>
      </w:r>
      <w:r w:rsidRPr="006E709F">
        <w:t>month period referred to in paragraph</w:t>
      </w:r>
      <w:r w:rsidR="00DA13DE" w:rsidRPr="006E709F">
        <w:t> </w:t>
      </w:r>
      <w:r w:rsidRPr="006E709F">
        <w:t>432(1)(a) occurs before 1</w:t>
      </w:r>
      <w:r w:rsidR="00DA13DE" w:rsidRPr="006E709F">
        <w:t> </w:t>
      </w:r>
      <w:r w:rsidRPr="006E709F">
        <w:t>March 2018—in relation to that period; and</w:t>
      </w:r>
    </w:p>
    <w:p w:rsidR="00E8131B" w:rsidRPr="006E709F" w:rsidRDefault="00E8131B" w:rsidP="00E8131B">
      <w:pPr>
        <w:pStyle w:val="paragraph"/>
      </w:pPr>
      <w:r w:rsidRPr="006E709F">
        <w:tab/>
        <w:t>(b)</w:t>
      </w:r>
      <w:r w:rsidRPr="006E709F">
        <w:tab/>
        <w:t>if the end of that period is not an anniversary of the administrator’s appointment—in relation to the subsequent 6</w:t>
      </w:r>
      <w:r w:rsidR="000C4237">
        <w:noBreakHyphen/>
      </w:r>
      <w:r w:rsidRPr="006E709F">
        <w:t>month period.</w:t>
      </w:r>
    </w:p>
    <w:p w:rsidR="00E8131B" w:rsidRPr="006E709F" w:rsidRDefault="00E8131B" w:rsidP="00E8131B">
      <w:pPr>
        <w:pStyle w:val="subsection"/>
      </w:pPr>
      <w:r w:rsidRPr="006E709F">
        <w:tab/>
        <w:t>(4)</w:t>
      </w:r>
      <w:r w:rsidRPr="006E709F">
        <w:tab/>
        <w:t>To avoid doubt, despite the repeal of subsections</w:t>
      </w:r>
      <w:r w:rsidR="00DA13DE" w:rsidRPr="006E709F">
        <w:t> </w:t>
      </w:r>
      <w:r w:rsidRPr="006E709F">
        <w:t>432(1) and (1A) of the old Act by Schedule</w:t>
      </w:r>
      <w:r w:rsidR="00DA13DE" w:rsidRPr="006E709F">
        <w:t> </w:t>
      </w:r>
      <w:r w:rsidRPr="006E709F">
        <w:t>2 to the</w:t>
      </w:r>
      <w:r w:rsidRPr="006E709F">
        <w:rPr>
          <w:i/>
        </w:rPr>
        <w:t xml:space="preserve"> Insolvency Law Reform Act 2016</w:t>
      </w:r>
      <w:r w:rsidRPr="006E709F">
        <w:t>, audits may be continued in relation to accounts lodged under those provisions as if the old Act continued to apply.</w:t>
      </w:r>
    </w:p>
    <w:p w:rsidR="00E8131B" w:rsidRPr="006E709F" w:rsidRDefault="00E8131B" w:rsidP="00A52BA3">
      <w:pPr>
        <w:pStyle w:val="Specials"/>
      </w:pPr>
      <w:r w:rsidRPr="006E709F">
        <w:t>1623A  Transitional rules for end of control returns</w:t>
      </w:r>
    </w:p>
    <w:p w:rsidR="00E8131B" w:rsidRPr="006E709F" w:rsidRDefault="00E8131B" w:rsidP="00E8131B">
      <w:pPr>
        <w:pStyle w:val="subsection"/>
      </w:pPr>
      <w:r w:rsidRPr="006E709F">
        <w:tab/>
        <w:t>(1)</w:t>
      </w:r>
      <w:r w:rsidRPr="006E709F">
        <w:tab/>
        <w:t>Section</w:t>
      </w:r>
      <w:r w:rsidR="00DA13DE" w:rsidRPr="006E709F">
        <w:t> </w:t>
      </w:r>
      <w:r w:rsidRPr="006E709F">
        <w:t>422B, as inserted by Schedule</w:t>
      </w:r>
      <w:r w:rsidR="00DA13DE" w:rsidRPr="006E709F">
        <w:t> </w:t>
      </w:r>
      <w:r w:rsidRPr="006E709F">
        <w:t xml:space="preserve">2 to the </w:t>
      </w:r>
      <w:r w:rsidRPr="006E709F">
        <w:rPr>
          <w:i/>
        </w:rPr>
        <w:t>Insolvency Law Reform Act 2016</w:t>
      </w:r>
      <w:r w:rsidRPr="006E709F">
        <w:t>, applies in relation to a control of the property of a corporation that ends on or after 1</w:t>
      </w:r>
      <w:r w:rsidR="00DA13DE" w:rsidRPr="006E709F">
        <w:t> </w:t>
      </w:r>
      <w:r w:rsidRPr="006E709F">
        <w:t>September 2017.</w:t>
      </w:r>
    </w:p>
    <w:p w:rsidR="00E8131B" w:rsidRPr="006E709F" w:rsidRDefault="00E8131B" w:rsidP="00E8131B">
      <w:pPr>
        <w:pStyle w:val="subsection"/>
      </w:pPr>
      <w:r w:rsidRPr="006E709F">
        <w:tab/>
        <w:t>(2)</w:t>
      </w:r>
      <w:r w:rsidRPr="006E709F">
        <w:tab/>
        <w:t>Despite the repeal of subsections</w:t>
      </w:r>
      <w:r w:rsidR="00DA13DE" w:rsidRPr="006E709F">
        <w:t> </w:t>
      </w:r>
      <w:r w:rsidRPr="006E709F">
        <w:t>432(1) and (1A) of the old Act by Schedule</w:t>
      </w:r>
      <w:r w:rsidR="00DA13DE" w:rsidRPr="006E709F">
        <w:t> </w:t>
      </w:r>
      <w:r w:rsidRPr="006E709F">
        <w:t xml:space="preserve">2 to the </w:t>
      </w:r>
      <w:r w:rsidRPr="006E709F">
        <w:rPr>
          <w:i/>
        </w:rPr>
        <w:t>Insolvency Law Reform Act 2016</w:t>
      </w:r>
      <w:r w:rsidRPr="006E709F">
        <w:t>, those subsections continue to apply, in relation to controllers that cease to be a controller of property of a corporation, if the cessation occurs before 1</w:t>
      </w:r>
      <w:r w:rsidR="00DA13DE" w:rsidRPr="006E709F">
        <w:t> </w:t>
      </w:r>
      <w:r w:rsidRPr="006E709F">
        <w:t>September 2017.</w:t>
      </w:r>
    </w:p>
    <w:p w:rsidR="00E8131B" w:rsidRPr="006E709F" w:rsidRDefault="00E8131B" w:rsidP="00A52BA3">
      <w:pPr>
        <w:pStyle w:val="ItemHead"/>
      </w:pPr>
      <w:r w:rsidRPr="006E709F">
        <w:t>40  Subsection</w:t>
      </w:r>
      <w:r w:rsidR="00DA13DE" w:rsidRPr="006E709F">
        <w:t> </w:t>
      </w:r>
      <w:r w:rsidRPr="006E709F">
        <w:t>1627(3)</w:t>
      </w:r>
    </w:p>
    <w:p w:rsidR="00E8131B" w:rsidRPr="006E709F" w:rsidRDefault="00E8131B" w:rsidP="00A52BA3">
      <w:pPr>
        <w:pStyle w:val="Item"/>
      </w:pPr>
      <w:r w:rsidRPr="006E709F">
        <w:t>After “apply”, insert “on and after 1</w:t>
      </w:r>
      <w:r w:rsidR="00DA13DE" w:rsidRPr="006E709F">
        <w:t> </w:t>
      </w:r>
      <w:r w:rsidRPr="006E709F">
        <w:t>September 2017”.</w:t>
      </w:r>
    </w:p>
    <w:p w:rsidR="009E74E8" w:rsidRPr="006E709F" w:rsidRDefault="009E74E8" w:rsidP="00492787">
      <w:pPr>
        <w:sectPr w:rsidR="009E74E8" w:rsidRPr="006E709F" w:rsidSect="0052661F">
          <w:headerReference w:type="even" r:id="rId69"/>
          <w:headerReference w:type="default" r:id="rId70"/>
          <w:footerReference w:type="even" r:id="rId71"/>
          <w:footerReference w:type="default" r:id="rId72"/>
          <w:headerReference w:type="first" r:id="rId73"/>
          <w:footerReference w:type="first" r:id="rId74"/>
          <w:pgSz w:w="11907" w:h="16839" w:code="9"/>
          <w:pgMar w:top="2325" w:right="1797" w:bottom="1440" w:left="1797" w:header="720" w:footer="709" w:gutter="0"/>
          <w:cols w:space="720"/>
          <w:docGrid w:linePitch="299"/>
        </w:sectPr>
      </w:pPr>
    </w:p>
    <w:p w:rsidR="00492787" w:rsidRPr="006E709F" w:rsidRDefault="00492787" w:rsidP="00492787"/>
    <w:sectPr w:rsidR="00492787" w:rsidRPr="006E709F" w:rsidSect="0052661F">
      <w:headerReference w:type="even" r:id="rId75"/>
      <w:headerReference w:type="default" r:id="rId76"/>
      <w:footerReference w:type="even" r:id="rId77"/>
      <w:footerReference w:type="default" r:id="rId78"/>
      <w:headerReference w:type="first" r:id="rId79"/>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FF" w:rsidRDefault="00FE42FF">
      <w:r>
        <w:separator/>
      </w:r>
    </w:p>
  </w:endnote>
  <w:endnote w:type="continuationSeparator" w:id="0">
    <w:p w:rsidR="00FE42FF" w:rsidRDefault="00FE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E118F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r>
    <w:tr w:rsidR="00FE42FF" w:rsidRPr="00130F37" w:rsidTr="00E118FA">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Pr="00C648C9" w:rsidRDefault="00FE42FF" w:rsidP="00E118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61F">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61F">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2B0EA5" w:rsidRDefault="00FE42FF" w:rsidP="004B6E7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E42FF" w:rsidTr="00E118FA">
      <w:tc>
        <w:tcPr>
          <w:tcW w:w="947" w:type="pct"/>
        </w:tcPr>
        <w:p w:rsidR="00FE42FF" w:rsidRDefault="00FE42FF" w:rsidP="004B6E7C">
          <w:pPr>
            <w:spacing w:line="0" w:lineRule="atLeast"/>
            <w:rPr>
              <w:sz w:val="18"/>
            </w:rPr>
          </w:pPr>
        </w:p>
      </w:tc>
      <w:tc>
        <w:tcPr>
          <w:tcW w:w="3688" w:type="pct"/>
        </w:tcPr>
        <w:p w:rsidR="00FE42FF" w:rsidRDefault="00FE42FF" w:rsidP="004B6E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365" w:type="pct"/>
        </w:tcPr>
        <w:p w:rsidR="00FE42FF" w:rsidRDefault="00FE42FF" w:rsidP="004B6E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147</w:t>
          </w:r>
          <w:r w:rsidRPr="00ED79B6">
            <w:rPr>
              <w:i/>
              <w:sz w:val="18"/>
            </w:rPr>
            <w:fldChar w:fldCharType="end"/>
          </w:r>
        </w:p>
      </w:tc>
    </w:tr>
  </w:tbl>
  <w:p w:rsidR="00FE42FF" w:rsidRPr="00ED79B6" w:rsidRDefault="00FE42FF" w:rsidP="004B6E7C">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pPr>
      <w:pBdr>
        <w:top w:val="single" w:sz="6" w:space="1" w:color="auto"/>
      </w:pBdr>
      <w:rPr>
        <w:sz w:val="18"/>
      </w:rPr>
    </w:pPr>
  </w:p>
  <w:p w:rsidR="00FE42FF" w:rsidRDefault="00FE42FF">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Corporations Regulations 2001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147</w:t>
    </w:r>
    <w:r>
      <w:rPr>
        <w:i/>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rsidP="00C7136B">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C648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583C00">
          <w:pPr>
            <w:rPr>
              <w:i/>
              <w:sz w:val="16"/>
              <w:szCs w:val="16"/>
            </w:rPr>
          </w:pPr>
        </w:p>
      </w:tc>
      <w:tc>
        <w:tcPr>
          <w:tcW w:w="3688" w:type="pct"/>
          <w:gridSpan w:val="3"/>
        </w:tcPr>
        <w:p w:rsidR="00FE42FF" w:rsidRPr="007B3B51" w:rsidRDefault="00FE42FF" w:rsidP="00583C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458" w:type="pct"/>
        </w:tcPr>
        <w:p w:rsidR="00FE42FF" w:rsidRPr="007B3B51" w:rsidRDefault="00FE42FF" w:rsidP="00583C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r>
    <w:tr w:rsidR="00FE42FF" w:rsidRPr="00130F37" w:rsidTr="00E118FA">
      <w:tc>
        <w:tcPr>
          <w:tcW w:w="1499" w:type="pct"/>
          <w:gridSpan w:val="2"/>
        </w:tcPr>
        <w:p w:rsidR="00FE42FF" w:rsidRPr="00130F37" w:rsidRDefault="00FE42FF" w:rsidP="00583C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583C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583C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Pr="008258B2" w:rsidRDefault="00FE42FF" w:rsidP="00C648C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59</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8258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583C00">
          <w:pPr>
            <w:rPr>
              <w:i/>
              <w:sz w:val="16"/>
              <w:szCs w:val="16"/>
            </w:rPr>
          </w:pPr>
        </w:p>
      </w:tc>
      <w:tc>
        <w:tcPr>
          <w:tcW w:w="3688" w:type="pct"/>
          <w:gridSpan w:val="3"/>
        </w:tcPr>
        <w:p w:rsidR="00FE42FF" w:rsidRPr="007B3B51" w:rsidRDefault="00FE42FF" w:rsidP="00583C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458" w:type="pct"/>
        </w:tcPr>
        <w:p w:rsidR="00FE42FF" w:rsidRPr="007B3B51" w:rsidRDefault="00FE42FF" w:rsidP="00583C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r>
    <w:tr w:rsidR="00FE42FF" w:rsidRPr="00130F37" w:rsidTr="00E118FA">
      <w:tc>
        <w:tcPr>
          <w:tcW w:w="1499" w:type="pct"/>
          <w:gridSpan w:val="2"/>
        </w:tcPr>
        <w:p w:rsidR="00FE42FF" w:rsidRPr="00130F37" w:rsidRDefault="00FE42FF" w:rsidP="00583C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583C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583C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Pr="008258B2" w:rsidRDefault="00FE42FF" w:rsidP="008258B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92</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93</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8258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583C00">
          <w:pPr>
            <w:rPr>
              <w:i/>
              <w:sz w:val="16"/>
              <w:szCs w:val="16"/>
            </w:rPr>
          </w:pPr>
        </w:p>
      </w:tc>
      <w:tc>
        <w:tcPr>
          <w:tcW w:w="3688" w:type="pct"/>
          <w:gridSpan w:val="3"/>
        </w:tcPr>
        <w:p w:rsidR="00FE42FF" w:rsidRPr="007B3B51" w:rsidRDefault="00FE42FF" w:rsidP="00583C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458" w:type="pct"/>
        </w:tcPr>
        <w:p w:rsidR="00FE42FF" w:rsidRPr="007B3B51" w:rsidRDefault="00FE42FF" w:rsidP="00583C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r>
    <w:tr w:rsidR="00FE42FF" w:rsidRPr="00130F37" w:rsidTr="00E118FA">
      <w:tc>
        <w:tcPr>
          <w:tcW w:w="1499" w:type="pct"/>
          <w:gridSpan w:val="2"/>
        </w:tcPr>
        <w:p w:rsidR="00FE42FF" w:rsidRPr="00130F37" w:rsidRDefault="00FE42FF" w:rsidP="00583C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583C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583C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Pr="00326DD7" w:rsidRDefault="00FE42FF" w:rsidP="008258B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136</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137</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326DD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583C00">
          <w:pPr>
            <w:rPr>
              <w:i/>
              <w:sz w:val="16"/>
              <w:szCs w:val="16"/>
            </w:rPr>
          </w:pPr>
        </w:p>
      </w:tc>
      <w:tc>
        <w:tcPr>
          <w:tcW w:w="3688" w:type="pct"/>
          <w:gridSpan w:val="3"/>
        </w:tcPr>
        <w:p w:rsidR="00FE42FF" w:rsidRPr="007B3B51" w:rsidRDefault="00FE42FF" w:rsidP="00583C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458" w:type="pct"/>
        </w:tcPr>
        <w:p w:rsidR="00FE42FF" w:rsidRPr="007B3B51" w:rsidRDefault="00FE42FF" w:rsidP="00583C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r>
    <w:tr w:rsidR="00FE42FF" w:rsidRPr="00130F37" w:rsidTr="00E118FA">
      <w:tc>
        <w:tcPr>
          <w:tcW w:w="1499" w:type="pct"/>
          <w:gridSpan w:val="2"/>
        </w:tcPr>
        <w:p w:rsidR="00FE42FF" w:rsidRPr="00130F37" w:rsidRDefault="00FE42FF" w:rsidP="00583C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583C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583C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Pr="006B1CAD" w:rsidRDefault="00FE42FF" w:rsidP="00326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ED79B6" w:rsidRDefault="00FE42FF" w:rsidP="00C7136B">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146</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2B0EA5" w:rsidRDefault="00FE42FF" w:rsidP="009E74E8">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E42FF" w:rsidTr="00E118FA">
      <w:tc>
        <w:tcPr>
          <w:tcW w:w="947" w:type="pct"/>
        </w:tcPr>
        <w:p w:rsidR="00FE42FF" w:rsidRDefault="00FE42FF" w:rsidP="009E74E8">
          <w:pPr>
            <w:spacing w:line="0" w:lineRule="atLeast"/>
            <w:rPr>
              <w:sz w:val="18"/>
            </w:rPr>
          </w:pPr>
        </w:p>
      </w:tc>
      <w:tc>
        <w:tcPr>
          <w:tcW w:w="3688" w:type="pct"/>
        </w:tcPr>
        <w:p w:rsidR="00FE42FF" w:rsidRDefault="00FE42FF" w:rsidP="009E74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365" w:type="pct"/>
        </w:tcPr>
        <w:p w:rsidR="00FE42FF" w:rsidRDefault="00FE42FF" w:rsidP="009E74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147</w:t>
          </w:r>
          <w:r w:rsidRPr="00ED79B6">
            <w:rPr>
              <w:i/>
              <w:sz w:val="18"/>
            </w:rPr>
            <w:fldChar w:fldCharType="end"/>
          </w:r>
        </w:p>
      </w:tc>
    </w:tr>
  </w:tbl>
  <w:p w:rsidR="00FE42FF" w:rsidRPr="00ED79B6" w:rsidRDefault="00FE42FF" w:rsidP="009E74E8">
    <w:pPr>
      <w:rPr>
        <w:i/>
        <w:sz w:val="18"/>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61F">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61F">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61F">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i/>
              <w:sz w:val="16"/>
              <w:szCs w:val="16"/>
            </w:rPr>
          </w:pP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61F">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E42FF" w:rsidRPr="00130F37" w:rsidTr="001D4C13">
      <w:tc>
        <w:tcPr>
          <w:tcW w:w="1499" w:type="pct"/>
          <w:gridSpan w:val="2"/>
        </w:tcPr>
        <w:p w:rsidR="00FE42FF" w:rsidRPr="00130F37" w:rsidRDefault="00FE42FF" w:rsidP="006F5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195</w:t>
          </w:r>
          <w:r w:rsidRPr="00130F37">
            <w:rPr>
              <w:sz w:val="16"/>
              <w:szCs w:val="16"/>
            </w:rPr>
            <w:fldChar w:fldCharType="end"/>
          </w:r>
        </w:p>
      </w:tc>
      <w:tc>
        <w:tcPr>
          <w:tcW w:w="1999" w:type="pct"/>
        </w:tcPr>
        <w:p w:rsidR="00FE42FF" w:rsidRPr="00130F37" w:rsidRDefault="00FE42FF" w:rsidP="006F5FE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01/03/2024</w:t>
          </w:r>
          <w:r w:rsidRPr="00130F37">
            <w:rPr>
              <w:sz w:val="16"/>
              <w:szCs w:val="16"/>
            </w:rPr>
            <w:fldChar w:fldCharType="end"/>
          </w:r>
        </w:p>
      </w:tc>
      <w:tc>
        <w:tcPr>
          <w:tcW w:w="1502" w:type="pct"/>
          <w:gridSpan w:val="2"/>
        </w:tcPr>
        <w:p w:rsidR="00FE42FF" w:rsidRPr="00130F37" w:rsidRDefault="00FE42FF" w:rsidP="006F5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06/03/2024</w:t>
          </w:r>
          <w:r w:rsidRPr="00130F37">
            <w:rPr>
              <w:sz w:val="16"/>
              <w:szCs w:val="16"/>
            </w:rPr>
            <w:fldChar w:fldCharType="end"/>
          </w:r>
        </w:p>
      </w:tc>
    </w:tr>
  </w:tbl>
  <w:p w:rsidR="00FE42FF" w:rsidRDefault="00FE42FF" w:rsidP="006F5FE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2B0EA5" w:rsidRDefault="00FE42FF" w:rsidP="004B6E7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E42FF" w:rsidTr="00E118FA">
      <w:tc>
        <w:tcPr>
          <w:tcW w:w="947" w:type="pct"/>
        </w:tcPr>
        <w:p w:rsidR="00FE42FF" w:rsidRDefault="00FE42FF" w:rsidP="004B6E7C">
          <w:pPr>
            <w:spacing w:line="0" w:lineRule="atLeast"/>
            <w:rPr>
              <w:sz w:val="18"/>
            </w:rPr>
          </w:pPr>
        </w:p>
      </w:tc>
      <w:tc>
        <w:tcPr>
          <w:tcW w:w="3688" w:type="pct"/>
        </w:tcPr>
        <w:p w:rsidR="00FE42FF" w:rsidRDefault="00FE42FF" w:rsidP="004B6E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365" w:type="pct"/>
        </w:tcPr>
        <w:p w:rsidR="00FE42FF" w:rsidRDefault="00FE42FF" w:rsidP="004B6E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147</w:t>
          </w:r>
          <w:r w:rsidRPr="00ED79B6">
            <w:rPr>
              <w:i/>
              <w:sz w:val="18"/>
            </w:rPr>
            <w:fldChar w:fldCharType="end"/>
          </w:r>
        </w:p>
      </w:tc>
    </w:tr>
  </w:tbl>
  <w:p w:rsidR="00FE42FF" w:rsidRPr="00ED79B6" w:rsidRDefault="00FE42FF" w:rsidP="004B6E7C">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7B3B51" w:rsidRDefault="00FE42FF" w:rsidP="006F5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E42FF" w:rsidRPr="007B3B51" w:rsidTr="00E118FA">
      <w:tc>
        <w:tcPr>
          <w:tcW w:w="854" w:type="pct"/>
        </w:tcPr>
        <w:p w:rsidR="00FE42FF" w:rsidRPr="007B3B51" w:rsidRDefault="00FE42FF" w:rsidP="006F5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rsidR="00FE42FF" w:rsidRPr="007B3B51" w:rsidRDefault="00FE42FF" w:rsidP="006F5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6148">
            <w:rPr>
              <w:i/>
              <w:noProof/>
              <w:sz w:val="16"/>
              <w:szCs w:val="16"/>
            </w:rPr>
            <w:t>Corporations Regulations 2001</w:t>
          </w:r>
          <w:r w:rsidRPr="007B3B51">
            <w:rPr>
              <w:i/>
              <w:sz w:val="16"/>
              <w:szCs w:val="16"/>
            </w:rPr>
            <w:fldChar w:fldCharType="end"/>
          </w:r>
        </w:p>
      </w:tc>
      <w:tc>
        <w:tcPr>
          <w:tcW w:w="458" w:type="pct"/>
        </w:tcPr>
        <w:p w:rsidR="00FE42FF" w:rsidRPr="007B3B51" w:rsidRDefault="00FE42FF" w:rsidP="006F5FE9">
          <w:pPr>
            <w:jc w:val="right"/>
            <w:rPr>
              <w:sz w:val="16"/>
              <w:szCs w:val="16"/>
            </w:rPr>
          </w:pPr>
        </w:p>
      </w:tc>
    </w:tr>
    <w:tr w:rsidR="00FE42FF" w:rsidRPr="0055472E" w:rsidTr="001D4C13">
      <w:tc>
        <w:tcPr>
          <w:tcW w:w="1499" w:type="pct"/>
          <w:gridSpan w:val="2"/>
        </w:tcPr>
        <w:p w:rsidR="00FE42FF" w:rsidRPr="0055472E" w:rsidRDefault="00FE42FF" w:rsidP="006F5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195</w:t>
          </w:r>
          <w:r w:rsidRPr="0055472E">
            <w:rPr>
              <w:sz w:val="16"/>
              <w:szCs w:val="16"/>
            </w:rPr>
            <w:fldChar w:fldCharType="end"/>
          </w:r>
        </w:p>
      </w:tc>
      <w:tc>
        <w:tcPr>
          <w:tcW w:w="1999" w:type="pct"/>
        </w:tcPr>
        <w:p w:rsidR="00FE42FF" w:rsidRPr="0055472E" w:rsidRDefault="00FE42FF" w:rsidP="006F5FE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01/03/2024</w:t>
          </w:r>
          <w:r w:rsidRPr="0055472E">
            <w:rPr>
              <w:sz w:val="16"/>
              <w:szCs w:val="16"/>
            </w:rPr>
            <w:fldChar w:fldCharType="end"/>
          </w:r>
        </w:p>
      </w:tc>
      <w:tc>
        <w:tcPr>
          <w:tcW w:w="1502" w:type="pct"/>
          <w:gridSpan w:val="2"/>
        </w:tcPr>
        <w:p w:rsidR="00FE42FF" w:rsidRPr="0055472E" w:rsidRDefault="00FE42FF" w:rsidP="006F5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06/03/2024</w:t>
          </w:r>
          <w:r w:rsidRPr="0055472E">
            <w:rPr>
              <w:sz w:val="16"/>
              <w:szCs w:val="16"/>
            </w:rPr>
            <w:fldChar w:fldCharType="end"/>
          </w:r>
        </w:p>
      </w:tc>
    </w:tr>
  </w:tbl>
  <w:p w:rsidR="00FE42FF" w:rsidRDefault="00FE42FF" w:rsidP="006F5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FF" w:rsidRDefault="00FE42FF">
      <w:r>
        <w:separator/>
      </w:r>
    </w:p>
  </w:footnote>
  <w:footnote w:type="continuationSeparator" w:id="0">
    <w:p w:rsidR="00FE42FF" w:rsidRDefault="00FE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rsidP="00C7136B">
    <w:pPr>
      <w:pStyle w:val="Header"/>
      <w:pBdr>
        <w:bottom w:val="single" w:sz="6" w:space="1" w:color="auto"/>
      </w:pBdr>
    </w:pPr>
  </w:p>
  <w:p w:rsidR="00FE42FF" w:rsidRDefault="00FE42FF" w:rsidP="00C7136B">
    <w:pPr>
      <w:pStyle w:val="Header"/>
      <w:pBdr>
        <w:bottom w:val="single" w:sz="6" w:space="1" w:color="auto"/>
      </w:pBdr>
    </w:pPr>
  </w:p>
  <w:p w:rsidR="00FE42FF" w:rsidRPr="001E77D2" w:rsidRDefault="00FE42FF" w:rsidP="00C7136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5C</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Conduct of auditor—relevant relationships</w:t>
    </w:r>
    <w:r w:rsidRPr="00D675F1">
      <w:rPr>
        <w:sz w:val="20"/>
      </w:rPr>
      <w:fldChar w:fldCharType="end"/>
    </w:r>
  </w:p>
  <w:p w:rsidR="00FE42FF" w:rsidRPr="00D675F1" w:rsidRDefault="00FE42FF">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FE42FF" w:rsidRPr="00D675F1" w:rsidRDefault="00FE42FF">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FE42FF" w:rsidRPr="00D675F1" w:rsidRDefault="00FE42FF">
    <w:pPr>
      <w:rPr>
        <w:b/>
      </w:rPr>
    </w:pPr>
  </w:p>
  <w:p w:rsidR="00FE42FF" w:rsidRPr="00E118FA" w:rsidRDefault="00FE42FF" w:rsidP="00E118FA">
    <w:pPr>
      <w:pBdr>
        <w:bottom w:val="single" w:sz="6" w:space="1" w:color="auto"/>
      </w:pBdr>
      <w:spacing w:after="120"/>
      <w:rPr>
        <w:sz w:val="24"/>
      </w:rPr>
    </w:pPr>
    <w:r w:rsidRPr="00E118FA">
      <w:rPr>
        <w:sz w:val="24"/>
      </w:rPr>
      <w:t xml:space="preserve">Clause </w:t>
    </w:r>
    <w:r w:rsidRPr="00E118FA">
      <w:rPr>
        <w:sz w:val="24"/>
      </w:rPr>
      <w:fldChar w:fldCharType="begin"/>
    </w:r>
    <w:r w:rsidRPr="00E118FA">
      <w:rPr>
        <w:sz w:val="24"/>
      </w:rPr>
      <w:instrText xml:space="preserve"> STYLEREF CharSectno </w:instrText>
    </w:r>
    <w:r w:rsidRPr="00E118FA">
      <w:rPr>
        <w:sz w:val="24"/>
      </w:rPr>
      <w:fldChar w:fldCharType="separate"/>
    </w:r>
    <w:r w:rsidR="00C76148">
      <w:rPr>
        <w:noProof/>
        <w:sz w:val="24"/>
      </w:rPr>
      <w:t>1</w:t>
    </w:r>
    <w:r w:rsidRPr="00E118FA">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Conduct of auditor—relevant relationships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5C</w:t>
    </w:r>
    <w:r w:rsidRPr="00D675F1">
      <w:rPr>
        <w:b/>
        <w:sz w:val="20"/>
      </w:rPr>
      <w:fldChar w:fldCharType="end"/>
    </w:r>
  </w:p>
  <w:p w:rsidR="00FE42FF" w:rsidRPr="00D675F1" w:rsidRDefault="00FE42FF">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FE42FF" w:rsidRPr="00D675F1" w:rsidRDefault="00FE42FF">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FE42FF" w:rsidRPr="00D675F1" w:rsidRDefault="00FE42FF">
    <w:pPr>
      <w:jc w:val="right"/>
      <w:rPr>
        <w:b/>
      </w:rPr>
    </w:pPr>
  </w:p>
  <w:p w:rsidR="00FE42FF" w:rsidRPr="00E118FA" w:rsidRDefault="00FE42FF" w:rsidP="00E118FA">
    <w:pPr>
      <w:pBdr>
        <w:bottom w:val="single" w:sz="6" w:space="1" w:color="auto"/>
      </w:pBdr>
      <w:spacing w:after="120"/>
      <w:jc w:val="right"/>
      <w:rPr>
        <w:sz w:val="24"/>
      </w:rPr>
    </w:pPr>
    <w:r w:rsidRPr="00E118FA">
      <w:rPr>
        <w:sz w:val="24"/>
      </w:rPr>
      <w:t xml:space="preserve">Clause </w:t>
    </w:r>
    <w:r w:rsidRPr="00E118FA">
      <w:rPr>
        <w:sz w:val="24"/>
      </w:rPr>
      <w:fldChar w:fldCharType="begin"/>
    </w:r>
    <w:r w:rsidRPr="00E118FA">
      <w:rPr>
        <w:sz w:val="24"/>
      </w:rPr>
      <w:instrText xml:space="preserve"> STYLEREF CharSectno </w:instrText>
    </w:r>
    <w:r w:rsidRPr="00E118FA">
      <w:rPr>
        <w:sz w:val="24"/>
      </w:rPr>
      <w:fldChar w:fldCharType="separate"/>
    </w:r>
    <w:r w:rsidR="00C76148">
      <w:rPr>
        <w:noProof/>
        <w:sz w:val="24"/>
      </w:rPr>
      <w:t>3</w:t>
    </w:r>
    <w:r w:rsidRPr="00E118FA">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E118FA" w:rsidRDefault="00FE42F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rsidP="002F332A">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52661F">
      <w:rPr>
        <w:b/>
        <w:noProof/>
        <w:sz w:val="20"/>
      </w:rPr>
      <w:t>Schedule 6</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52661F">
      <w:rPr>
        <w:noProof/>
        <w:sz w:val="20"/>
      </w:rPr>
      <w:t>Availability of names</w:t>
    </w:r>
    <w:r w:rsidRPr="00D675F1">
      <w:rPr>
        <w:sz w:val="20"/>
      </w:rPr>
      <w:fldChar w:fldCharType="end"/>
    </w:r>
  </w:p>
  <w:p w:rsidR="00FE42FF" w:rsidRPr="00D675F1" w:rsidRDefault="00FE42FF" w:rsidP="002F332A">
    <w:pPr>
      <w:rPr>
        <w:b/>
        <w:sz w:val="20"/>
      </w:rPr>
    </w:pPr>
    <w:r w:rsidRPr="00D675F1">
      <w:rPr>
        <w:b/>
        <w:sz w:val="20"/>
      </w:rPr>
      <w:fldChar w:fldCharType="begin"/>
    </w:r>
    <w:r w:rsidRPr="00D675F1">
      <w:rPr>
        <w:b/>
        <w:sz w:val="20"/>
      </w:rPr>
      <w:instrText xml:space="preserve"> STYLEREF CharPartNo </w:instrText>
    </w:r>
    <w:r w:rsidR="00C76148">
      <w:rPr>
        <w:b/>
        <w:sz w:val="20"/>
      </w:rPr>
      <w:fldChar w:fldCharType="separate"/>
    </w:r>
    <w:r w:rsidR="0052661F">
      <w:rPr>
        <w:b/>
        <w:noProof/>
        <w:sz w:val="20"/>
      </w:rPr>
      <w:t>Part 4</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C76148">
      <w:rPr>
        <w:sz w:val="20"/>
      </w:rPr>
      <w:fldChar w:fldCharType="separate"/>
    </w:r>
    <w:r w:rsidR="0052661F">
      <w:rPr>
        <w:noProof/>
        <w:sz w:val="20"/>
      </w:rPr>
      <w:t>Consent required to use restricted words and phrases</w:t>
    </w:r>
    <w:r w:rsidRPr="00D675F1">
      <w:rPr>
        <w:sz w:val="20"/>
      </w:rPr>
      <w:fldChar w:fldCharType="end"/>
    </w:r>
  </w:p>
  <w:p w:rsidR="00FE42FF" w:rsidRPr="00D675F1" w:rsidRDefault="00FE42FF" w:rsidP="002F332A">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FE42FF" w:rsidRPr="00D675F1" w:rsidRDefault="00FE42FF" w:rsidP="002F332A">
    <w:pPr>
      <w:rPr>
        <w:b/>
      </w:rPr>
    </w:pPr>
  </w:p>
  <w:p w:rsidR="00FE42FF" w:rsidRPr="00D675F1" w:rsidRDefault="00FE42FF" w:rsidP="002F332A">
    <w:pPr>
      <w:pBdr>
        <w:bottom w:val="single" w:sz="6" w:space="1" w:color="auto"/>
      </w:pBdr>
    </w:pPr>
  </w:p>
  <w:p w:rsidR="00FE42FF" w:rsidRPr="00B13146" w:rsidRDefault="00FE42FF" w:rsidP="002F332A">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rsidP="00065887">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52661F">
      <w:rPr>
        <w:noProof/>
        <w:sz w:val="20"/>
      </w:rPr>
      <w:t>Availability of names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52661F">
      <w:rPr>
        <w:b/>
        <w:noProof/>
        <w:sz w:val="20"/>
      </w:rPr>
      <w:t>Schedule 6</w:t>
    </w:r>
    <w:r w:rsidRPr="00D675F1">
      <w:rPr>
        <w:b/>
        <w:sz w:val="20"/>
      </w:rPr>
      <w:fldChar w:fldCharType="end"/>
    </w:r>
  </w:p>
  <w:p w:rsidR="00FE42FF" w:rsidRPr="00D675F1" w:rsidRDefault="00FE42FF" w:rsidP="00065887">
    <w:pPr>
      <w:jc w:val="right"/>
      <w:rPr>
        <w:b/>
        <w:sz w:val="20"/>
      </w:rPr>
    </w:pPr>
    <w:r w:rsidRPr="00D675F1">
      <w:rPr>
        <w:sz w:val="20"/>
      </w:rPr>
      <w:fldChar w:fldCharType="begin"/>
    </w:r>
    <w:r w:rsidRPr="00D675F1">
      <w:rPr>
        <w:sz w:val="20"/>
      </w:rPr>
      <w:instrText xml:space="preserve"> STYLEREF CharPartText </w:instrText>
    </w:r>
    <w:r w:rsidR="00C76148">
      <w:rPr>
        <w:sz w:val="20"/>
      </w:rPr>
      <w:fldChar w:fldCharType="separate"/>
    </w:r>
    <w:r w:rsidR="0052661F">
      <w:rPr>
        <w:noProof/>
        <w:sz w:val="20"/>
      </w:rPr>
      <w:t>Restricted words and phrases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C76148">
      <w:rPr>
        <w:b/>
        <w:sz w:val="20"/>
      </w:rPr>
      <w:fldChar w:fldCharType="separate"/>
    </w:r>
    <w:r w:rsidR="0052661F">
      <w:rPr>
        <w:b/>
        <w:noProof/>
        <w:sz w:val="20"/>
      </w:rPr>
      <w:t>Part 3</w:t>
    </w:r>
    <w:r w:rsidRPr="00D675F1">
      <w:rPr>
        <w:b/>
        <w:sz w:val="20"/>
      </w:rPr>
      <w:fldChar w:fldCharType="end"/>
    </w:r>
  </w:p>
  <w:p w:rsidR="00FE42FF" w:rsidRPr="00D675F1" w:rsidRDefault="00FE42FF" w:rsidP="00065887">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FE42FF" w:rsidRPr="00D675F1" w:rsidRDefault="00FE42FF" w:rsidP="00065887">
    <w:pPr>
      <w:jc w:val="right"/>
      <w:rPr>
        <w:b/>
      </w:rPr>
    </w:pPr>
  </w:p>
  <w:p w:rsidR="00FE42FF" w:rsidRPr="00D675F1" w:rsidRDefault="00FE42FF" w:rsidP="00065887">
    <w:pPr>
      <w:pBdr>
        <w:bottom w:val="single" w:sz="6" w:space="1" w:color="auto"/>
      </w:pBdr>
      <w:jc w:val="right"/>
    </w:pPr>
    <w:r w:rsidRPr="00D675F1">
      <w:t xml:space="preserve"> </w:t>
    </w:r>
  </w:p>
  <w:p w:rsidR="00FE42FF" w:rsidRPr="00065887" w:rsidRDefault="00FE42FF" w:rsidP="000658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8A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Deed of company arrangement—prescribed provisions</w:t>
    </w:r>
    <w:r w:rsidRPr="00D675F1">
      <w:rPr>
        <w:sz w:val="20"/>
      </w:rPr>
      <w:fldChar w:fldCharType="end"/>
    </w:r>
  </w:p>
  <w:p w:rsidR="00FE42FF" w:rsidRPr="00D675F1" w:rsidRDefault="00FE42FF">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FE42FF" w:rsidRPr="00D675F1" w:rsidRDefault="00FE42FF">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FE42FF" w:rsidRPr="00D675F1" w:rsidRDefault="00FE42FF">
    <w:pPr>
      <w:rPr>
        <w:b/>
      </w:rPr>
    </w:pPr>
  </w:p>
  <w:p w:rsidR="00FE42FF" w:rsidRPr="001D4C13" w:rsidRDefault="00FE42FF">
    <w:pPr>
      <w:pBdr>
        <w:bottom w:val="single" w:sz="6" w:space="1" w:color="auto"/>
      </w:pBdr>
      <w:rPr>
        <w:sz w:val="24"/>
        <w:szCs w:val="24"/>
      </w:rPr>
    </w:pPr>
    <w:r w:rsidRPr="001D4C13">
      <w:rPr>
        <w:sz w:val="24"/>
        <w:szCs w:val="24"/>
      </w:rPr>
      <w:t xml:space="preserve">Clause </w:t>
    </w:r>
    <w:r w:rsidRPr="001D4C13">
      <w:rPr>
        <w:sz w:val="24"/>
        <w:szCs w:val="24"/>
      </w:rPr>
      <w:fldChar w:fldCharType="begin"/>
    </w:r>
    <w:r w:rsidRPr="001D4C13">
      <w:rPr>
        <w:sz w:val="24"/>
        <w:szCs w:val="24"/>
      </w:rPr>
      <w:instrText xml:space="preserve"> STYLEREF CharSectno </w:instrText>
    </w:r>
    <w:r w:rsidRPr="001D4C13">
      <w:rPr>
        <w:sz w:val="24"/>
        <w:szCs w:val="24"/>
      </w:rPr>
      <w:fldChar w:fldCharType="separate"/>
    </w:r>
    <w:r w:rsidR="00C76148">
      <w:rPr>
        <w:noProof/>
        <w:sz w:val="24"/>
        <w:szCs w:val="24"/>
      </w:rPr>
      <w:t>12</w:t>
    </w:r>
    <w:r w:rsidRPr="001D4C13">
      <w:rPr>
        <w:noProof/>
        <w:sz w:val="24"/>
        <w:szCs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Deed of company arrangement—prescribed provisions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8A</w:t>
    </w:r>
    <w:r w:rsidRPr="00D675F1">
      <w:rPr>
        <w:b/>
        <w:sz w:val="20"/>
      </w:rPr>
      <w:fldChar w:fldCharType="end"/>
    </w:r>
  </w:p>
  <w:p w:rsidR="00FE42FF" w:rsidRPr="00D675F1" w:rsidRDefault="00FE42FF">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FE42FF" w:rsidRPr="00D675F1" w:rsidRDefault="00FE42FF">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FE42FF" w:rsidRPr="00D675F1" w:rsidRDefault="00FE42FF">
    <w:pPr>
      <w:jc w:val="right"/>
      <w:rPr>
        <w:b/>
      </w:rPr>
    </w:pPr>
  </w:p>
  <w:p w:rsidR="00FE42FF" w:rsidRPr="001D4C13" w:rsidRDefault="00FE42FF">
    <w:pPr>
      <w:pBdr>
        <w:bottom w:val="single" w:sz="6" w:space="1" w:color="auto"/>
      </w:pBdr>
      <w:jc w:val="right"/>
      <w:rPr>
        <w:sz w:val="24"/>
        <w:szCs w:val="24"/>
      </w:rPr>
    </w:pPr>
    <w:r w:rsidRPr="001D4C13">
      <w:rPr>
        <w:sz w:val="24"/>
        <w:szCs w:val="24"/>
      </w:rPr>
      <w:t xml:space="preserve">Clause </w:t>
    </w:r>
    <w:r w:rsidRPr="001D4C13">
      <w:rPr>
        <w:sz w:val="24"/>
        <w:szCs w:val="24"/>
      </w:rPr>
      <w:fldChar w:fldCharType="begin"/>
    </w:r>
    <w:r w:rsidRPr="001D4C13">
      <w:rPr>
        <w:sz w:val="24"/>
        <w:szCs w:val="24"/>
      </w:rPr>
      <w:instrText xml:space="preserve"> STYLEREF CharSectno </w:instrText>
    </w:r>
    <w:r w:rsidRPr="001D4C13">
      <w:rPr>
        <w:sz w:val="24"/>
        <w:szCs w:val="24"/>
      </w:rPr>
      <w:fldChar w:fldCharType="separate"/>
    </w:r>
    <w:r w:rsidR="00C76148">
      <w:rPr>
        <w:noProof/>
        <w:sz w:val="24"/>
        <w:szCs w:val="24"/>
      </w:rPr>
      <w:t>8</w:t>
    </w:r>
    <w:r w:rsidRPr="001D4C13">
      <w:rPr>
        <w:noProof/>
        <w:sz w:val="24"/>
        <w:szCs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pPr>
      <w:rPr>
        <w:sz w:val="20"/>
      </w:rPr>
    </w:pPr>
    <w:r>
      <w:rPr>
        <w:b/>
        <w:sz w:val="20"/>
      </w:rPr>
      <w:fldChar w:fldCharType="begin"/>
    </w:r>
    <w:r>
      <w:rPr>
        <w:b/>
        <w:sz w:val="20"/>
      </w:rPr>
      <w:instrText xml:space="preserve"> STYLEREF CharChapNo </w:instrText>
    </w:r>
    <w:r>
      <w:rPr>
        <w:b/>
        <w:sz w:val="20"/>
      </w:rPr>
      <w:fldChar w:fldCharType="separate"/>
    </w:r>
    <w:r w:rsidR="00C76148">
      <w:rPr>
        <w:b/>
        <w:noProof/>
        <w:sz w:val="20"/>
      </w:rPr>
      <w:t>Schedule 8D</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76148">
      <w:rPr>
        <w:noProof/>
        <w:sz w:val="20"/>
      </w:rPr>
      <w:t>Tables for reporting portfolio holding information</w:t>
    </w:r>
    <w:r>
      <w:rPr>
        <w:sz w:val="20"/>
      </w:rPr>
      <w:fldChar w:fldCharType="end"/>
    </w:r>
  </w:p>
  <w:p w:rsidR="00FE42FF" w:rsidRDefault="00FE42F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E42FF" w:rsidRDefault="00FE42FF" w:rsidP="00C648C9">
    <w:pPr>
      <w:pBdr>
        <w:bottom w:val="single" w:sz="6"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rsidP="00C7136B">
    <w:pPr>
      <w:pStyle w:val="Header"/>
      <w:pBdr>
        <w:bottom w:val="single" w:sz="4" w:space="1" w:color="auto"/>
      </w:pBdr>
    </w:pPr>
  </w:p>
  <w:p w:rsidR="00FE42FF" w:rsidRDefault="00FE42FF" w:rsidP="00C7136B">
    <w:pPr>
      <w:pStyle w:val="Header"/>
      <w:pBdr>
        <w:bottom w:val="single" w:sz="4" w:space="1" w:color="auto"/>
      </w:pBdr>
    </w:pPr>
  </w:p>
  <w:p w:rsidR="00FE42FF" w:rsidRPr="001E77D2" w:rsidRDefault="00FE42FF" w:rsidP="00C7136B">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8A2C51" w:rsidRDefault="00FE42F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C76148">
      <w:rPr>
        <w:noProof/>
        <w:sz w:val="20"/>
      </w:rPr>
      <w:t>Companies authorised to effect transfers under Part 7.11 of the Act</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C76148">
      <w:rPr>
        <w:b/>
        <w:noProof/>
        <w:sz w:val="20"/>
      </w:rPr>
      <w:t>Schedule 9</w:t>
    </w:r>
    <w:r w:rsidRPr="008A2C51">
      <w:rPr>
        <w:b/>
        <w:sz w:val="20"/>
      </w:rPr>
      <w:fldChar w:fldCharType="end"/>
    </w:r>
  </w:p>
  <w:p w:rsidR="00FE42FF" w:rsidRPr="008A2C51" w:rsidRDefault="00FE42F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FE42FF" w:rsidRPr="008A2C51" w:rsidRDefault="00FE42FF" w:rsidP="00C648C9">
    <w:pPr>
      <w:pBdr>
        <w:bottom w:val="single" w:sz="6" w:space="1" w:color="auto"/>
      </w:pBdr>
      <w:spacing w:after="12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10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Disclosure of fees and other costs</w:t>
    </w:r>
    <w:r w:rsidRPr="00D675F1">
      <w:rPr>
        <w:sz w:val="20"/>
      </w:rPr>
      <w:fldChar w:fldCharType="end"/>
    </w:r>
  </w:p>
  <w:p w:rsidR="00FE42FF" w:rsidRPr="00D675F1" w:rsidRDefault="00FE42FF">
    <w:pPr>
      <w:rPr>
        <w:b/>
        <w:sz w:val="20"/>
      </w:rPr>
    </w:pPr>
    <w:r w:rsidRPr="00D675F1">
      <w:rPr>
        <w:b/>
        <w:sz w:val="20"/>
      </w:rPr>
      <w:fldChar w:fldCharType="begin"/>
    </w:r>
    <w:r w:rsidRPr="00D675F1">
      <w:rPr>
        <w:b/>
        <w:sz w:val="20"/>
      </w:rPr>
      <w:instrText xml:space="preserve"> STYLEREF CharPartNo </w:instrText>
    </w:r>
    <w:r>
      <w:rPr>
        <w:b/>
        <w:sz w:val="20"/>
      </w:rPr>
      <w:fldChar w:fldCharType="separate"/>
    </w:r>
    <w:r w:rsidR="00C76148">
      <w:rPr>
        <w:b/>
        <w:noProof/>
        <w:sz w:val="20"/>
      </w:rPr>
      <w:t>Part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Pr>
        <w:sz w:val="20"/>
      </w:rPr>
      <w:fldChar w:fldCharType="separate"/>
    </w:r>
    <w:r w:rsidR="00C76148">
      <w:rPr>
        <w:noProof/>
        <w:sz w:val="20"/>
      </w:rPr>
      <w:t>Fees and costs in periodic statements</w:t>
    </w:r>
    <w:r w:rsidRPr="00D675F1">
      <w:rPr>
        <w:sz w:val="20"/>
      </w:rPr>
      <w:fldChar w:fldCharType="end"/>
    </w:r>
  </w:p>
  <w:p w:rsidR="00FE42FF" w:rsidRPr="00D675F1" w:rsidRDefault="00FE42FF">
    <w:pPr>
      <w:rPr>
        <w:sz w:val="20"/>
      </w:rPr>
    </w:pPr>
    <w:r w:rsidRPr="00D675F1">
      <w:rPr>
        <w:b/>
        <w:sz w:val="20"/>
      </w:rPr>
      <w:fldChar w:fldCharType="begin"/>
    </w:r>
    <w:r w:rsidRPr="00D675F1">
      <w:rPr>
        <w:b/>
        <w:sz w:val="20"/>
      </w:rPr>
      <w:instrText xml:space="preserve"> STYLEREF CharDivNo </w:instrText>
    </w:r>
    <w:r w:rsidR="00C76148">
      <w:rPr>
        <w:b/>
        <w:sz w:val="20"/>
      </w:rPr>
      <w:fldChar w:fldCharType="separate"/>
    </w:r>
    <w:r w:rsidR="00C76148">
      <w:rPr>
        <w:b/>
        <w:noProof/>
        <w:sz w:val="20"/>
      </w:rPr>
      <w:t>Division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00C76148">
      <w:rPr>
        <w:sz w:val="20"/>
      </w:rPr>
      <w:fldChar w:fldCharType="separate"/>
    </w:r>
    <w:r w:rsidR="00C76148">
      <w:rPr>
        <w:noProof/>
        <w:sz w:val="20"/>
      </w:rPr>
      <w:t>Total fees</w:t>
    </w:r>
    <w:r w:rsidRPr="00D675F1">
      <w:rPr>
        <w:sz w:val="20"/>
      </w:rPr>
      <w:fldChar w:fldCharType="end"/>
    </w:r>
  </w:p>
  <w:p w:rsidR="00FE42FF" w:rsidRPr="00D675F1" w:rsidRDefault="00FE42FF">
    <w:pPr>
      <w:rPr>
        <w:b/>
      </w:rPr>
    </w:pPr>
  </w:p>
  <w:p w:rsidR="00FE42FF" w:rsidRPr="001D4C13" w:rsidRDefault="00FE42FF" w:rsidP="008258B2">
    <w:pPr>
      <w:pBdr>
        <w:bottom w:val="single" w:sz="6" w:space="1" w:color="auto"/>
      </w:pBdr>
      <w:spacing w:after="120"/>
      <w:rPr>
        <w:sz w:val="24"/>
        <w:szCs w:val="24"/>
      </w:rPr>
    </w:pPr>
    <w:r w:rsidRPr="001D4C13">
      <w:rPr>
        <w:sz w:val="24"/>
        <w:szCs w:val="24"/>
      </w:rPr>
      <w:t xml:space="preserve">Clause </w:t>
    </w:r>
    <w:r w:rsidRPr="001D4C13">
      <w:rPr>
        <w:sz w:val="24"/>
        <w:szCs w:val="24"/>
      </w:rPr>
      <w:fldChar w:fldCharType="begin"/>
    </w:r>
    <w:r w:rsidRPr="001D4C13">
      <w:rPr>
        <w:sz w:val="24"/>
        <w:szCs w:val="24"/>
      </w:rPr>
      <w:instrText xml:space="preserve"> STYLEREF CharSectno </w:instrText>
    </w:r>
    <w:r w:rsidRPr="001D4C13">
      <w:rPr>
        <w:sz w:val="24"/>
        <w:szCs w:val="24"/>
      </w:rPr>
      <w:fldChar w:fldCharType="separate"/>
    </w:r>
    <w:r w:rsidR="00C76148">
      <w:rPr>
        <w:noProof/>
        <w:sz w:val="24"/>
        <w:szCs w:val="24"/>
      </w:rPr>
      <w:t>302</w:t>
    </w:r>
    <w:r w:rsidRPr="001D4C13">
      <w:rPr>
        <w:noProof/>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Disclosure of fees and other costs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10</w:t>
    </w:r>
    <w:r w:rsidRPr="00D675F1">
      <w:rPr>
        <w:b/>
        <w:sz w:val="20"/>
      </w:rPr>
      <w:fldChar w:fldCharType="end"/>
    </w:r>
  </w:p>
  <w:p w:rsidR="00FE42FF" w:rsidRPr="00D675F1" w:rsidRDefault="00FE42FF">
    <w:pPr>
      <w:jc w:val="right"/>
      <w:rPr>
        <w:b/>
        <w:sz w:val="20"/>
      </w:rPr>
    </w:pPr>
    <w:r w:rsidRPr="00D675F1">
      <w:rPr>
        <w:sz w:val="20"/>
      </w:rPr>
      <w:fldChar w:fldCharType="begin"/>
    </w:r>
    <w:r w:rsidRPr="00D675F1">
      <w:rPr>
        <w:sz w:val="20"/>
      </w:rPr>
      <w:instrText xml:space="preserve"> STYLEREF CharPartText </w:instrText>
    </w:r>
    <w:r>
      <w:rPr>
        <w:sz w:val="20"/>
      </w:rPr>
      <w:fldChar w:fldCharType="separate"/>
    </w:r>
    <w:r w:rsidR="00C76148">
      <w:rPr>
        <w:noProof/>
        <w:sz w:val="20"/>
      </w:rPr>
      <w:t>Fees and costs in periodic statements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Pr>
        <w:b/>
        <w:sz w:val="20"/>
      </w:rPr>
      <w:fldChar w:fldCharType="separate"/>
    </w:r>
    <w:r w:rsidR="00C76148">
      <w:rPr>
        <w:b/>
        <w:noProof/>
        <w:sz w:val="20"/>
      </w:rPr>
      <w:t>Part 3</w:t>
    </w:r>
    <w:r w:rsidRPr="00D675F1">
      <w:rPr>
        <w:b/>
        <w:sz w:val="20"/>
      </w:rPr>
      <w:fldChar w:fldCharType="end"/>
    </w:r>
  </w:p>
  <w:p w:rsidR="00FE42FF" w:rsidRPr="00D675F1" w:rsidRDefault="00FE42FF">
    <w:pPr>
      <w:jc w:val="right"/>
      <w:rPr>
        <w:sz w:val="20"/>
      </w:rPr>
    </w:pPr>
    <w:r w:rsidRPr="00D675F1">
      <w:rPr>
        <w:sz w:val="20"/>
      </w:rPr>
      <w:fldChar w:fldCharType="begin"/>
    </w:r>
    <w:r w:rsidRPr="00D675F1">
      <w:rPr>
        <w:sz w:val="20"/>
      </w:rPr>
      <w:instrText xml:space="preserve"> STYLEREF CharDivText </w:instrText>
    </w:r>
    <w:r w:rsidR="00C76148">
      <w:rPr>
        <w:sz w:val="20"/>
      </w:rPr>
      <w:fldChar w:fldCharType="separate"/>
    </w:r>
    <w:r w:rsidR="00C76148">
      <w:rPr>
        <w:noProof/>
        <w:sz w:val="20"/>
      </w:rPr>
      <w:t>Additional Explanation of Fees and Costs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00C76148">
      <w:rPr>
        <w:b/>
        <w:sz w:val="20"/>
      </w:rPr>
      <w:fldChar w:fldCharType="separate"/>
    </w:r>
    <w:r w:rsidR="00C76148">
      <w:rPr>
        <w:b/>
        <w:noProof/>
        <w:sz w:val="20"/>
      </w:rPr>
      <w:t>Division 3</w:t>
    </w:r>
    <w:r w:rsidRPr="00D675F1">
      <w:rPr>
        <w:b/>
        <w:sz w:val="20"/>
      </w:rPr>
      <w:fldChar w:fldCharType="end"/>
    </w:r>
  </w:p>
  <w:p w:rsidR="00FE42FF" w:rsidRPr="00D675F1" w:rsidRDefault="00FE42FF">
    <w:pPr>
      <w:jc w:val="right"/>
      <w:rPr>
        <w:b/>
      </w:rPr>
    </w:pPr>
  </w:p>
  <w:p w:rsidR="00FE42FF" w:rsidRPr="001D4C13" w:rsidRDefault="00FE42FF" w:rsidP="008258B2">
    <w:pPr>
      <w:pBdr>
        <w:bottom w:val="single" w:sz="6" w:space="1" w:color="auto"/>
      </w:pBdr>
      <w:spacing w:after="120"/>
      <w:jc w:val="right"/>
      <w:rPr>
        <w:sz w:val="24"/>
        <w:szCs w:val="24"/>
      </w:rPr>
    </w:pPr>
    <w:r w:rsidRPr="001D4C13">
      <w:rPr>
        <w:sz w:val="24"/>
        <w:szCs w:val="24"/>
      </w:rPr>
      <w:t xml:space="preserve">Clause </w:t>
    </w:r>
    <w:r w:rsidRPr="001D4C13">
      <w:rPr>
        <w:sz w:val="24"/>
        <w:szCs w:val="24"/>
      </w:rPr>
      <w:fldChar w:fldCharType="begin"/>
    </w:r>
    <w:r w:rsidRPr="001D4C13">
      <w:rPr>
        <w:sz w:val="24"/>
        <w:szCs w:val="24"/>
      </w:rPr>
      <w:instrText xml:space="preserve"> STYLEREF CharSectno </w:instrText>
    </w:r>
    <w:r w:rsidRPr="001D4C13">
      <w:rPr>
        <w:sz w:val="24"/>
        <w:szCs w:val="24"/>
      </w:rPr>
      <w:fldChar w:fldCharType="separate"/>
    </w:r>
    <w:r w:rsidR="00C76148">
      <w:rPr>
        <w:noProof/>
        <w:sz w:val="24"/>
        <w:szCs w:val="24"/>
      </w:rPr>
      <w:t>303</w:t>
    </w:r>
    <w:r w:rsidRPr="001D4C13">
      <w:rPr>
        <w:noProof/>
        <w:sz w:val="24"/>
        <w:szCs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10BA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Modifications of the Act relating to Short-Form Product Disclosure Statements</w:t>
    </w:r>
    <w:r w:rsidRPr="00D675F1">
      <w:rPr>
        <w:sz w:val="20"/>
      </w:rPr>
      <w:fldChar w:fldCharType="end"/>
    </w:r>
  </w:p>
  <w:p w:rsidR="00FE42FF" w:rsidRPr="00D675F1" w:rsidRDefault="00FE42FF">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C76148">
      <w:rPr>
        <w:b/>
        <w:noProof/>
        <w:sz w:val="20"/>
      </w:rPr>
      <w:t>Part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C76148">
      <w:rPr>
        <w:noProof/>
        <w:sz w:val="20"/>
      </w:rPr>
      <w:t>Modifications of Part 7.9 of the Act</w:t>
    </w:r>
    <w:r w:rsidRPr="00D675F1">
      <w:rPr>
        <w:sz w:val="20"/>
      </w:rPr>
      <w:fldChar w:fldCharType="end"/>
    </w:r>
  </w:p>
  <w:p w:rsidR="00FE42FF" w:rsidRPr="00D675F1" w:rsidRDefault="00FE42FF">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FE42FF" w:rsidRPr="00D675F1" w:rsidRDefault="00FE42FF">
    <w:pPr>
      <w:rPr>
        <w:b/>
      </w:rPr>
    </w:pPr>
  </w:p>
  <w:p w:rsidR="00FE42FF" w:rsidRPr="00D675F1" w:rsidRDefault="00FE42FF" w:rsidP="008258B2">
    <w:pPr>
      <w:pBdr>
        <w:bottom w:val="single" w:sz="6" w:space="1" w:color="auto"/>
      </w:pBdr>
      <w:spacing w:after="12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Modifications of the Act relating to Short-Form Product Disclosure Statements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10BA</w:t>
    </w:r>
    <w:r w:rsidRPr="00D675F1">
      <w:rPr>
        <w:b/>
        <w:sz w:val="20"/>
      </w:rPr>
      <w:fldChar w:fldCharType="end"/>
    </w:r>
  </w:p>
  <w:p w:rsidR="00FE42FF" w:rsidRPr="00D675F1" w:rsidRDefault="00FE42FF">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C76148">
      <w:rPr>
        <w:noProof/>
        <w:sz w:val="20"/>
      </w:rPr>
      <w:t>Modifications of Part 7.9 of the Act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C76148">
      <w:rPr>
        <w:b/>
        <w:noProof/>
        <w:sz w:val="20"/>
      </w:rPr>
      <w:t>Part 3</w:t>
    </w:r>
    <w:r w:rsidRPr="00D675F1">
      <w:rPr>
        <w:b/>
        <w:sz w:val="20"/>
      </w:rPr>
      <w:fldChar w:fldCharType="end"/>
    </w:r>
  </w:p>
  <w:p w:rsidR="00FE42FF" w:rsidRPr="00D675F1" w:rsidRDefault="00FE42FF">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FE42FF" w:rsidRPr="00D675F1" w:rsidRDefault="00FE42FF">
    <w:pPr>
      <w:jc w:val="right"/>
      <w:rPr>
        <w:b/>
      </w:rPr>
    </w:pPr>
  </w:p>
  <w:p w:rsidR="00FE42FF" w:rsidRPr="00D675F1" w:rsidRDefault="00FE42FF" w:rsidP="008258B2">
    <w:pPr>
      <w:pBdr>
        <w:bottom w:val="single" w:sz="6" w:space="1" w:color="auto"/>
      </w:pBdr>
      <w:spacing w:after="120"/>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10F</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Form and content of Product Disclosure Statement—simple sub-fund products</w:t>
    </w:r>
    <w:r w:rsidRPr="00D675F1">
      <w:rPr>
        <w:sz w:val="20"/>
      </w:rPr>
      <w:fldChar w:fldCharType="end"/>
    </w:r>
  </w:p>
  <w:p w:rsidR="00FE42FF" w:rsidRPr="00D675F1" w:rsidRDefault="00FE42FF">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FE42FF" w:rsidRPr="00D675F1" w:rsidRDefault="00FE42FF">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FE42FF" w:rsidRPr="00D675F1" w:rsidRDefault="00FE42FF">
    <w:pPr>
      <w:rPr>
        <w:b/>
      </w:rPr>
    </w:pPr>
  </w:p>
  <w:p w:rsidR="00FE42FF" w:rsidRPr="001D4C13" w:rsidRDefault="00FE42FF" w:rsidP="00326DD7">
    <w:pPr>
      <w:pBdr>
        <w:bottom w:val="single" w:sz="6" w:space="1" w:color="auto"/>
      </w:pBdr>
      <w:spacing w:after="120"/>
      <w:rPr>
        <w:sz w:val="24"/>
        <w:szCs w:val="24"/>
      </w:rPr>
    </w:pPr>
    <w:r w:rsidRPr="001D4C13">
      <w:rPr>
        <w:sz w:val="24"/>
        <w:szCs w:val="24"/>
      </w:rPr>
      <w:t xml:space="preserve">Clause </w:t>
    </w:r>
    <w:r w:rsidRPr="001D4C13">
      <w:rPr>
        <w:sz w:val="24"/>
        <w:szCs w:val="24"/>
      </w:rPr>
      <w:fldChar w:fldCharType="begin"/>
    </w:r>
    <w:r w:rsidRPr="001D4C13">
      <w:rPr>
        <w:sz w:val="24"/>
        <w:szCs w:val="24"/>
      </w:rPr>
      <w:instrText xml:space="preserve"> STYLEREF CharSectno </w:instrText>
    </w:r>
    <w:r w:rsidRPr="001D4C13">
      <w:rPr>
        <w:sz w:val="24"/>
        <w:szCs w:val="24"/>
      </w:rPr>
      <w:fldChar w:fldCharType="separate"/>
    </w:r>
    <w:r w:rsidR="00C76148">
      <w:rPr>
        <w:noProof/>
        <w:sz w:val="24"/>
        <w:szCs w:val="24"/>
      </w:rPr>
      <w:t>8</w:t>
    </w:r>
    <w:r w:rsidRPr="001D4C13">
      <w:rPr>
        <w:noProof/>
        <w:sz w:val="24"/>
        <w:szCs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D675F1" w:rsidRDefault="00FE42FF">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C76148">
      <w:rPr>
        <w:noProof/>
        <w:sz w:val="20"/>
      </w:rPr>
      <w:t>Form and content of Product Disclosure Statement—simple sub-fund products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C76148">
      <w:rPr>
        <w:b/>
        <w:noProof/>
        <w:sz w:val="20"/>
      </w:rPr>
      <w:t>Schedule 10F</w:t>
    </w:r>
    <w:r w:rsidRPr="00D675F1">
      <w:rPr>
        <w:b/>
        <w:sz w:val="20"/>
      </w:rPr>
      <w:fldChar w:fldCharType="end"/>
    </w:r>
  </w:p>
  <w:p w:rsidR="00FE42FF" w:rsidRPr="00D675F1" w:rsidRDefault="00FE42FF">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FE42FF" w:rsidRPr="00D675F1" w:rsidRDefault="00FE42FF">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FE42FF" w:rsidRPr="00D675F1" w:rsidRDefault="00FE42FF">
    <w:pPr>
      <w:jc w:val="right"/>
      <w:rPr>
        <w:b/>
      </w:rPr>
    </w:pPr>
  </w:p>
  <w:p w:rsidR="00FE42FF" w:rsidRPr="001D4C13" w:rsidRDefault="00FE42FF" w:rsidP="00326DD7">
    <w:pPr>
      <w:pBdr>
        <w:bottom w:val="single" w:sz="6" w:space="1" w:color="auto"/>
      </w:pBdr>
      <w:spacing w:after="120"/>
      <w:jc w:val="right"/>
      <w:rPr>
        <w:sz w:val="24"/>
        <w:szCs w:val="24"/>
      </w:rPr>
    </w:pPr>
    <w:r w:rsidRPr="001D4C13">
      <w:rPr>
        <w:sz w:val="24"/>
        <w:szCs w:val="24"/>
      </w:rPr>
      <w:t xml:space="preserve">Clause </w:t>
    </w:r>
    <w:r w:rsidRPr="001D4C13">
      <w:rPr>
        <w:sz w:val="24"/>
        <w:szCs w:val="24"/>
      </w:rPr>
      <w:fldChar w:fldCharType="begin"/>
    </w:r>
    <w:r w:rsidRPr="001D4C13">
      <w:rPr>
        <w:sz w:val="24"/>
        <w:szCs w:val="24"/>
      </w:rPr>
      <w:instrText xml:space="preserve"> STYLEREF CharSectno </w:instrText>
    </w:r>
    <w:r w:rsidRPr="001D4C13">
      <w:rPr>
        <w:sz w:val="24"/>
        <w:szCs w:val="24"/>
      </w:rPr>
      <w:fldChar w:fldCharType="separate"/>
    </w:r>
    <w:r w:rsidR="00C76148">
      <w:rPr>
        <w:noProof/>
        <w:sz w:val="24"/>
        <w:szCs w:val="24"/>
      </w:rPr>
      <w:t>9</w:t>
    </w:r>
    <w:r w:rsidRPr="001D4C13">
      <w:rPr>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5F1388" w:rsidRDefault="00FE42FF" w:rsidP="00C7136B">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pPr>
      <w:rPr>
        <w:sz w:val="20"/>
      </w:rPr>
    </w:pPr>
    <w:r>
      <w:rPr>
        <w:b/>
        <w:sz w:val="20"/>
      </w:rPr>
      <w:fldChar w:fldCharType="begin"/>
    </w:r>
    <w:r>
      <w:rPr>
        <w:b/>
        <w:sz w:val="20"/>
      </w:rPr>
      <w:instrText xml:space="preserve"> STYLEREF CharChapNo </w:instrText>
    </w:r>
    <w:r>
      <w:rPr>
        <w:b/>
        <w:sz w:val="20"/>
      </w:rPr>
      <w:fldChar w:fldCharType="separate"/>
    </w:r>
    <w:r w:rsidR="00C76148">
      <w:rPr>
        <w:b/>
        <w:noProof/>
        <w:sz w:val="20"/>
      </w:rPr>
      <w:t>Schedule 13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76148">
      <w:rPr>
        <w:noProof/>
        <w:sz w:val="20"/>
      </w:rPr>
      <w:t>Transition to Part 3 of the Insolvency Practice Schedule (Corporations)</w:t>
    </w:r>
    <w:r>
      <w:rPr>
        <w:sz w:val="20"/>
      </w:rPr>
      <w:fldChar w:fldCharType="end"/>
    </w:r>
  </w:p>
  <w:p w:rsidR="00FE42FF" w:rsidRDefault="00FE42FF">
    <w:pPr>
      <w:pBdr>
        <w:bottom w:val="single" w:sz="6" w:space="1" w:color="auto"/>
      </w:pBdr>
      <w:rPr>
        <w:sz w:val="20"/>
      </w:rPr>
    </w:pPr>
  </w:p>
  <w:p w:rsidR="00FE42FF" w:rsidRDefault="00FE42FF">
    <w:pPr>
      <w:pBdr>
        <w:bottom w:val="single" w:sz="6"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8A2C51" w:rsidRDefault="00FE42F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C76148">
      <w:rPr>
        <w:noProof/>
        <w:sz w:val="20"/>
      </w:rPr>
      <w:t>Transition to Part 3 of the Insolvency Practice Schedule (Corporations)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C76148">
      <w:rPr>
        <w:b/>
        <w:noProof/>
        <w:sz w:val="20"/>
      </w:rPr>
      <w:t>Schedule 13</w:t>
    </w:r>
    <w:r w:rsidRPr="008A2C51">
      <w:rPr>
        <w:b/>
        <w:sz w:val="20"/>
      </w:rPr>
      <w:fldChar w:fldCharType="end"/>
    </w:r>
  </w:p>
  <w:p w:rsidR="00FE42FF" w:rsidRPr="008A2C51" w:rsidRDefault="00FE42FF">
    <w:pPr>
      <w:pBdr>
        <w:bottom w:val="single" w:sz="6" w:space="1" w:color="auto"/>
      </w:pBdr>
      <w:jc w:val="right"/>
      <w:rPr>
        <w:b/>
        <w:sz w:val="20"/>
      </w:rPr>
    </w:pPr>
  </w:p>
  <w:p w:rsidR="00FE42FF" w:rsidRPr="008A2C51" w:rsidRDefault="00FE42FF">
    <w:pPr>
      <w:pBdr>
        <w:bottom w:val="single" w:sz="6" w:space="1" w:color="auto"/>
      </w:pBdr>
      <w:jc w:val="righ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BE5CD2" w:rsidRDefault="00FE42FF" w:rsidP="007678F7">
    <w:pPr>
      <w:rPr>
        <w:sz w:val="26"/>
        <w:szCs w:val="26"/>
      </w:rPr>
    </w:pPr>
  </w:p>
  <w:p w:rsidR="00FE42FF" w:rsidRPr="0020230A" w:rsidRDefault="00FE42FF" w:rsidP="007678F7">
    <w:pPr>
      <w:rPr>
        <w:b/>
        <w:sz w:val="20"/>
      </w:rPr>
    </w:pPr>
    <w:r w:rsidRPr="0020230A">
      <w:rPr>
        <w:b/>
        <w:sz w:val="20"/>
      </w:rPr>
      <w:t>Endnotes</w:t>
    </w:r>
  </w:p>
  <w:p w:rsidR="00FE42FF" w:rsidRPr="007A1328" w:rsidRDefault="00FE42FF" w:rsidP="007678F7">
    <w:pPr>
      <w:rPr>
        <w:sz w:val="20"/>
      </w:rPr>
    </w:pPr>
  </w:p>
  <w:p w:rsidR="00FE42FF" w:rsidRPr="007A1328" w:rsidRDefault="00FE42FF" w:rsidP="007678F7">
    <w:pPr>
      <w:rPr>
        <w:b/>
        <w:sz w:val="24"/>
      </w:rPr>
    </w:pPr>
  </w:p>
  <w:p w:rsidR="00FE42FF" w:rsidRPr="00BE5CD2" w:rsidRDefault="00FE42FF" w:rsidP="007678F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BE5CD2" w:rsidRDefault="00FE42FF" w:rsidP="007678F7">
    <w:pPr>
      <w:jc w:val="right"/>
      <w:rPr>
        <w:sz w:val="26"/>
        <w:szCs w:val="26"/>
      </w:rPr>
    </w:pPr>
  </w:p>
  <w:p w:rsidR="00FE42FF" w:rsidRPr="0020230A" w:rsidRDefault="00FE42FF" w:rsidP="007678F7">
    <w:pPr>
      <w:jc w:val="right"/>
      <w:rPr>
        <w:b/>
        <w:sz w:val="20"/>
      </w:rPr>
    </w:pPr>
    <w:r w:rsidRPr="0020230A">
      <w:rPr>
        <w:b/>
        <w:sz w:val="20"/>
      </w:rPr>
      <w:t>Endnotes</w:t>
    </w:r>
  </w:p>
  <w:p w:rsidR="00FE42FF" w:rsidRPr="007A1328" w:rsidRDefault="00FE42FF" w:rsidP="007678F7">
    <w:pPr>
      <w:jc w:val="right"/>
      <w:rPr>
        <w:sz w:val="20"/>
      </w:rPr>
    </w:pPr>
  </w:p>
  <w:p w:rsidR="00FE42FF" w:rsidRPr="007A1328" w:rsidRDefault="00FE42FF" w:rsidP="007678F7">
    <w:pPr>
      <w:jc w:val="right"/>
      <w:rPr>
        <w:b/>
        <w:sz w:val="24"/>
      </w:rPr>
    </w:pPr>
  </w:p>
  <w:p w:rsidR="00FE42FF" w:rsidRPr="00BE5CD2" w:rsidRDefault="00FE42FF" w:rsidP="007678F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rsidP="00EA0056">
    <w:pPr>
      <w:pStyle w:val="Header"/>
    </w:pPr>
  </w:p>
  <w:p w:rsidR="00FE42FF" w:rsidRPr="00EA0056" w:rsidRDefault="00FE42FF" w:rsidP="00EA00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ED79B6" w:rsidRDefault="00FE42FF" w:rsidP="000858E6">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ED79B6" w:rsidRDefault="00FE42FF" w:rsidP="000858E6">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ED79B6" w:rsidRDefault="00FE42FF" w:rsidP="000858E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pPr>
      <w:rPr>
        <w:sz w:val="20"/>
      </w:rPr>
    </w:pPr>
    <w:r>
      <w:rPr>
        <w:b/>
        <w:sz w:val="20"/>
      </w:rPr>
      <w:fldChar w:fldCharType="begin"/>
    </w:r>
    <w:r>
      <w:rPr>
        <w:b/>
        <w:sz w:val="20"/>
      </w:rPr>
      <w:instrText xml:space="preserve"> STYLEREF CharChapNo </w:instrText>
    </w:r>
    <w:r>
      <w:rPr>
        <w:b/>
        <w:sz w:val="20"/>
      </w:rPr>
      <w:fldChar w:fldCharType="separate"/>
    </w:r>
    <w:r w:rsidR="0052661F">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2661F">
      <w:rPr>
        <w:noProof/>
        <w:sz w:val="20"/>
      </w:rPr>
      <w:t>Prescribed amounts</w:t>
    </w:r>
    <w:r>
      <w:rPr>
        <w:sz w:val="20"/>
      </w:rPr>
      <w:fldChar w:fldCharType="end"/>
    </w:r>
  </w:p>
  <w:p w:rsidR="00FE42FF" w:rsidRDefault="00FE42FF">
    <w:pPr>
      <w:pBdr>
        <w:bottom w:val="single" w:sz="6" w:space="1" w:color="auto"/>
      </w:pBdr>
      <w:rPr>
        <w:sz w:val="20"/>
      </w:rPr>
    </w:pPr>
  </w:p>
  <w:p w:rsidR="00FE42FF" w:rsidRDefault="00FE42FF">
    <w:pPr>
      <w:pBdr>
        <w:bottom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Pr="008A2C51" w:rsidRDefault="00FE42FF">
    <w:pPr>
      <w:jc w:val="right"/>
      <w:rPr>
        <w:sz w:val="20"/>
      </w:rPr>
    </w:pPr>
    <w:r w:rsidRPr="008A2C51">
      <w:rPr>
        <w:sz w:val="20"/>
      </w:rPr>
      <w:fldChar w:fldCharType="begin"/>
    </w:r>
    <w:r w:rsidRPr="008A2C51">
      <w:rPr>
        <w:sz w:val="20"/>
      </w:rPr>
      <w:instrText xml:space="preserve"> STYLEREF CharChapText </w:instrText>
    </w:r>
    <w:r w:rsidR="00B96795">
      <w:rPr>
        <w:sz w:val="20"/>
      </w:rPr>
      <w:fldChar w:fldCharType="separate"/>
    </w:r>
    <w:r w:rsidR="0052661F">
      <w:rPr>
        <w:noProof/>
        <w:sz w:val="20"/>
      </w:rPr>
      <w:t>Prescribed amounts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B96795">
      <w:rPr>
        <w:b/>
        <w:sz w:val="20"/>
      </w:rPr>
      <w:fldChar w:fldCharType="separate"/>
    </w:r>
    <w:r w:rsidR="0052661F">
      <w:rPr>
        <w:b/>
        <w:noProof/>
        <w:sz w:val="20"/>
      </w:rPr>
      <w:t>Schedule 4</w:t>
    </w:r>
    <w:r w:rsidRPr="008A2C51">
      <w:rPr>
        <w:b/>
        <w:sz w:val="20"/>
      </w:rPr>
      <w:fldChar w:fldCharType="end"/>
    </w:r>
  </w:p>
  <w:p w:rsidR="00FE42FF" w:rsidRPr="008A2C51" w:rsidRDefault="00FE42FF">
    <w:pPr>
      <w:pBdr>
        <w:bottom w:val="single" w:sz="6" w:space="1" w:color="auto"/>
      </w:pBdr>
      <w:jc w:val="right"/>
      <w:rPr>
        <w:b/>
        <w:sz w:val="20"/>
      </w:rPr>
    </w:pPr>
  </w:p>
  <w:p w:rsidR="00FE42FF" w:rsidRPr="008A2C51" w:rsidRDefault="00FE42FF">
    <w:pPr>
      <w:pBdr>
        <w:bottom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F" w:rsidRDefault="00FE42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934D97"/>
    <w:multiLevelType w:val="multilevel"/>
    <w:tmpl w:val="7E5AD4A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D155D9"/>
    <w:multiLevelType w:val="hybridMultilevel"/>
    <w:tmpl w:val="67721468"/>
    <w:lvl w:ilvl="0" w:tplc="E8022940">
      <w:start w:val="1"/>
      <w:numFmt w:val="bullet"/>
      <w:lvlText w:val=""/>
      <w:lvlJc w:val="left"/>
      <w:pPr>
        <w:tabs>
          <w:tab w:val="num" w:pos="284"/>
        </w:tabs>
        <w:ind w:left="1247" w:hanging="283"/>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6E87D40"/>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6"/>
  </w:num>
  <w:num w:numId="3">
    <w:abstractNumId w:val="2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4"/>
  </w:num>
  <w:num w:numId="17">
    <w:abstractNumId w:val="14"/>
  </w:num>
  <w:num w:numId="18">
    <w:abstractNumId w:val="17"/>
  </w:num>
  <w:num w:numId="19">
    <w:abstractNumId w:val="20"/>
  </w:num>
  <w:num w:numId="20">
    <w:abstractNumId w:val="25"/>
  </w:num>
  <w:num w:numId="21">
    <w:abstractNumId w:val="22"/>
  </w:num>
  <w:num w:numId="22">
    <w:abstractNumId w:val="13"/>
  </w:num>
  <w:num w:numId="23">
    <w:abstractNumId w:val="10"/>
  </w:num>
  <w:num w:numId="24">
    <w:abstractNumId w:val="23"/>
  </w:num>
  <w:num w:numId="25">
    <w:abstractNumId w:val="15"/>
  </w:num>
  <w:num w:numId="26">
    <w:abstractNumId w:val="11"/>
  </w:num>
  <w:num w:numId="2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59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2203"/>
    <w:rsid w:val="00002328"/>
    <w:rsid w:val="00003F43"/>
    <w:rsid w:val="0000439F"/>
    <w:rsid w:val="000047FD"/>
    <w:rsid w:val="0000499F"/>
    <w:rsid w:val="00004B7F"/>
    <w:rsid w:val="00004E4C"/>
    <w:rsid w:val="00004FE4"/>
    <w:rsid w:val="00005355"/>
    <w:rsid w:val="00005463"/>
    <w:rsid w:val="000056EE"/>
    <w:rsid w:val="00005F5B"/>
    <w:rsid w:val="00006F3C"/>
    <w:rsid w:val="00007D0C"/>
    <w:rsid w:val="00010203"/>
    <w:rsid w:val="00010AE1"/>
    <w:rsid w:val="00010C9B"/>
    <w:rsid w:val="00011E7A"/>
    <w:rsid w:val="00012087"/>
    <w:rsid w:val="00012A4E"/>
    <w:rsid w:val="00012FC1"/>
    <w:rsid w:val="00014BA0"/>
    <w:rsid w:val="00016C24"/>
    <w:rsid w:val="00017270"/>
    <w:rsid w:val="0001739E"/>
    <w:rsid w:val="0002127D"/>
    <w:rsid w:val="00023FD2"/>
    <w:rsid w:val="00024D1F"/>
    <w:rsid w:val="00024D3A"/>
    <w:rsid w:val="00030D0B"/>
    <w:rsid w:val="0003177E"/>
    <w:rsid w:val="00031B7F"/>
    <w:rsid w:val="00032444"/>
    <w:rsid w:val="000335B7"/>
    <w:rsid w:val="0003429B"/>
    <w:rsid w:val="0003434D"/>
    <w:rsid w:val="0003486A"/>
    <w:rsid w:val="0003498B"/>
    <w:rsid w:val="00036D30"/>
    <w:rsid w:val="00037BD4"/>
    <w:rsid w:val="000406AC"/>
    <w:rsid w:val="00040F13"/>
    <w:rsid w:val="00042A1F"/>
    <w:rsid w:val="0004591F"/>
    <w:rsid w:val="00045E89"/>
    <w:rsid w:val="0004785F"/>
    <w:rsid w:val="000509CD"/>
    <w:rsid w:val="00050A77"/>
    <w:rsid w:val="00051C68"/>
    <w:rsid w:val="00054384"/>
    <w:rsid w:val="00055737"/>
    <w:rsid w:val="00055931"/>
    <w:rsid w:val="00055E25"/>
    <w:rsid w:val="00055EFD"/>
    <w:rsid w:val="000577C6"/>
    <w:rsid w:val="00057F43"/>
    <w:rsid w:val="00060482"/>
    <w:rsid w:val="00061DF0"/>
    <w:rsid w:val="000627F0"/>
    <w:rsid w:val="00065887"/>
    <w:rsid w:val="00065A0E"/>
    <w:rsid w:val="00070583"/>
    <w:rsid w:val="000705D9"/>
    <w:rsid w:val="000712F4"/>
    <w:rsid w:val="000717F3"/>
    <w:rsid w:val="00071EC5"/>
    <w:rsid w:val="00072910"/>
    <w:rsid w:val="000753EE"/>
    <w:rsid w:val="00075B39"/>
    <w:rsid w:val="00075B3D"/>
    <w:rsid w:val="00076C3C"/>
    <w:rsid w:val="00077176"/>
    <w:rsid w:val="00077881"/>
    <w:rsid w:val="00080FD5"/>
    <w:rsid w:val="00083EFC"/>
    <w:rsid w:val="00084B73"/>
    <w:rsid w:val="000858B3"/>
    <w:rsid w:val="000858E6"/>
    <w:rsid w:val="000864A8"/>
    <w:rsid w:val="000866DA"/>
    <w:rsid w:val="000907A6"/>
    <w:rsid w:val="0009201B"/>
    <w:rsid w:val="00092802"/>
    <w:rsid w:val="00093161"/>
    <w:rsid w:val="00095414"/>
    <w:rsid w:val="00095B6C"/>
    <w:rsid w:val="000A09B1"/>
    <w:rsid w:val="000A17A0"/>
    <w:rsid w:val="000A48EE"/>
    <w:rsid w:val="000A7D00"/>
    <w:rsid w:val="000B0A20"/>
    <w:rsid w:val="000B0D94"/>
    <w:rsid w:val="000B1D27"/>
    <w:rsid w:val="000B26C3"/>
    <w:rsid w:val="000B4E2A"/>
    <w:rsid w:val="000B52F3"/>
    <w:rsid w:val="000B5B0D"/>
    <w:rsid w:val="000B6E4F"/>
    <w:rsid w:val="000B7272"/>
    <w:rsid w:val="000C29A9"/>
    <w:rsid w:val="000C2CBA"/>
    <w:rsid w:val="000C4237"/>
    <w:rsid w:val="000C4AB2"/>
    <w:rsid w:val="000C50F7"/>
    <w:rsid w:val="000C5546"/>
    <w:rsid w:val="000C56FE"/>
    <w:rsid w:val="000C58CD"/>
    <w:rsid w:val="000D0B82"/>
    <w:rsid w:val="000D112D"/>
    <w:rsid w:val="000D163B"/>
    <w:rsid w:val="000D27BD"/>
    <w:rsid w:val="000D32D5"/>
    <w:rsid w:val="000D33EE"/>
    <w:rsid w:val="000D363E"/>
    <w:rsid w:val="000D3A49"/>
    <w:rsid w:val="000D3DF2"/>
    <w:rsid w:val="000D6AAF"/>
    <w:rsid w:val="000D7E12"/>
    <w:rsid w:val="000E081D"/>
    <w:rsid w:val="000E087A"/>
    <w:rsid w:val="000E7D66"/>
    <w:rsid w:val="000F0F41"/>
    <w:rsid w:val="000F122F"/>
    <w:rsid w:val="000F140F"/>
    <w:rsid w:val="000F29FD"/>
    <w:rsid w:val="000F2B88"/>
    <w:rsid w:val="000F3657"/>
    <w:rsid w:val="000F3DA6"/>
    <w:rsid w:val="000F4093"/>
    <w:rsid w:val="000F5769"/>
    <w:rsid w:val="000F5ABE"/>
    <w:rsid w:val="000F5E26"/>
    <w:rsid w:val="000F71C3"/>
    <w:rsid w:val="001011D9"/>
    <w:rsid w:val="00102067"/>
    <w:rsid w:val="00102C20"/>
    <w:rsid w:val="00103ACF"/>
    <w:rsid w:val="00104E0F"/>
    <w:rsid w:val="00104F5C"/>
    <w:rsid w:val="001051A9"/>
    <w:rsid w:val="00105963"/>
    <w:rsid w:val="00105D3A"/>
    <w:rsid w:val="00105F91"/>
    <w:rsid w:val="001062D1"/>
    <w:rsid w:val="00110B45"/>
    <w:rsid w:val="00111E48"/>
    <w:rsid w:val="00112531"/>
    <w:rsid w:val="0011352A"/>
    <w:rsid w:val="00114286"/>
    <w:rsid w:val="00116D14"/>
    <w:rsid w:val="001174E5"/>
    <w:rsid w:val="001179D8"/>
    <w:rsid w:val="0012191C"/>
    <w:rsid w:val="00121E5A"/>
    <w:rsid w:val="00122CA1"/>
    <w:rsid w:val="00122F00"/>
    <w:rsid w:val="0012512D"/>
    <w:rsid w:val="0012578F"/>
    <w:rsid w:val="0012693C"/>
    <w:rsid w:val="00126C33"/>
    <w:rsid w:val="00126D00"/>
    <w:rsid w:val="001270FF"/>
    <w:rsid w:val="0012748B"/>
    <w:rsid w:val="0013082A"/>
    <w:rsid w:val="00132895"/>
    <w:rsid w:val="00133419"/>
    <w:rsid w:val="00135555"/>
    <w:rsid w:val="001363F5"/>
    <w:rsid w:val="00136AC3"/>
    <w:rsid w:val="00144C8F"/>
    <w:rsid w:val="00145C33"/>
    <w:rsid w:val="0014660D"/>
    <w:rsid w:val="001501C0"/>
    <w:rsid w:val="0015049B"/>
    <w:rsid w:val="00150D34"/>
    <w:rsid w:val="00151DDC"/>
    <w:rsid w:val="00152086"/>
    <w:rsid w:val="00152824"/>
    <w:rsid w:val="001532EA"/>
    <w:rsid w:val="00153593"/>
    <w:rsid w:val="001544DD"/>
    <w:rsid w:val="00154F32"/>
    <w:rsid w:val="00157766"/>
    <w:rsid w:val="00160593"/>
    <w:rsid w:val="00160E68"/>
    <w:rsid w:val="001612F1"/>
    <w:rsid w:val="00161905"/>
    <w:rsid w:val="00161A06"/>
    <w:rsid w:val="00161D48"/>
    <w:rsid w:val="00161FA1"/>
    <w:rsid w:val="001622C5"/>
    <w:rsid w:val="001638BA"/>
    <w:rsid w:val="00166A76"/>
    <w:rsid w:val="00166BCE"/>
    <w:rsid w:val="0017044C"/>
    <w:rsid w:val="00170A9D"/>
    <w:rsid w:val="001712B0"/>
    <w:rsid w:val="001720BD"/>
    <w:rsid w:val="00175C4E"/>
    <w:rsid w:val="00176E76"/>
    <w:rsid w:val="0017797E"/>
    <w:rsid w:val="00177FC2"/>
    <w:rsid w:val="00180CD3"/>
    <w:rsid w:val="0018132D"/>
    <w:rsid w:val="00181B22"/>
    <w:rsid w:val="001826BD"/>
    <w:rsid w:val="0018433E"/>
    <w:rsid w:val="0018531C"/>
    <w:rsid w:val="00185D15"/>
    <w:rsid w:val="001871F5"/>
    <w:rsid w:val="00187A11"/>
    <w:rsid w:val="00191AF7"/>
    <w:rsid w:val="00191B57"/>
    <w:rsid w:val="00192773"/>
    <w:rsid w:val="0019284D"/>
    <w:rsid w:val="00193454"/>
    <w:rsid w:val="00194ABA"/>
    <w:rsid w:val="00195953"/>
    <w:rsid w:val="00196E73"/>
    <w:rsid w:val="00197FE8"/>
    <w:rsid w:val="001A180A"/>
    <w:rsid w:val="001A2474"/>
    <w:rsid w:val="001A25BD"/>
    <w:rsid w:val="001A299D"/>
    <w:rsid w:val="001A41E0"/>
    <w:rsid w:val="001A4EDF"/>
    <w:rsid w:val="001A51A7"/>
    <w:rsid w:val="001A5773"/>
    <w:rsid w:val="001A6143"/>
    <w:rsid w:val="001A6BF1"/>
    <w:rsid w:val="001A78D8"/>
    <w:rsid w:val="001B2CBF"/>
    <w:rsid w:val="001B4152"/>
    <w:rsid w:val="001B54AE"/>
    <w:rsid w:val="001B5997"/>
    <w:rsid w:val="001B5A2C"/>
    <w:rsid w:val="001B680B"/>
    <w:rsid w:val="001B6A39"/>
    <w:rsid w:val="001B7079"/>
    <w:rsid w:val="001B7692"/>
    <w:rsid w:val="001C1DA5"/>
    <w:rsid w:val="001C2D2D"/>
    <w:rsid w:val="001C3CFF"/>
    <w:rsid w:val="001C486F"/>
    <w:rsid w:val="001C5E97"/>
    <w:rsid w:val="001C6C78"/>
    <w:rsid w:val="001C76A9"/>
    <w:rsid w:val="001D1730"/>
    <w:rsid w:val="001D1EE0"/>
    <w:rsid w:val="001D21DD"/>
    <w:rsid w:val="001D253A"/>
    <w:rsid w:val="001D49E7"/>
    <w:rsid w:val="001D4C13"/>
    <w:rsid w:val="001D4DD2"/>
    <w:rsid w:val="001D53F8"/>
    <w:rsid w:val="001D5EE9"/>
    <w:rsid w:val="001D7FE5"/>
    <w:rsid w:val="001E04B7"/>
    <w:rsid w:val="001E0597"/>
    <w:rsid w:val="001E064E"/>
    <w:rsid w:val="001E0659"/>
    <w:rsid w:val="001E1150"/>
    <w:rsid w:val="001E1EDA"/>
    <w:rsid w:val="001E3E2F"/>
    <w:rsid w:val="001E4BBA"/>
    <w:rsid w:val="001E4E13"/>
    <w:rsid w:val="001E4F56"/>
    <w:rsid w:val="001E551F"/>
    <w:rsid w:val="001E55BB"/>
    <w:rsid w:val="001F0821"/>
    <w:rsid w:val="001F126F"/>
    <w:rsid w:val="001F1501"/>
    <w:rsid w:val="001F204C"/>
    <w:rsid w:val="001F2892"/>
    <w:rsid w:val="001F2EE6"/>
    <w:rsid w:val="001F30AD"/>
    <w:rsid w:val="001F3532"/>
    <w:rsid w:val="001F56EE"/>
    <w:rsid w:val="001F5BF2"/>
    <w:rsid w:val="001F6A40"/>
    <w:rsid w:val="001F7501"/>
    <w:rsid w:val="0020209A"/>
    <w:rsid w:val="002027BE"/>
    <w:rsid w:val="00203CE2"/>
    <w:rsid w:val="0020488A"/>
    <w:rsid w:val="00204989"/>
    <w:rsid w:val="0020623E"/>
    <w:rsid w:val="00206E15"/>
    <w:rsid w:val="00207F84"/>
    <w:rsid w:val="0021105D"/>
    <w:rsid w:val="00211753"/>
    <w:rsid w:val="00211BF9"/>
    <w:rsid w:val="002125DA"/>
    <w:rsid w:val="002133BD"/>
    <w:rsid w:val="00214739"/>
    <w:rsid w:val="00216D99"/>
    <w:rsid w:val="0022012B"/>
    <w:rsid w:val="00220774"/>
    <w:rsid w:val="00220EDA"/>
    <w:rsid w:val="002211AA"/>
    <w:rsid w:val="00221306"/>
    <w:rsid w:val="00221683"/>
    <w:rsid w:val="00222DA1"/>
    <w:rsid w:val="00223A7F"/>
    <w:rsid w:val="0022433C"/>
    <w:rsid w:val="002250FB"/>
    <w:rsid w:val="002264C5"/>
    <w:rsid w:val="002303A1"/>
    <w:rsid w:val="00231A22"/>
    <w:rsid w:val="0023273B"/>
    <w:rsid w:val="00233A6B"/>
    <w:rsid w:val="00234400"/>
    <w:rsid w:val="00234592"/>
    <w:rsid w:val="00235545"/>
    <w:rsid w:val="00236CC1"/>
    <w:rsid w:val="002403C9"/>
    <w:rsid w:val="002406FE"/>
    <w:rsid w:val="0024143B"/>
    <w:rsid w:val="002459F9"/>
    <w:rsid w:val="00247078"/>
    <w:rsid w:val="00252408"/>
    <w:rsid w:val="0025470D"/>
    <w:rsid w:val="00254B2F"/>
    <w:rsid w:val="00254C12"/>
    <w:rsid w:val="0025780F"/>
    <w:rsid w:val="002607D9"/>
    <w:rsid w:val="00260E53"/>
    <w:rsid w:val="00262431"/>
    <w:rsid w:val="002627AC"/>
    <w:rsid w:val="00262E44"/>
    <w:rsid w:val="00263165"/>
    <w:rsid w:val="00263576"/>
    <w:rsid w:val="00263A82"/>
    <w:rsid w:val="00264257"/>
    <w:rsid w:val="0026479A"/>
    <w:rsid w:val="002647F3"/>
    <w:rsid w:val="00265523"/>
    <w:rsid w:val="0026593A"/>
    <w:rsid w:val="0026606C"/>
    <w:rsid w:val="00266C62"/>
    <w:rsid w:val="00266DB8"/>
    <w:rsid w:val="0026798E"/>
    <w:rsid w:val="002705A1"/>
    <w:rsid w:val="00270610"/>
    <w:rsid w:val="00270793"/>
    <w:rsid w:val="00270826"/>
    <w:rsid w:val="002715B4"/>
    <w:rsid w:val="00272543"/>
    <w:rsid w:val="0027363B"/>
    <w:rsid w:val="002739BF"/>
    <w:rsid w:val="002768F6"/>
    <w:rsid w:val="0027791A"/>
    <w:rsid w:val="00281596"/>
    <w:rsid w:val="00282DD6"/>
    <w:rsid w:val="00282DDB"/>
    <w:rsid w:val="00282FA2"/>
    <w:rsid w:val="00283CDE"/>
    <w:rsid w:val="00284073"/>
    <w:rsid w:val="00285334"/>
    <w:rsid w:val="00287E80"/>
    <w:rsid w:val="002912A6"/>
    <w:rsid w:val="0029363A"/>
    <w:rsid w:val="0029419E"/>
    <w:rsid w:val="002947B2"/>
    <w:rsid w:val="00296435"/>
    <w:rsid w:val="0029646C"/>
    <w:rsid w:val="00296E69"/>
    <w:rsid w:val="002A22A4"/>
    <w:rsid w:val="002A2FB5"/>
    <w:rsid w:val="002A3E74"/>
    <w:rsid w:val="002A3F48"/>
    <w:rsid w:val="002A4272"/>
    <w:rsid w:val="002A57A4"/>
    <w:rsid w:val="002A58D9"/>
    <w:rsid w:val="002A5A68"/>
    <w:rsid w:val="002A63B4"/>
    <w:rsid w:val="002A717F"/>
    <w:rsid w:val="002A74DA"/>
    <w:rsid w:val="002B0B6E"/>
    <w:rsid w:val="002B24CF"/>
    <w:rsid w:val="002B32BC"/>
    <w:rsid w:val="002B5EFD"/>
    <w:rsid w:val="002B5F2A"/>
    <w:rsid w:val="002C007A"/>
    <w:rsid w:val="002C0CC8"/>
    <w:rsid w:val="002C0E89"/>
    <w:rsid w:val="002C2E54"/>
    <w:rsid w:val="002C3181"/>
    <w:rsid w:val="002C42F1"/>
    <w:rsid w:val="002C6704"/>
    <w:rsid w:val="002C7155"/>
    <w:rsid w:val="002C72F3"/>
    <w:rsid w:val="002C7812"/>
    <w:rsid w:val="002C79E4"/>
    <w:rsid w:val="002C7F8D"/>
    <w:rsid w:val="002D0948"/>
    <w:rsid w:val="002D2D61"/>
    <w:rsid w:val="002D35D3"/>
    <w:rsid w:val="002D35D9"/>
    <w:rsid w:val="002D3CF6"/>
    <w:rsid w:val="002D40B4"/>
    <w:rsid w:val="002D5219"/>
    <w:rsid w:val="002D54FA"/>
    <w:rsid w:val="002D6040"/>
    <w:rsid w:val="002D66C6"/>
    <w:rsid w:val="002D68D5"/>
    <w:rsid w:val="002E0042"/>
    <w:rsid w:val="002E0FF5"/>
    <w:rsid w:val="002E1C56"/>
    <w:rsid w:val="002E1FBE"/>
    <w:rsid w:val="002E456B"/>
    <w:rsid w:val="002E55C0"/>
    <w:rsid w:val="002E594A"/>
    <w:rsid w:val="002E6232"/>
    <w:rsid w:val="002E6F5A"/>
    <w:rsid w:val="002E7A27"/>
    <w:rsid w:val="002E7C73"/>
    <w:rsid w:val="002E7F04"/>
    <w:rsid w:val="002F0F4C"/>
    <w:rsid w:val="002F149C"/>
    <w:rsid w:val="002F332A"/>
    <w:rsid w:val="002F3F03"/>
    <w:rsid w:val="002F4113"/>
    <w:rsid w:val="002F49D1"/>
    <w:rsid w:val="002F50BB"/>
    <w:rsid w:val="002F6EF5"/>
    <w:rsid w:val="00300DB9"/>
    <w:rsid w:val="00300DC6"/>
    <w:rsid w:val="00300FFC"/>
    <w:rsid w:val="00303703"/>
    <w:rsid w:val="003042EE"/>
    <w:rsid w:val="00305E53"/>
    <w:rsid w:val="0030627F"/>
    <w:rsid w:val="0030632C"/>
    <w:rsid w:val="00306C98"/>
    <w:rsid w:val="00307F70"/>
    <w:rsid w:val="003105F2"/>
    <w:rsid w:val="00310679"/>
    <w:rsid w:val="00316D3E"/>
    <w:rsid w:val="00317B32"/>
    <w:rsid w:val="003204B1"/>
    <w:rsid w:val="00320785"/>
    <w:rsid w:val="00320EF0"/>
    <w:rsid w:val="00323C52"/>
    <w:rsid w:val="003242D2"/>
    <w:rsid w:val="00324A68"/>
    <w:rsid w:val="003261E6"/>
    <w:rsid w:val="003269CD"/>
    <w:rsid w:val="00326DD7"/>
    <w:rsid w:val="00327892"/>
    <w:rsid w:val="00327AAB"/>
    <w:rsid w:val="00330B2D"/>
    <w:rsid w:val="003312D0"/>
    <w:rsid w:val="00332261"/>
    <w:rsid w:val="00332853"/>
    <w:rsid w:val="003328BD"/>
    <w:rsid w:val="003331E1"/>
    <w:rsid w:val="00333783"/>
    <w:rsid w:val="00333B75"/>
    <w:rsid w:val="00333D1A"/>
    <w:rsid w:val="0033494E"/>
    <w:rsid w:val="003356C8"/>
    <w:rsid w:val="00336768"/>
    <w:rsid w:val="00337DE4"/>
    <w:rsid w:val="0034020A"/>
    <w:rsid w:val="003433E4"/>
    <w:rsid w:val="00344CC4"/>
    <w:rsid w:val="00344E7A"/>
    <w:rsid w:val="003459F0"/>
    <w:rsid w:val="00345BBB"/>
    <w:rsid w:val="00345F4F"/>
    <w:rsid w:val="003466F5"/>
    <w:rsid w:val="00346DC2"/>
    <w:rsid w:val="00347010"/>
    <w:rsid w:val="00347380"/>
    <w:rsid w:val="00347ABE"/>
    <w:rsid w:val="00347EDA"/>
    <w:rsid w:val="00351600"/>
    <w:rsid w:val="003528A0"/>
    <w:rsid w:val="00354DBA"/>
    <w:rsid w:val="00355406"/>
    <w:rsid w:val="003562ED"/>
    <w:rsid w:val="003567D5"/>
    <w:rsid w:val="003570F6"/>
    <w:rsid w:val="0035717B"/>
    <w:rsid w:val="00357434"/>
    <w:rsid w:val="00357FFB"/>
    <w:rsid w:val="0036153C"/>
    <w:rsid w:val="00362A66"/>
    <w:rsid w:val="003638DE"/>
    <w:rsid w:val="00363D4B"/>
    <w:rsid w:val="00365485"/>
    <w:rsid w:val="00366209"/>
    <w:rsid w:val="00366584"/>
    <w:rsid w:val="00367A98"/>
    <w:rsid w:val="00370761"/>
    <w:rsid w:val="00371C60"/>
    <w:rsid w:val="00371F8A"/>
    <w:rsid w:val="0037396E"/>
    <w:rsid w:val="00374594"/>
    <w:rsid w:val="00374FE0"/>
    <w:rsid w:val="00377DAC"/>
    <w:rsid w:val="00377DE6"/>
    <w:rsid w:val="003811A2"/>
    <w:rsid w:val="00383E1C"/>
    <w:rsid w:val="00384CBF"/>
    <w:rsid w:val="003854F5"/>
    <w:rsid w:val="00386F8E"/>
    <w:rsid w:val="0039057B"/>
    <w:rsid w:val="003912F0"/>
    <w:rsid w:val="0039239A"/>
    <w:rsid w:val="0039283C"/>
    <w:rsid w:val="00393A96"/>
    <w:rsid w:val="0039666C"/>
    <w:rsid w:val="00396732"/>
    <w:rsid w:val="00396ECA"/>
    <w:rsid w:val="003979CD"/>
    <w:rsid w:val="003A051E"/>
    <w:rsid w:val="003A3291"/>
    <w:rsid w:val="003A3F2A"/>
    <w:rsid w:val="003A464C"/>
    <w:rsid w:val="003A5195"/>
    <w:rsid w:val="003A5EE0"/>
    <w:rsid w:val="003A7FC3"/>
    <w:rsid w:val="003B040F"/>
    <w:rsid w:val="003B09D6"/>
    <w:rsid w:val="003B111C"/>
    <w:rsid w:val="003B19E6"/>
    <w:rsid w:val="003B2570"/>
    <w:rsid w:val="003B43B8"/>
    <w:rsid w:val="003B6B1F"/>
    <w:rsid w:val="003B730A"/>
    <w:rsid w:val="003B7A3D"/>
    <w:rsid w:val="003C0A02"/>
    <w:rsid w:val="003C14CF"/>
    <w:rsid w:val="003C1D3B"/>
    <w:rsid w:val="003C3E11"/>
    <w:rsid w:val="003C4729"/>
    <w:rsid w:val="003C4818"/>
    <w:rsid w:val="003C4ED7"/>
    <w:rsid w:val="003C5BB1"/>
    <w:rsid w:val="003C5E00"/>
    <w:rsid w:val="003C672B"/>
    <w:rsid w:val="003C700C"/>
    <w:rsid w:val="003C777E"/>
    <w:rsid w:val="003C7903"/>
    <w:rsid w:val="003C7990"/>
    <w:rsid w:val="003D007D"/>
    <w:rsid w:val="003D0A08"/>
    <w:rsid w:val="003D10F8"/>
    <w:rsid w:val="003D167A"/>
    <w:rsid w:val="003D20DD"/>
    <w:rsid w:val="003D2459"/>
    <w:rsid w:val="003D29AD"/>
    <w:rsid w:val="003D2AE0"/>
    <w:rsid w:val="003D4B8B"/>
    <w:rsid w:val="003D5151"/>
    <w:rsid w:val="003D70D6"/>
    <w:rsid w:val="003D77A1"/>
    <w:rsid w:val="003E1E72"/>
    <w:rsid w:val="003E34E0"/>
    <w:rsid w:val="003E3EAC"/>
    <w:rsid w:val="003E4ADE"/>
    <w:rsid w:val="003E5C06"/>
    <w:rsid w:val="003E6843"/>
    <w:rsid w:val="003E756F"/>
    <w:rsid w:val="003E767A"/>
    <w:rsid w:val="003F049A"/>
    <w:rsid w:val="003F1A97"/>
    <w:rsid w:val="003F1AF9"/>
    <w:rsid w:val="003F4E15"/>
    <w:rsid w:val="003F7995"/>
    <w:rsid w:val="00400E04"/>
    <w:rsid w:val="004018B5"/>
    <w:rsid w:val="00401E00"/>
    <w:rsid w:val="0040200F"/>
    <w:rsid w:val="00403A4E"/>
    <w:rsid w:val="00406079"/>
    <w:rsid w:val="004064A8"/>
    <w:rsid w:val="00410086"/>
    <w:rsid w:val="00410C1A"/>
    <w:rsid w:val="0041218C"/>
    <w:rsid w:val="00413B57"/>
    <w:rsid w:val="00413BA8"/>
    <w:rsid w:val="0041412D"/>
    <w:rsid w:val="00415CBD"/>
    <w:rsid w:val="00415D63"/>
    <w:rsid w:val="0041651B"/>
    <w:rsid w:val="00417433"/>
    <w:rsid w:val="004207D7"/>
    <w:rsid w:val="0042105D"/>
    <w:rsid w:val="00421202"/>
    <w:rsid w:val="00424431"/>
    <w:rsid w:val="0042507F"/>
    <w:rsid w:val="004250C0"/>
    <w:rsid w:val="00427249"/>
    <w:rsid w:val="004326FB"/>
    <w:rsid w:val="00432C13"/>
    <w:rsid w:val="00432CA7"/>
    <w:rsid w:val="004331C1"/>
    <w:rsid w:val="00433AC7"/>
    <w:rsid w:val="00433C3B"/>
    <w:rsid w:val="00434671"/>
    <w:rsid w:val="00434AFD"/>
    <w:rsid w:val="004351D7"/>
    <w:rsid w:val="0043599C"/>
    <w:rsid w:val="004365EC"/>
    <w:rsid w:val="00436B74"/>
    <w:rsid w:val="00436EEC"/>
    <w:rsid w:val="00441257"/>
    <w:rsid w:val="004412F1"/>
    <w:rsid w:val="00441529"/>
    <w:rsid w:val="00442444"/>
    <w:rsid w:val="0044474C"/>
    <w:rsid w:val="0044652B"/>
    <w:rsid w:val="004471EA"/>
    <w:rsid w:val="0044735B"/>
    <w:rsid w:val="0045009F"/>
    <w:rsid w:val="0045046B"/>
    <w:rsid w:val="00450B28"/>
    <w:rsid w:val="00451061"/>
    <w:rsid w:val="004513B9"/>
    <w:rsid w:val="00451D8F"/>
    <w:rsid w:val="00452100"/>
    <w:rsid w:val="00452E1E"/>
    <w:rsid w:val="00452E84"/>
    <w:rsid w:val="00452F6B"/>
    <w:rsid w:val="00453A70"/>
    <w:rsid w:val="00454D0B"/>
    <w:rsid w:val="00456FD3"/>
    <w:rsid w:val="00457990"/>
    <w:rsid w:val="00457AC5"/>
    <w:rsid w:val="0046029D"/>
    <w:rsid w:val="0046072F"/>
    <w:rsid w:val="004626DC"/>
    <w:rsid w:val="004648F0"/>
    <w:rsid w:val="004663D9"/>
    <w:rsid w:val="004665D8"/>
    <w:rsid w:val="00471144"/>
    <w:rsid w:val="004712B4"/>
    <w:rsid w:val="00471D4D"/>
    <w:rsid w:val="004721D2"/>
    <w:rsid w:val="0047221D"/>
    <w:rsid w:val="004732EE"/>
    <w:rsid w:val="00474FC5"/>
    <w:rsid w:val="00475854"/>
    <w:rsid w:val="004769DB"/>
    <w:rsid w:val="00480344"/>
    <w:rsid w:val="00480561"/>
    <w:rsid w:val="00481F8A"/>
    <w:rsid w:val="00482B0A"/>
    <w:rsid w:val="00483D74"/>
    <w:rsid w:val="0048795D"/>
    <w:rsid w:val="00490956"/>
    <w:rsid w:val="00490F58"/>
    <w:rsid w:val="004925FA"/>
    <w:rsid w:val="00492787"/>
    <w:rsid w:val="00492AF6"/>
    <w:rsid w:val="00493A74"/>
    <w:rsid w:val="004943F7"/>
    <w:rsid w:val="0049476B"/>
    <w:rsid w:val="00495B24"/>
    <w:rsid w:val="00496FCE"/>
    <w:rsid w:val="00497C0E"/>
    <w:rsid w:val="00497EC9"/>
    <w:rsid w:val="004A08BE"/>
    <w:rsid w:val="004A1073"/>
    <w:rsid w:val="004A16D4"/>
    <w:rsid w:val="004A217F"/>
    <w:rsid w:val="004A2292"/>
    <w:rsid w:val="004A28C7"/>
    <w:rsid w:val="004A4D51"/>
    <w:rsid w:val="004A4FFB"/>
    <w:rsid w:val="004A59C1"/>
    <w:rsid w:val="004A6496"/>
    <w:rsid w:val="004A64DF"/>
    <w:rsid w:val="004A6E37"/>
    <w:rsid w:val="004B1E60"/>
    <w:rsid w:val="004B1F1F"/>
    <w:rsid w:val="004B3107"/>
    <w:rsid w:val="004B3F60"/>
    <w:rsid w:val="004B487F"/>
    <w:rsid w:val="004B65B9"/>
    <w:rsid w:val="004B6C9F"/>
    <w:rsid w:val="004B6E7C"/>
    <w:rsid w:val="004B717C"/>
    <w:rsid w:val="004B7422"/>
    <w:rsid w:val="004B774F"/>
    <w:rsid w:val="004C2BDD"/>
    <w:rsid w:val="004C3685"/>
    <w:rsid w:val="004C3EE5"/>
    <w:rsid w:val="004C4116"/>
    <w:rsid w:val="004C682D"/>
    <w:rsid w:val="004C75E8"/>
    <w:rsid w:val="004D11E0"/>
    <w:rsid w:val="004D2360"/>
    <w:rsid w:val="004D25B2"/>
    <w:rsid w:val="004D2CCB"/>
    <w:rsid w:val="004D3C5B"/>
    <w:rsid w:val="004D5C50"/>
    <w:rsid w:val="004D5EA1"/>
    <w:rsid w:val="004D72A4"/>
    <w:rsid w:val="004E01BE"/>
    <w:rsid w:val="004E033B"/>
    <w:rsid w:val="004E135D"/>
    <w:rsid w:val="004E231D"/>
    <w:rsid w:val="004E2744"/>
    <w:rsid w:val="004E3375"/>
    <w:rsid w:val="004E434B"/>
    <w:rsid w:val="004E5380"/>
    <w:rsid w:val="004E6672"/>
    <w:rsid w:val="004E6F59"/>
    <w:rsid w:val="004F0A32"/>
    <w:rsid w:val="004F1512"/>
    <w:rsid w:val="004F33CB"/>
    <w:rsid w:val="004F51E6"/>
    <w:rsid w:val="004F552A"/>
    <w:rsid w:val="004F586F"/>
    <w:rsid w:val="004F6F63"/>
    <w:rsid w:val="004F74F8"/>
    <w:rsid w:val="00500142"/>
    <w:rsid w:val="005013BC"/>
    <w:rsid w:val="0050161B"/>
    <w:rsid w:val="0050171C"/>
    <w:rsid w:val="005017B3"/>
    <w:rsid w:val="005017E2"/>
    <w:rsid w:val="00501BBD"/>
    <w:rsid w:val="0050304B"/>
    <w:rsid w:val="0050404D"/>
    <w:rsid w:val="00504EC9"/>
    <w:rsid w:val="00506142"/>
    <w:rsid w:val="0050695B"/>
    <w:rsid w:val="0051105F"/>
    <w:rsid w:val="005117F0"/>
    <w:rsid w:val="0051295D"/>
    <w:rsid w:val="005133DE"/>
    <w:rsid w:val="00513DA2"/>
    <w:rsid w:val="0051543A"/>
    <w:rsid w:val="00521736"/>
    <w:rsid w:val="00522548"/>
    <w:rsid w:val="0052287B"/>
    <w:rsid w:val="00523213"/>
    <w:rsid w:val="00524587"/>
    <w:rsid w:val="00524BE1"/>
    <w:rsid w:val="00524DB5"/>
    <w:rsid w:val="00525E05"/>
    <w:rsid w:val="0052661F"/>
    <w:rsid w:val="00526E3F"/>
    <w:rsid w:val="00527CD5"/>
    <w:rsid w:val="00530753"/>
    <w:rsid w:val="00530827"/>
    <w:rsid w:val="00530E5D"/>
    <w:rsid w:val="0053247F"/>
    <w:rsid w:val="0053379E"/>
    <w:rsid w:val="00534E3A"/>
    <w:rsid w:val="00535BFA"/>
    <w:rsid w:val="00535E55"/>
    <w:rsid w:val="005378CE"/>
    <w:rsid w:val="00537A86"/>
    <w:rsid w:val="005404A4"/>
    <w:rsid w:val="0054091E"/>
    <w:rsid w:val="00540D7E"/>
    <w:rsid w:val="00540E25"/>
    <w:rsid w:val="005413C1"/>
    <w:rsid w:val="00541C84"/>
    <w:rsid w:val="0054260B"/>
    <w:rsid w:val="00542780"/>
    <w:rsid w:val="005428AE"/>
    <w:rsid w:val="005441BF"/>
    <w:rsid w:val="00544CB0"/>
    <w:rsid w:val="00547324"/>
    <w:rsid w:val="005473FF"/>
    <w:rsid w:val="005525D2"/>
    <w:rsid w:val="00553BBD"/>
    <w:rsid w:val="00553CCE"/>
    <w:rsid w:val="005548F9"/>
    <w:rsid w:val="005564F4"/>
    <w:rsid w:val="005570F2"/>
    <w:rsid w:val="0056111F"/>
    <w:rsid w:val="005612A3"/>
    <w:rsid w:val="00561460"/>
    <w:rsid w:val="005620F8"/>
    <w:rsid w:val="00562622"/>
    <w:rsid w:val="00563891"/>
    <w:rsid w:val="00564001"/>
    <w:rsid w:val="005645DD"/>
    <w:rsid w:val="00565229"/>
    <w:rsid w:val="005652C3"/>
    <w:rsid w:val="00565AC8"/>
    <w:rsid w:val="00565E6F"/>
    <w:rsid w:val="005702F9"/>
    <w:rsid w:val="0057152E"/>
    <w:rsid w:val="0057269A"/>
    <w:rsid w:val="00572D20"/>
    <w:rsid w:val="00574642"/>
    <w:rsid w:val="00574792"/>
    <w:rsid w:val="00575CA1"/>
    <w:rsid w:val="005763FD"/>
    <w:rsid w:val="00577475"/>
    <w:rsid w:val="005811A3"/>
    <w:rsid w:val="00581493"/>
    <w:rsid w:val="005838CC"/>
    <w:rsid w:val="00583931"/>
    <w:rsid w:val="00583C00"/>
    <w:rsid w:val="00584623"/>
    <w:rsid w:val="00584A71"/>
    <w:rsid w:val="005867F2"/>
    <w:rsid w:val="005875A1"/>
    <w:rsid w:val="00587803"/>
    <w:rsid w:val="00590019"/>
    <w:rsid w:val="0059029B"/>
    <w:rsid w:val="00590B66"/>
    <w:rsid w:val="00590CBA"/>
    <w:rsid w:val="005927CE"/>
    <w:rsid w:val="00593C59"/>
    <w:rsid w:val="00593ED0"/>
    <w:rsid w:val="00594304"/>
    <w:rsid w:val="00594F6A"/>
    <w:rsid w:val="005959AC"/>
    <w:rsid w:val="005962C0"/>
    <w:rsid w:val="00597BBF"/>
    <w:rsid w:val="005A03FD"/>
    <w:rsid w:val="005A04A5"/>
    <w:rsid w:val="005A0F53"/>
    <w:rsid w:val="005A191D"/>
    <w:rsid w:val="005A2035"/>
    <w:rsid w:val="005A2115"/>
    <w:rsid w:val="005A2A56"/>
    <w:rsid w:val="005A2BCA"/>
    <w:rsid w:val="005A44F5"/>
    <w:rsid w:val="005A4AA2"/>
    <w:rsid w:val="005A501D"/>
    <w:rsid w:val="005A52EA"/>
    <w:rsid w:val="005A545C"/>
    <w:rsid w:val="005A58BB"/>
    <w:rsid w:val="005A6477"/>
    <w:rsid w:val="005A6D7C"/>
    <w:rsid w:val="005A702F"/>
    <w:rsid w:val="005A7F57"/>
    <w:rsid w:val="005B2AC2"/>
    <w:rsid w:val="005B2BDF"/>
    <w:rsid w:val="005B3DAC"/>
    <w:rsid w:val="005B6849"/>
    <w:rsid w:val="005B76BB"/>
    <w:rsid w:val="005C1431"/>
    <w:rsid w:val="005C15B2"/>
    <w:rsid w:val="005C1AE4"/>
    <w:rsid w:val="005C20BB"/>
    <w:rsid w:val="005C21F7"/>
    <w:rsid w:val="005C2A3C"/>
    <w:rsid w:val="005C3387"/>
    <w:rsid w:val="005C4214"/>
    <w:rsid w:val="005C51A5"/>
    <w:rsid w:val="005C538B"/>
    <w:rsid w:val="005C6A83"/>
    <w:rsid w:val="005C6CDC"/>
    <w:rsid w:val="005C7760"/>
    <w:rsid w:val="005C7BB8"/>
    <w:rsid w:val="005D20EE"/>
    <w:rsid w:val="005D3AE0"/>
    <w:rsid w:val="005D3B00"/>
    <w:rsid w:val="005D40F1"/>
    <w:rsid w:val="005D491C"/>
    <w:rsid w:val="005D5651"/>
    <w:rsid w:val="005D6967"/>
    <w:rsid w:val="005D6BF2"/>
    <w:rsid w:val="005D6F22"/>
    <w:rsid w:val="005E065F"/>
    <w:rsid w:val="005E1556"/>
    <w:rsid w:val="005E3F5E"/>
    <w:rsid w:val="005E42DE"/>
    <w:rsid w:val="005E44AC"/>
    <w:rsid w:val="005E4A95"/>
    <w:rsid w:val="005E5309"/>
    <w:rsid w:val="005E53DB"/>
    <w:rsid w:val="005E6D7C"/>
    <w:rsid w:val="005E7BC6"/>
    <w:rsid w:val="005F05B3"/>
    <w:rsid w:val="005F1914"/>
    <w:rsid w:val="005F1E07"/>
    <w:rsid w:val="005F2574"/>
    <w:rsid w:val="005F2B39"/>
    <w:rsid w:val="005F3433"/>
    <w:rsid w:val="005F38C6"/>
    <w:rsid w:val="005F5365"/>
    <w:rsid w:val="005F5CD7"/>
    <w:rsid w:val="00600A2B"/>
    <w:rsid w:val="006014AD"/>
    <w:rsid w:val="006014BA"/>
    <w:rsid w:val="0060432E"/>
    <w:rsid w:val="00604871"/>
    <w:rsid w:val="0060499E"/>
    <w:rsid w:val="00604A10"/>
    <w:rsid w:val="0060503D"/>
    <w:rsid w:val="00605FCF"/>
    <w:rsid w:val="00610AD7"/>
    <w:rsid w:val="00610C99"/>
    <w:rsid w:val="00610CB1"/>
    <w:rsid w:val="00612B13"/>
    <w:rsid w:val="00612B4F"/>
    <w:rsid w:val="006133D2"/>
    <w:rsid w:val="00614A97"/>
    <w:rsid w:val="00614B64"/>
    <w:rsid w:val="00615902"/>
    <w:rsid w:val="00616BB5"/>
    <w:rsid w:val="00617EA8"/>
    <w:rsid w:val="006213D2"/>
    <w:rsid w:val="00622E13"/>
    <w:rsid w:val="00625356"/>
    <w:rsid w:val="00627CCB"/>
    <w:rsid w:val="00630C62"/>
    <w:rsid w:val="00630D57"/>
    <w:rsid w:val="00631B33"/>
    <w:rsid w:val="00631CA8"/>
    <w:rsid w:val="00631D4F"/>
    <w:rsid w:val="00632BDC"/>
    <w:rsid w:val="006333AA"/>
    <w:rsid w:val="006334F8"/>
    <w:rsid w:val="006345AC"/>
    <w:rsid w:val="0063460D"/>
    <w:rsid w:val="006349DB"/>
    <w:rsid w:val="0063571B"/>
    <w:rsid w:val="00635E39"/>
    <w:rsid w:val="00636892"/>
    <w:rsid w:val="00636CC6"/>
    <w:rsid w:val="00640B51"/>
    <w:rsid w:val="006410F2"/>
    <w:rsid w:val="00642AF3"/>
    <w:rsid w:val="0064376E"/>
    <w:rsid w:val="00644851"/>
    <w:rsid w:val="00644B91"/>
    <w:rsid w:val="00645165"/>
    <w:rsid w:val="006455B3"/>
    <w:rsid w:val="00645A49"/>
    <w:rsid w:val="00647421"/>
    <w:rsid w:val="006503AC"/>
    <w:rsid w:val="00651C69"/>
    <w:rsid w:val="00652069"/>
    <w:rsid w:val="006526AB"/>
    <w:rsid w:val="006528A0"/>
    <w:rsid w:val="00653F43"/>
    <w:rsid w:val="006548E6"/>
    <w:rsid w:val="00654D00"/>
    <w:rsid w:val="00654F13"/>
    <w:rsid w:val="006556E5"/>
    <w:rsid w:val="00655B11"/>
    <w:rsid w:val="00657047"/>
    <w:rsid w:val="0065794A"/>
    <w:rsid w:val="00662BEB"/>
    <w:rsid w:val="00664E4D"/>
    <w:rsid w:val="006652F0"/>
    <w:rsid w:val="006669AF"/>
    <w:rsid w:val="00666ED5"/>
    <w:rsid w:val="0067008A"/>
    <w:rsid w:val="0067079D"/>
    <w:rsid w:val="00670DD3"/>
    <w:rsid w:val="006710CD"/>
    <w:rsid w:val="006714B5"/>
    <w:rsid w:val="00672003"/>
    <w:rsid w:val="006722A8"/>
    <w:rsid w:val="00672979"/>
    <w:rsid w:val="00673B23"/>
    <w:rsid w:val="00674FCD"/>
    <w:rsid w:val="00675103"/>
    <w:rsid w:val="00675602"/>
    <w:rsid w:val="00677261"/>
    <w:rsid w:val="00677BE1"/>
    <w:rsid w:val="00680C9B"/>
    <w:rsid w:val="0068136E"/>
    <w:rsid w:val="00685462"/>
    <w:rsid w:val="00685AE7"/>
    <w:rsid w:val="00685D64"/>
    <w:rsid w:val="00686152"/>
    <w:rsid w:val="00686B3B"/>
    <w:rsid w:val="00686BBA"/>
    <w:rsid w:val="00687A73"/>
    <w:rsid w:val="006916E5"/>
    <w:rsid w:val="006937D5"/>
    <w:rsid w:val="0069387B"/>
    <w:rsid w:val="00693AF2"/>
    <w:rsid w:val="00694DDE"/>
    <w:rsid w:val="00694F02"/>
    <w:rsid w:val="00695CE6"/>
    <w:rsid w:val="006966E6"/>
    <w:rsid w:val="00696721"/>
    <w:rsid w:val="006A0B2F"/>
    <w:rsid w:val="006A179B"/>
    <w:rsid w:val="006A1BD7"/>
    <w:rsid w:val="006A221B"/>
    <w:rsid w:val="006A303F"/>
    <w:rsid w:val="006A4BA5"/>
    <w:rsid w:val="006A6877"/>
    <w:rsid w:val="006A7253"/>
    <w:rsid w:val="006B03D6"/>
    <w:rsid w:val="006B107D"/>
    <w:rsid w:val="006B1990"/>
    <w:rsid w:val="006B1CAD"/>
    <w:rsid w:val="006B28EE"/>
    <w:rsid w:val="006B56EE"/>
    <w:rsid w:val="006B5ECE"/>
    <w:rsid w:val="006B63C4"/>
    <w:rsid w:val="006B7A8A"/>
    <w:rsid w:val="006B7BB9"/>
    <w:rsid w:val="006C1FF7"/>
    <w:rsid w:val="006C30E7"/>
    <w:rsid w:val="006C31CA"/>
    <w:rsid w:val="006C345F"/>
    <w:rsid w:val="006C44C2"/>
    <w:rsid w:val="006C4BED"/>
    <w:rsid w:val="006C53D2"/>
    <w:rsid w:val="006C5434"/>
    <w:rsid w:val="006C556F"/>
    <w:rsid w:val="006C5A19"/>
    <w:rsid w:val="006C6772"/>
    <w:rsid w:val="006C777F"/>
    <w:rsid w:val="006C795D"/>
    <w:rsid w:val="006C7CF2"/>
    <w:rsid w:val="006D0603"/>
    <w:rsid w:val="006D0CF8"/>
    <w:rsid w:val="006D1271"/>
    <w:rsid w:val="006D18DE"/>
    <w:rsid w:val="006D453D"/>
    <w:rsid w:val="006D4B99"/>
    <w:rsid w:val="006D50F5"/>
    <w:rsid w:val="006D5CF6"/>
    <w:rsid w:val="006E071A"/>
    <w:rsid w:val="006E2070"/>
    <w:rsid w:val="006E299E"/>
    <w:rsid w:val="006E2FD8"/>
    <w:rsid w:val="006E37C5"/>
    <w:rsid w:val="006E3EFC"/>
    <w:rsid w:val="006E5DC1"/>
    <w:rsid w:val="006E6AF8"/>
    <w:rsid w:val="006E709F"/>
    <w:rsid w:val="006E779C"/>
    <w:rsid w:val="006F00FE"/>
    <w:rsid w:val="006F2504"/>
    <w:rsid w:val="006F2951"/>
    <w:rsid w:val="006F2E0A"/>
    <w:rsid w:val="006F352B"/>
    <w:rsid w:val="006F3639"/>
    <w:rsid w:val="006F45DF"/>
    <w:rsid w:val="006F4850"/>
    <w:rsid w:val="006F4ACA"/>
    <w:rsid w:val="006F5FE9"/>
    <w:rsid w:val="006F6409"/>
    <w:rsid w:val="006F6D19"/>
    <w:rsid w:val="006F6F57"/>
    <w:rsid w:val="007005CD"/>
    <w:rsid w:val="00702D94"/>
    <w:rsid w:val="007037DD"/>
    <w:rsid w:val="00703AD1"/>
    <w:rsid w:val="00704504"/>
    <w:rsid w:val="00705200"/>
    <w:rsid w:val="0070664A"/>
    <w:rsid w:val="0070669D"/>
    <w:rsid w:val="007067C6"/>
    <w:rsid w:val="00710049"/>
    <w:rsid w:val="00710CA8"/>
    <w:rsid w:val="00712301"/>
    <w:rsid w:val="00712816"/>
    <w:rsid w:val="00714BE7"/>
    <w:rsid w:val="0071610E"/>
    <w:rsid w:val="007172BA"/>
    <w:rsid w:val="00717563"/>
    <w:rsid w:val="00717800"/>
    <w:rsid w:val="007208CF"/>
    <w:rsid w:val="007218C8"/>
    <w:rsid w:val="00723AEE"/>
    <w:rsid w:val="00723E92"/>
    <w:rsid w:val="00723EE9"/>
    <w:rsid w:val="007256D8"/>
    <w:rsid w:val="00725AF1"/>
    <w:rsid w:val="00726D7F"/>
    <w:rsid w:val="007271B7"/>
    <w:rsid w:val="00730AB3"/>
    <w:rsid w:val="007313BC"/>
    <w:rsid w:val="007319FB"/>
    <w:rsid w:val="00731BE4"/>
    <w:rsid w:val="00732207"/>
    <w:rsid w:val="00732425"/>
    <w:rsid w:val="00732B58"/>
    <w:rsid w:val="0073309B"/>
    <w:rsid w:val="00733D1E"/>
    <w:rsid w:val="00733ED9"/>
    <w:rsid w:val="00735B24"/>
    <w:rsid w:val="00736E3C"/>
    <w:rsid w:val="00737398"/>
    <w:rsid w:val="007375AB"/>
    <w:rsid w:val="0073761F"/>
    <w:rsid w:val="0073777B"/>
    <w:rsid w:val="0074014C"/>
    <w:rsid w:val="007404DC"/>
    <w:rsid w:val="00740932"/>
    <w:rsid w:val="00741A0C"/>
    <w:rsid w:val="00742BE4"/>
    <w:rsid w:val="00743118"/>
    <w:rsid w:val="00744874"/>
    <w:rsid w:val="0074530F"/>
    <w:rsid w:val="00745C90"/>
    <w:rsid w:val="00746416"/>
    <w:rsid w:val="00746AA9"/>
    <w:rsid w:val="00747B08"/>
    <w:rsid w:val="00750ADF"/>
    <w:rsid w:val="00750EE3"/>
    <w:rsid w:val="00750F54"/>
    <w:rsid w:val="007528E0"/>
    <w:rsid w:val="00754BCB"/>
    <w:rsid w:val="007576E3"/>
    <w:rsid w:val="00757D9D"/>
    <w:rsid w:val="00757DB5"/>
    <w:rsid w:val="00760A5E"/>
    <w:rsid w:val="00761295"/>
    <w:rsid w:val="0076166B"/>
    <w:rsid w:val="00761859"/>
    <w:rsid w:val="00761FE0"/>
    <w:rsid w:val="00762057"/>
    <w:rsid w:val="007624EF"/>
    <w:rsid w:val="007640FB"/>
    <w:rsid w:val="007678F7"/>
    <w:rsid w:val="00770426"/>
    <w:rsid w:val="007723F6"/>
    <w:rsid w:val="00772407"/>
    <w:rsid w:val="00772C01"/>
    <w:rsid w:val="00780AAC"/>
    <w:rsid w:val="00781470"/>
    <w:rsid w:val="00781656"/>
    <w:rsid w:val="007822DC"/>
    <w:rsid w:val="00785C4E"/>
    <w:rsid w:val="00787873"/>
    <w:rsid w:val="00787CE2"/>
    <w:rsid w:val="00787D5F"/>
    <w:rsid w:val="00787E97"/>
    <w:rsid w:val="00790361"/>
    <w:rsid w:val="00791129"/>
    <w:rsid w:val="007916FB"/>
    <w:rsid w:val="00791B5B"/>
    <w:rsid w:val="00792C57"/>
    <w:rsid w:val="00792D08"/>
    <w:rsid w:val="0079367A"/>
    <w:rsid w:val="00793C32"/>
    <w:rsid w:val="007946F0"/>
    <w:rsid w:val="007952D3"/>
    <w:rsid w:val="0079593C"/>
    <w:rsid w:val="0079643C"/>
    <w:rsid w:val="0079710F"/>
    <w:rsid w:val="00797A29"/>
    <w:rsid w:val="00797C09"/>
    <w:rsid w:val="007A0E61"/>
    <w:rsid w:val="007A1349"/>
    <w:rsid w:val="007A18FD"/>
    <w:rsid w:val="007A1CA7"/>
    <w:rsid w:val="007A1E17"/>
    <w:rsid w:val="007A2C53"/>
    <w:rsid w:val="007A3567"/>
    <w:rsid w:val="007A4B84"/>
    <w:rsid w:val="007A71D2"/>
    <w:rsid w:val="007B0BDA"/>
    <w:rsid w:val="007B0E9A"/>
    <w:rsid w:val="007B0EAD"/>
    <w:rsid w:val="007B2986"/>
    <w:rsid w:val="007B35CB"/>
    <w:rsid w:val="007B4BFA"/>
    <w:rsid w:val="007B4C28"/>
    <w:rsid w:val="007B59B9"/>
    <w:rsid w:val="007B5B20"/>
    <w:rsid w:val="007B5E92"/>
    <w:rsid w:val="007B6785"/>
    <w:rsid w:val="007B69F1"/>
    <w:rsid w:val="007B78C9"/>
    <w:rsid w:val="007B78EC"/>
    <w:rsid w:val="007C012A"/>
    <w:rsid w:val="007C0378"/>
    <w:rsid w:val="007C066D"/>
    <w:rsid w:val="007C1652"/>
    <w:rsid w:val="007C1D51"/>
    <w:rsid w:val="007C23A0"/>
    <w:rsid w:val="007C378E"/>
    <w:rsid w:val="007C49D9"/>
    <w:rsid w:val="007C510B"/>
    <w:rsid w:val="007C55FA"/>
    <w:rsid w:val="007C7081"/>
    <w:rsid w:val="007C762D"/>
    <w:rsid w:val="007C7D49"/>
    <w:rsid w:val="007D2042"/>
    <w:rsid w:val="007D4900"/>
    <w:rsid w:val="007D5872"/>
    <w:rsid w:val="007D5E30"/>
    <w:rsid w:val="007D6175"/>
    <w:rsid w:val="007E195E"/>
    <w:rsid w:val="007E21C3"/>
    <w:rsid w:val="007E3C9F"/>
    <w:rsid w:val="007E4C4D"/>
    <w:rsid w:val="007E4CA0"/>
    <w:rsid w:val="007E5000"/>
    <w:rsid w:val="007E5A57"/>
    <w:rsid w:val="007E5B77"/>
    <w:rsid w:val="007E7D93"/>
    <w:rsid w:val="007F0F09"/>
    <w:rsid w:val="007F0F79"/>
    <w:rsid w:val="007F3136"/>
    <w:rsid w:val="007F4099"/>
    <w:rsid w:val="007F6B43"/>
    <w:rsid w:val="008007F4"/>
    <w:rsid w:val="00800EE9"/>
    <w:rsid w:val="00802693"/>
    <w:rsid w:val="00802C6E"/>
    <w:rsid w:val="008056C8"/>
    <w:rsid w:val="008064DB"/>
    <w:rsid w:val="008127C6"/>
    <w:rsid w:val="00812CA6"/>
    <w:rsid w:val="008135E3"/>
    <w:rsid w:val="00813EEF"/>
    <w:rsid w:val="008157D8"/>
    <w:rsid w:val="00816194"/>
    <w:rsid w:val="008164ED"/>
    <w:rsid w:val="00817215"/>
    <w:rsid w:val="00817611"/>
    <w:rsid w:val="008176E0"/>
    <w:rsid w:val="008200F1"/>
    <w:rsid w:val="00820847"/>
    <w:rsid w:val="00820E6A"/>
    <w:rsid w:val="00821522"/>
    <w:rsid w:val="00821A93"/>
    <w:rsid w:val="00821CAF"/>
    <w:rsid w:val="00821EED"/>
    <w:rsid w:val="00822B05"/>
    <w:rsid w:val="008235E9"/>
    <w:rsid w:val="008242BF"/>
    <w:rsid w:val="00825168"/>
    <w:rsid w:val="00825411"/>
    <w:rsid w:val="008258B2"/>
    <w:rsid w:val="008267F2"/>
    <w:rsid w:val="00827366"/>
    <w:rsid w:val="008307DC"/>
    <w:rsid w:val="008311DE"/>
    <w:rsid w:val="008323EE"/>
    <w:rsid w:val="008324F2"/>
    <w:rsid w:val="00834026"/>
    <w:rsid w:val="00834B31"/>
    <w:rsid w:val="00835E66"/>
    <w:rsid w:val="0084014F"/>
    <w:rsid w:val="00840644"/>
    <w:rsid w:val="00841107"/>
    <w:rsid w:val="00841367"/>
    <w:rsid w:val="008421EA"/>
    <w:rsid w:val="0084286D"/>
    <w:rsid w:val="00842F88"/>
    <w:rsid w:val="00843134"/>
    <w:rsid w:val="00843B6E"/>
    <w:rsid w:val="008442AE"/>
    <w:rsid w:val="00844448"/>
    <w:rsid w:val="00846FD5"/>
    <w:rsid w:val="00847032"/>
    <w:rsid w:val="00850128"/>
    <w:rsid w:val="008517FC"/>
    <w:rsid w:val="00851BEA"/>
    <w:rsid w:val="00851EE1"/>
    <w:rsid w:val="008529D0"/>
    <w:rsid w:val="0085560E"/>
    <w:rsid w:val="00855B7C"/>
    <w:rsid w:val="008570B4"/>
    <w:rsid w:val="00857358"/>
    <w:rsid w:val="00860108"/>
    <w:rsid w:val="0086024A"/>
    <w:rsid w:val="008607DB"/>
    <w:rsid w:val="008608F1"/>
    <w:rsid w:val="00860E7C"/>
    <w:rsid w:val="00860E8F"/>
    <w:rsid w:val="008621D6"/>
    <w:rsid w:val="00862DE9"/>
    <w:rsid w:val="008632EC"/>
    <w:rsid w:val="00863611"/>
    <w:rsid w:val="008640AA"/>
    <w:rsid w:val="00864EF3"/>
    <w:rsid w:val="0086781C"/>
    <w:rsid w:val="0087003B"/>
    <w:rsid w:val="00871026"/>
    <w:rsid w:val="008714D8"/>
    <w:rsid w:val="00871517"/>
    <w:rsid w:val="00871878"/>
    <w:rsid w:val="00871D4D"/>
    <w:rsid w:val="00872034"/>
    <w:rsid w:val="00872B38"/>
    <w:rsid w:val="00873A55"/>
    <w:rsid w:val="00873E94"/>
    <w:rsid w:val="00874548"/>
    <w:rsid w:val="00875880"/>
    <w:rsid w:val="00876D08"/>
    <w:rsid w:val="008771C4"/>
    <w:rsid w:val="00877461"/>
    <w:rsid w:val="00877DCE"/>
    <w:rsid w:val="0088161E"/>
    <w:rsid w:val="00882150"/>
    <w:rsid w:val="008834A0"/>
    <w:rsid w:val="00883677"/>
    <w:rsid w:val="0088409B"/>
    <w:rsid w:val="00884550"/>
    <w:rsid w:val="008849A8"/>
    <w:rsid w:val="00884A91"/>
    <w:rsid w:val="008861C9"/>
    <w:rsid w:val="00886F84"/>
    <w:rsid w:val="00887518"/>
    <w:rsid w:val="0089029B"/>
    <w:rsid w:val="00890A16"/>
    <w:rsid w:val="00890E49"/>
    <w:rsid w:val="00891735"/>
    <w:rsid w:val="00891FC0"/>
    <w:rsid w:val="00893856"/>
    <w:rsid w:val="00895CA2"/>
    <w:rsid w:val="00896D83"/>
    <w:rsid w:val="00897196"/>
    <w:rsid w:val="00897854"/>
    <w:rsid w:val="00897BB9"/>
    <w:rsid w:val="008A0D3A"/>
    <w:rsid w:val="008A0FBD"/>
    <w:rsid w:val="008A16AA"/>
    <w:rsid w:val="008A176F"/>
    <w:rsid w:val="008A17EB"/>
    <w:rsid w:val="008A33D1"/>
    <w:rsid w:val="008A3989"/>
    <w:rsid w:val="008A3D32"/>
    <w:rsid w:val="008A3E41"/>
    <w:rsid w:val="008A4767"/>
    <w:rsid w:val="008A4835"/>
    <w:rsid w:val="008A5870"/>
    <w:rsid w:val="008A5DD5"/>
    <w:rsid w:val="008A63A5"/>
    <w:rsid w:val="008A6631"/>
    <w:rsid w:val="008A7FAD"/>
    <w:rsid w:val="008B3048"/>
    <w:rsid w:val="008B4677"/>
    <w:rsid w:val="008B55F2"/>
    <w:rsid w:val="008B5FF9"/>
    <w:rsid w:val="008B617D"/>
    <w:rsid w:val="008B65FB"/>
    <w:rsid w:val="008B6BF4"/>
    <w:rsid w:val="008B77D7"/>
    <w:rsid w:val="008B7DD7"/>
    <w:rsid w:val="008C02C4"/>
    <w:rsid w:val="008C0E91"/>
    <w:rsid w:val="008C1854"/>
    <w:rsid w:val="008C1D70"/>
    <w:rsid w:val="008C29D7"/>
    <w:rsid w:val="008C38FE"/>
    <w:rsid w:val="008C457C"/>
    <w:rsid w:val="008C53AB"/>
    <w:rsid w:val="008C6FF9"/>
    <w:rsid w:val="008C7A88"/>
    <w:rsid w:val="008D0106"/>
    <w:rsid w:val="008D4EAC"/>
    <w:rsid w:val="008D4F67"/>
    <w:rsid w:val="008D5F38"/>
    <w:rsid w:val="008D64ED"/>
    <w:rsid w:val="008D67FF"/>
    <w:rsid w:val="008D6CC1"/>
    <w:rsid w:val="008E0073"/>
    <w:rsid w:val="008E0082"/>
    <w:rsid w:val="008E02E5"/>
    <w:rsid w:val="008E0A76"/>
    <w:rsid w:val="008E1D82"/>
    <w:rsid w:val="008E20A8"/>
    <w:rsid w:val="008E2322"/>
    <w:rsid w:val="008E29C8"/>
    <w:rsid w:val="008E444B"/>
    <w:rsid w:val="008E4C0D"/>
    <w:rsid w:val="008E547B"/>
    <w:rsid w:val="008E714C"/>
    <w:rsid w:val="008E71C9"/>
    <w:rsid w:val="008E74ED"/>
    <w:rsid w:val="008E7D39"/>
    <w:rsid w:val="008F0407"/>
    <w:rsid w:val="008F0F0F"/>
    <w:rsid w:val="008F14E7"/>
    <w:rsid w:val="008F1C0A"/>
    <w:rsid w:val="008F3B7A"/>
    <w:rsid w:val="008F4A8A"/>
    <w:rsid w:val="008F4C1A"/>
    <w:rsid w:val="008F58C5"/>
    <w:rsid w:val="008F5BFF"/>
    <w:rsid w:val="008F5EC2"/>
    <w:rsid w:val="008F6901"/>
    <w:rsid w:val="008F69ED"/>
    <w:rsid w:val="008F6EFD"/>
    <w:rsid w:val="008F7F09"/>
    <w:rsid w:val="00900C3E"/>
    <w:rsid w:val="00901D54"/>
    <w:rsid w:val="00901DA5"/>
    <w:rsid w:val="00902908"/>
    <w:rsid w:val="00902FB5"/>
    <w:rsid w:val="00904AB9"/>
    <w:rsid w:val="0090512E"/>
    <w:rsid w:val="0090622C"/>
    <w:rsid w:val="009064CC"/>
    <w:rsid w:val="009070F5"/>
    <w:rsid w:val="00914CC9"/>
    <w:rsid w:val="00915745"/>
    <w:rsid w:val="00915C51"/>
    <w:rsid w:val="00916A07"/>
    <w:rsid w:val="00916E98"/>
    <w:rsid w:val="0091710B"/>
    <w:rsid w:val="0091775E"/>
    <w:rsid w:val="00917CC4"/>
    <w:rsid w:val="00921000"/>
    <w:rsid w:val="00921326"/>
    <w:rsid w:val="009234BD"/>
    <w:rsid w:val="009244F1"/>
    <w:rsid w:val="009250EA"/>
    <w:rsid w:val="009261A7"/>
    <w:rsid w:val="009267F6"/>
    <w:rsid w:val="00930017"/>
    <w:rsid w:val="009300A9"/>
    <w:rsid w:val="0093033C"/>
    <w:rsid w:val="009303AB"/>
    <w:rsid w:val="009315E7"/>
    <w:rsid w:val="00932373"/>
    <w:rsid w:val="009336A5"/>
    <w:rsid w:val="009356C5"/>
    <w:rsid w:val="00936077"/>
    <w:rsid w:val="009365FD"/>
    <w:rsid w:val="00936E37"/>
    <w:rsid w:val="00936ED2"/>
    <w:rsid w:val="00940A57"/>
    <w:rsid w:val="0094167B"/>
    <w:rsid w:val="0094181A"/>
    <w:rsid w:val="009419E6"/>
    <w:rsid w:val="009425A4"/>
    <w:rsid w:val="009426DC"/>
    <w:rsid w:val="009442EA"/>
    <w:rsid w:val="009443C6"/>
    <w:rsid w:val="00944599"/>
    <w:rsid w:val="00944F69"/>
    <w:rsid w:val="0094672B"/>
    <w:rsid w:val="0095322A"/>
    <w:rsid w:val="00953984"/>
    <w:rsid w:val="00954282"/>
    <w:rsid w:val="009553F5"/>
    <w:rsid w:val="009560C1"/>
    <w:rsid w:val="00956F91"/>
    <w:rsid w:val="00957BDC"/>
    <w:rsid w:val="00962175"/>
    <w:rsid w:val="009625E6"/>
    <w:rsid w:val="0096299F"/>
    <w:rsid w:val="00966587"/>
    <w:rsid w:val="009667C2"/>
    <w:rsid w:val="00966C84"/>
    <w:rsid w:val="009676B9"/>
    <w:rsid w:val="009715C6"/>
    <w:rsid w:val="009720AC"/>
    <w:rsid w:val="00972654"/>
    <w:rsid w:val="00973CA7"/>
    <w:rsid w:val="00974416"/>
    <w:rsid w:val="00977284"/>
    <w:rsid w:val="009774FA"/>
    <w:rsid w:val="00977B25"/>
    <w:rsid w:val="00977DC7"/>
    <w:rsid w:val="00981712"/>
    <w:rsid w:val="009817E9"/>
    <w:rsid w:val="0098212A"/>
    <w:rsid w:val="009826B1"/>
    <w:rsid w:val="009827CF"/>
    <w:rsid w:val="00982FFF"/>
    <w:rsid w:val="009833E9"/>
    <w:rsid w:val="009837AA"/>
    <w:rsid w:val="0098563D"/>
    <w:rsid w:val="00985664"/>
    <w:rsid w:val="009873BE"/>
    <w:rsid w:val="00987DF2"/>
    <w:rsid w:val="0099003F"/>
    <w:rsid w:val="0099037B"/>
    <w:rsid w:val="00992087"/>
    <w:rsid w:val="00992710"/>
    <w:rsid w:val="00994A00"/>
    <w:rsid w:val="00994C3A"/>
    <w:rsid w:val="0099540C"/>
    <w:rsid w:val="009A28FF"/>
    <w:rsid w:val="009A2913"/>
    <w:rsid w:val="009A3EEE"/>
    <w:rsid w:val="009A595E"/>
    <w:rsid w:val="009A5D27"/>
    <w:rsid w:val="009A65C2"/>
    <w:rsid w:val="009A763A"/>
    <w:rsid w:val="009B00C8"/>
    <w:rsid w:val="009B0738"/>
    <w:rsid w:val="009B2AEC"/>
    <w:rsid w:val="009B2F75"/>
    <w:rsid w:val="009B39A3"/>
    <w:rsid w:val="009B467E"/>
    <w:rsid w:val="009B5241"/>
    <w:rsid w:val="009B5E26"/>
    <w:rsid w:val="009B5FFE"/>
    <w:rsid w:val="009C0C7C"/>
    <w:rsid w:val="009C1F95"/>
    <w:rsid w:val="009C3067"/>
    <w:rsid w:val="009C6C36"/>
    <w:rsid w:val="009D071E"/>
    <w:rsid w:val="009D0870"/>
    <w:rsid w:val="009D0C04"/>
    <w:rsid w:val="009D1951"/>
    <w:rsid w:val="009D3AD1"/>
    <w:rsid w:val="009D53B7"/>
    <w:rsid w:val="009D678A"/>
    <w:rsid w:val="009E008A"/>
    <w:rsid w:val="009E0425"/>
    <w:rsid w:val="009E0B14"/>
    <w:rsid w:val="009E1F0D"/>
    <w:rsid w:val="009E2224"/>
    <w:rsid w:val="009E2F30"/>
    <w:rsid w:val="009E3171"/>
    <w:rsid w:val="009E4230"/>
    <w:rsid w:val="009E5D2D"/>
    <w:rsid w:val="009E6382"/>
    <w:rsid w:val="009E6909"/>
    <w:rsid w:val="009E74E8"/>
    <w:rsid w:val="009F0FE1"/>
    <w:rsid w:val="009F1AD7"/>
    <w:rsid w:val="009F23F9"/>
    <w:rsid w:val="009F3211"/>
    <w:rsid w:val="009F5214"/>
    <w:rsid w:val="009F5964"/>
    <w:rsid w:val="009F5BB9"/>
    <w:rsid w:val="009F64CD"/>
    <w:rsid w:val="009F7143"/>
    <w:rsid w:val="009F7EB0"/>
    <w:rsid w:val="00A00AD5"/>
    <w:rsid w:val="00A012D6"/>
    <w:rsid w:val="00A012FC"/>
    <w:rsid w:val="00A01333"/>
    <w:rsid w:val="00A01FB2"/>
    <w:rsid w:val="00A024B7"/>
    <w:rsid w:val="00A03F84"/>
    <w:rsid w:val="00A043D9"/>
    <w:rsid w:val="00A07434"/>
    <w:rsid w:val="00A10839"/>
    <w:rsid w:val="00A11064"/>
    <w:rsid w:val="00A11542"/>
    <w:rsid w:val="00A1281A"/>
    <w:rsid w:val="00A12A82"/>
    <w:rsid w:val="00A13979"/>
    <w:rsid w:val="00A15171"/>
    <w:rsid w:val="00A153FF"/>
    <w:rsid w:val="00A1546C"/>
    <w:rsid w:val="00A16FF6"/>
    <w:rsid w:val="00A173C5"/>
    <w:rsid w:val="00A173FE"/>
    <w:rsid w:val="00A1798C"/>
    <w:rsid w:val="00A17D1D"/>
    <w:rsid w:val="00A20966"/>
    <w:rsid w:val="00A21753"/>
    <w:rsid w:val="00A23135"/>
    <w:rsid w:val="00A233D4"/>
    <w:rsid w:val="00A24023"/>
    <w:rsid w:val="00A24643"/>
    <w:rsid w:val="00A24703"/>
    <w:rsid w:val="00A24CAC"/>
    <w:rsid w:val="00A24F8A"/>
    <w:rsid w:val="00A25488"/>
    <w:rsid w:val="00A25DE9"/>
    <w:rsid w:val="00A26EC4"/>
    <w:rsid w:val="00A27064"/>
    <w:rsid w:val="00A30F79"/>
    <w:rsid w:val="00A3159E"/>
    <w:rsid w:val="00A31BE9"/>
    <w:rsid w:val="00A31C98"/>
    <w:rsid w:val="00A32270"/>
    <w:rsid w:val="00A34CB8"/>
    <w:rsid w:val="00A34E62"/>
    <w:rsid w:val="00A37D65"/>
    <w:rsid w:val="00A40077"/>
    <w:rsid w:val="00A40923"/>
    <w:rsid w:val="00A41CFD"/>
    <w:rsid w:val="00A45208"/>
    <w:rsid w:val="00A50B67"/>
    <w:rsid w:val="00A52BA3"/>
    <w:rsid w:val="00A53AD1"/>
    <w:rsid w:val="00A53E27"/>
    <w:rsid w:val="00A563C5"/>
    <w:rsid w:val="00A570DC"/>
    <w:rsid w:val="00A5794C"/>
    <w:rsid w:val="00A57DDC"/>
    <w:rsid w:val="00A60EDD"/>
    <w:rsid w:val="00A62F94"/>
    <w:rsid w:val="00A6301D"/>
    <w:rsid w:val="00A633A6"/>
    <w:rsid w:val="00A63529"/>
    <w:rsid w:val="00A63773"/>
    <w:rsid w:val="00A64473"/>
    <w:rsid w:val="00A65208"/>
    <w:rsid w:val="00A655B1"/>
    <w:rsid w:val="00A65B34"/>
    <w:rsid w:val="00A65E36"/>
    <w:rsid w:val="00A65E65"/>
    <w:rsid w:val="00A6757C"/>
    <w:rsid w:val="00A67BBC"/>
    <w:rsid w:val="00A7009D"/>
    <w:rsid w:val="00A702BE"/>
    <w:rsid w:val="00A7030B"/>
    <w:rsid w:val="00A70ED6"/>
    <w:rsid w:val="00A71E0C"/>
    <w:rsid w:val="00A7238F"/>
    <w:rsid w:val="00A72821"/>
    <w:rsid w:val="00A7522A"/>
    <w:rsid w:val="00A754E9"/>
    <w:rsid w:val="00A75A8D"/>
    <w:rsid w:val="00A7652F"/>
    <w:rsid w:val="00A770BC"/>
    <w:rsid w:val="00A7716D"/>
    <w:rsid w:val="00A7733D"/>
    <w:rsid w:val="00A801D0"/>
    <w:rsid w:val="00A80D6A"/>
    <w:rsid w:val="00A8136B"/>
    <w:rsid w:val="00A81C9D"/>
    <w:rsid w:val="00A82998"/>
    <w:rsid w:val="00A83D26"/>
    <w:rsid w:val="00A84070"/>
    <w:rsid w:val="00A85B5D"/>
    <w:rsid w:val="00A864D9"/>
    <w:rsid w:val="00A86A0C"/>
    <w:rsid w:val="00A874E3"/>
    <w:rsid w:val="00A91F48"/>
    <w:rsid w:val="00A920AC"/>
    <w:rsid w:val="00A9232E"/>
    <w:rsid w:val="00A92399"/>
    <w:rsid w:val="00A92ABF"/>
    <w:rsid w:val="00A92D59"/>
    <w:rsid w:val="00A939BC"/>
    <w:rsid w:val="00A95E70"/>
    <w:rsid w:val="00A96A0F"/>
    <w:rsid w:val="00AA0F44"/>
    <w:rsid w:val="00AA2055"/>
    <w:rsid w:val="00AA34B0"/>
    <w:rsid w:val="00AA3B20"/>
    <w:rsid w:val="00AA4DF7"/>
    <w:rsid w:val="00AA54F6"/>
    <w:rsid w:val="00AA64FB"/>
    <w:rsid w:val="00AA71AB"/>
    <w:rsid w:val="00AB05FF"/>
    <w:rsid w:val="00AB16EB"/>
    <w:rsid w:val="00AB1797"/>
    <w:rsid w:val="00AB25BF"/>
    <w:rsid w:val="00AB3AB7"/>
    <w:rsid w:val="00AB4143"/>
    <w:rsid w:val="00AB4F16"/>
    <w:rsid w:val="00AB5839"/>
    <w:rsid w:val="00AB5D10"/>
    <w:rsid w:val="00AB77DF"/>
    <w:rsid w:val="00AB7E7F"/>
    <w:rsid w:val="00AC2749"/>
    <w:rsid w:val="00AC358B"/>
    <w:rsid w:val="00AC3C82"/>
    <w:rsid w:val="00AC3DA0"/>
    <w:rsid w:val="00AC3FBB"/>
    <w:rsid w:val="00AC4E91"/>
    <w:rsid w:val="00AC6E10"/>
    <w:rsid w:val="00AD364D"/>
    <w:rsid w:val="00AD373E"/>
    <w:rsid w:val="00AD41AD"/>
    <w:rsid w:val="00AD4C82"/>
    <w:rsid w:val="00AD4D95"/>
    <w:rsid w:val="00AD50E3"/>
    <w:rsid w:val="00AD576F"/>
    <w:rsid w:val="00AD6E9C"/>
    <w:rsid w:val="00AD767D"/>
    <w:rsid w:val="00AD79BF"/>
    <w:rsid w:val="00AD7E8C"/>
    <w:rsid w:val="00AE08F9"/>
    <w:rsid w:val="00AE09EB"/>
    <w:rsid w:val="00AE1FF2"/>
    <w:rsid w:val="00AE2CCB"/>
    <w:rsid w:val="00AE2F61"/>
    <w:rsid w:val="00AE3004"/>
    <w:rsid w:val="00AE3905"/>
    <w:rsid w:val="00AE39F0"/>
    <w:rsid w:val="00AE3BDB"/>
    <w:rsid w:val="00AE5649"/>
    <w:rsid w:val="00AF065C"/>
    <w:rsid w:val="00AF0707"/>
    <w:rsid w:val="00AF0B03"/>
    <w:rsid w:val="00AF0CDC"/>
    <w:rsid w:val="00AF161C"/>
    <w:rsid w:val="00AF2A5E"/>
    <w:rsid w:val="00AF6863"/>
    <w:rsid w:val="00AF6D4E"/>
    <w:rsid w:val="00B0132B"/>
    <w:rsid w:val="00B01628"/>
    <w:rsid w:val="00B02301"/>
    <w:rsid w:val="00B03AD8"/>
    <w:rsid w:val="00B03F3E"/>
    <w:rsid w:val="00B0534F"/>
    <w:rsid w:val="00B06012"/>
    <w:rsid w:val="00B06BD0"/>
    <w:rsid w:val="00B0762A"/>
    <w:rsid w:val="00B07797"/>
    <w:rsid w:val="00B07959"/>
    <w:rsid w:val="00B11FF4"/>
    <w:rsid w:val="00B13146"/>
    <w:rsid w:val="00B13571"/>
    <w:rsid w:val="00B13D81"/>
    <w:rsid w:val="00B14E37"/>
    <w:rsid w:val="00B16490"/>
    <w:rsid w:val="00B16A8D"/>
    <w:rsid w:val="00B17A1D"/>
    <w:rsid w:val="00B17D78"/>
    <w:rsid w:val="00B2000D"/>
    <w:rsid w:val="00B21486"/>
    <w:rsid w:val="00B216A7"/>
    <w:rsid w:val="00B2417E"/>
    <w:rsid w:val="00B241B7"/>
    <w:rsid w:val="00B2574C"/>
    <w:rsid w:val="00B267A3"/>
    <w:rsid w:val="00B27112"/>
    <w:rsid w:val="00B2730F"/>
    <w:rsid w:val="00B3116D"/>
    <w:rsid w:val="00B3248A"/>
    <w:rsid w:val="00B32702"/>
    <w:rsid w:val="00B3409F"/>
    <w:rsid w:val="00B341F1"/>
    <w:rsid w:val="00B34325"/>
    <w:rsid w:val="00B35731"/>
    <w:rsid w:val="00B3576A"/>
    <w:rsid w:val="00B3783A"/>
    <w:rsid w:val="00B404C8"/>
    <w:rsid w:val="00B41A08"/>
    <w:rsid w:val="00B41EE8"/>
    <w:rsid w:val="00B42FD1"/>
    <w:rsid w:val="00B4372D"/>
    <w:rsid w:val="00B43F39"/>
    <w:rsid w:val="00B440EB"/>
    <w:rsid w:val="00B4451E"/>
    <w:rsid w:val="00B44EBE"/>
    <w:rsid w:val="00B464C2"/>
    <w:rsid w:val="00B46B9C"/>
    <w:rsid w:val="00B47714"/>
    <w:rsid w:val="00B50B2D"/>
    <w:rsid w:val="00B51393"/>
    <w:rsid w:val="00B529C7"/>
    <w:rsid w:val="00B534E5"/>
    <w:rsid w:val="00B53F26"/>
    <w:rsid w:val="00B54566"/>
    <w:rsid w:val="00B564FE"/>
    <w:rsid w:val="00B56658"/>
    <w:rsid w:val="00B56B8D"/>
    <w:rsid w:val="00B57A31"/>
    <w:rsid w:val="00B57FD0"/>
    <w:rsid w:val="00B61093"/>
    <w:rsid w:val="00B62049"/>
    <w:rsid w:val="00B64636"/>
    <w:rsid w:val="00B647BA"/>
    <w:rsid w:val="00B64D46"/>
    <w:rsid w:val="00B65B18"/>
    <w:rsid w:val="00B65D71"/>
    <w:rsid w:val="00B6604D"/>
    <w:rsid w:val="00B66B48"/>
    <w:rsid w:val="00B66FDF"/>
    <w:rsid w:val="00B67D56"/>
    <w:rsid w:val="00B70748"/>
    <w:rsid w:val="00B709E8"/>
    <w:rsid w:val="00B70F70"/>
    <w:rsid w:val="00B71B56"/>
    <w:rsid w:val="00B72E0A"/>
    <w:rsid w:val="00B739C5"/>
    <w:rsid w:val="00B73DA6"/>
    <w:rsid w:val="00B73FF1"/>
    <w:rsid w:val="00B7470A"/>
    <w:rsid w:val="00B74EBD"/>
    <w:rsid w:val="00B750D0"/>
    <w:rsid w:val="00B75420"/>
    <w:rsid w:val="00B76B46"/>
    <w:rsid w:val="00B76F60"/>
    <w:rsid w:val="00B779A9"/>
    <w:rsid w:val="00B800B7"/>
    <w:rsid w:val="00B8060F"/>
    <w:rsid w:val="00B82EAA"/>
    <w:rsid w:val="00B83B13"/>
    <w:rsid w:val="00B859F3"/>
    <w:rsid w:val="00B861BC"/>
    <w:rsid w:val="00B86690"/>
    <w:rsid w:val="00B86B64"/>
    <w:rsid w:val="00B90E14"/>
    <w:rsid w:val="00B92BBB"/>
    <w:rsid w:val="00B93DCF"/>
    <w:rsid w:val="00B9447F"/>
    <w:rsid w:val="00B94612"/>
    <w:rsid w:val="00B94EB9"/>
    <w:rsid w:val="00B95171"/>
    <w:rsid w:val="00B958F4"/>
    <w:rsid w:val="00B959AA"/>
    <w:rsid w:val="00B96795"/>
    <w:rsid w:val="00B977B2"/>
    <w:rsid w:val="00BA0C98"/>
    <w:rsid w:val="00BA1507"/>
    <w:rsid w:val="00BA3AA3"/>
    <w:rsid w:val="00BA3AB2"/>
    <w:rsid w:val="00BA4847"/>
    <w:rsid w:val="00BA4CD6"/>
    <w:rsid w:val="00BA56DA"/>
    <w:rsid w:val="00BA5A9A"/>
    <w:rsid w:val="00BA5B4B"/>
    <w:rsid w:val="00BA61EE"/>
    <w:rsid w:val="00BA761C"/>
    <w:rsid w:val="00BB1851"/>
    <w:rsid w:val="00BB28C2"/>
    <w:rsid w:val="00BB30B9"/>
    <w:rsid w:val="00BB3795"/>
    <w:rsid w:val="00BB648D"/>
    <w:rsid w:val="00BB7BC0"/>
    <w:rsid w:val="00BC0507"/>
    <w:rsid w:val="00BC057A"/>
    <w:rsid w:val="00BC19C3"/>
    <w:rsid w:val="00BC19D7"/>
    <w:rsid w:val="00BC19F0"/>
    <w:rsid w:val="00BC1FFB"/>
    <w:rsid w:val="00BC2B6B"/>
    <w:rsid w:val="00BC39F0"/>
    <w:rsid w:val="00BC57AC"/>
    <w:rsid w:val="00BC5E9B"/>
    <w:rsid w:val="00BC6290"/>
    <w:rsid w:val="00BC63F3"/>
    <w:rsid w:val="00BC7212"/>
    <w:rsid w:val="00BC7F4D"/>
    <w:rsid w:val="00BD0348"/>
    <w:rsid w:val="00BD059B"/>
    <w:rsid w:val="00BD0A25"/>
    <w:rsid w:val="00BD12AB"/>
    <w:rsid w:val="00BD1680"/>
    <w:rsid w:val="00BD1854"/>
    <w:rsid w:val="00BD1C41"/>
    <w:rsid w:val="00BD2A53"/>
    <w:rsid w:val="00BD5207"/>
    <w:rsid w:val="00BD52AE"/>
    <w:rsid w:val="00BD5A84"/>
    <w:rsid w:val="00BD66F9"/>
    <w:rsid w:val="00BD7669"/>
    <w:rsid w:val="00BD7A5D"/>
    <w:rsid w:val="00BD7C0A"/>
    <w:rsid w:val="00BE067A"/>
    <w:rsid w:val="00BE1F8D"/>
    <w:rsid w:val="00BE2088"/>
    <w:rsid w:val="00BE2AFB"/>
    <w:rsid w:val="00BE3012"/>
    <w:rsid w:val="00BE7291"/>
    <w:rsid w:val="00BF06AE"/>
    <w:rsid w:val="00BF2525"/>
    <w:rsid w:val="00BF35F2"/>
    <w:rsid w:val="00BF714A"/>
    <w:rsid w:val="00BF7270"/>
    <w:rsid w:val="00BF7680"/>
    <w:rsid w:val="00C00DAD"/>
    <w:rsid w:val="00C00F85"/>
    <w:rsid w:val="00C0160B"/>
    <w:rsid w:val="00C01C57"/>
    <w:rsid w:val="00C01C82"/>
    <w:rsid w:val="00C02A7E"/>
    <w:rsid w:val="00C02DBF"/>
    <w:rsid w:val="00C03332"/>
    <w:rsid w:val="00C033F1"/>
    <w:rsid w:val="00C03601"/>
    <w:rsid w:val="00C03F82"/>
    <w:rsid w:val="00C06C54"/>
    <w:rsid w:val="00C06E57"/>
    <w:rsid w:val="00C10C4E"/>
    <w:rsid w:val="00C1122B"/>
    <w:rsid w:val="00C114AE"/>
    <w:rsid w:val="00C115CC"/>
    <w:rsid w:val="00C13341"/>
    <w:rsid w:val="00C13B45"/>
    <w:rsid w:val="00C13DCF"/>
    <w:rsid w:val="00C143E8"/>
    <w:rsid w:val="00C15112"/>
    <w:rsid w:val="00C15824"/>
    <w:rsid w:val="00C16BD7"/>
    <w:rsid w:val="00C17668"/>
    <w:rsid w:val="00C2008E"/>
    <w:rsid w:val="00C2176A"/>
    <w:rsid w:val="00C22D02"/>
    <w:rsid w:val="00C22FD0"/>
    <w:rsid w:val="00C2336D"/>
    <w:rsid w:val="00C2348F"/>
    <w:rsid w:val="00C23AE5"/>
    <w:rsid w:val="00C23BEB"/>
    <w:rsid w:val="00C24D82"/>
    <w:rsid w:val="00C269FA"/>
    <w:rsid w:val="00C26D05"/>
    <w:rsid w:val="00C2769E"/>
    <w:rsid w:val="00C307F7"/>
    <w:rsid w:val="00C30F51"/>
    <w:rsid w:val="00C30FEB"/>
    <w:rsid w:val="00C316BD"/>
    <w:rsid w:val="00C32136"/>
    <w:rsid w:val="00C321EA"/>
    <w:rsid w:val="00C322BA"/>
    <w:rsid w:val="00C328E8"/>
    <w:rsid w:val="00C33891"/>
    <w:rsid w:val="00C33D2A"/>
    <w:rsid w:val="00C3427B"/>
    <w:rsid w:val="00C3490D"/>
    <w:rsid w:val="00C34B2A"/>
    <w:rsid w:val="00C35BE6"/>
    <w:rsid w:val="00C36BD7"/>
    <w:rsid w:val="00C377F9"/>
    <w:rsid w:val="00C37E13"/>
    <w:rsid w:val="00C408BF"/>
    <w:rsid w:val="00C41250"/>
    <w:rsid w:val="00C41828"/>
    <w:rsid w:val="00C4352B"/>
    <w:rsid w:val="00C44525"/>
    <w:rsid w:val="00C448BD"/>
    <w:rsid w:val="00C44EAB"/>
    <w:rsid w:val="00C452AC"/>
    <w:rsid w:val="00C473F9"/>
    <w:rsid w:val="00C50C6F"/>
    <w:rsid w:val="00C50FB8"/>
    <w:rsid w:val="00C51C82"/>
    <w:rsid w:val="00C52068"/>
    <w:rsid w:val="00C52454"/>
    <w:rsid w:val="00C52FFA"/>
    <w:rsid w:val="00C53EDA"/>
    <w:rsid w:val="00C5685E"/>
    <w:rsid w:val="00C56C15"/>
    <w:rsid w:val="00C572CB"/>
    <w:rsid w:val="00C572F0"/>
    <w:rsid w:val="00C57A99"/>
    <w:rsid w:val="00C57D8C"/>
    <w:rsid w:val="00C57DD5"/>
    <w:rsid w:val="00C61155"/>
    <w:rsid w:val="00C629F4"/>
    <w:rsid w:val="00C62B55"/>
    <w:rsid w:val="00C63D0C"/>
    <w:rsid w:val="00C648C9"/>
    <w:rsid w:val="00C6496A"/>
    <w:rsid w:val="00C64C2D"/>
    <w:rsid w:val="00C65016"/>
    <w:rsid w:val="00C65097"/>
    <w:rsid w:val="00C65608"/>
    <w:rsid w:val="00C66015"/>
    <w:rsid w:val="00C673FB"/>
    <w:rsid w:val="00C6796A"/>
    <w:rsid w:val="00C67F17"/>
    <w:rsid w:val="00C70FAF"/>
    <w:rsid w:val="00C7136B"/>
    <w:rsid w:val="00C7169F"/>
    <w:rsid w:val="00C73487"/>
    <w:rsid w:val="00C73929"/>
    <w:rsid w:val="00C74420"/>
    <w:rsid w:val="00C74DDA"/>
    <w:rsid w:val="00C755F6"/>
    <w:rsid w:val="00C75849"/>
    <w:rsid w:val="00C76148"/>
    <w:rsid w:val="00C80FAB"/>
    <w:rsid w:val="00C81402"/>
    <w:rsid w:val="00C81A6B"/>
    <w:rsid w:val="00C82160"/>
    <w:rsid w:val="00C82911"/>
    <w:rsid w:val="00C82D38"/>
    <w:rsid w:val="00C82DF2"/>
    <w:rsid w:val="00C8422F"/>
    <w:rsid w:val="00C85260"/>
    <w:rsid w:val="00C8527D"/>
    <w:rsid w:val="00C85563"/>
    <w:rsid w:val="00C85BC2"/>
    <w:rsid w:val="00C861D2"/>
    <w:rsid w:val="00C86594"/>
    <w:rsid w:val="00C86AF3"/>
    <w:rsid w:val="00C90EE6"/>
    <w:rsid w:val="00C91888"/>
    <w:rsid w:val="00C92281"/>
    <w:rsid w:val="00C92475"/>
    <w:rsid w:val="00C92CDA"/>
    <w:rsid w:val="00C931CB"/>
    <w:rsid w:val="00C93238"/>
    <w:rsid w:val="00C9472B"/>
    <w:rsid w:val="00C9542E"/>
    <w:rsid w:val="00C956E4"/>
    <w:rsid w:val="00C95A4E"/>
    <w:rsid w:val="00C96597"/>
    <w:rsid w:val="00C969F3"/>
    <w:rsid w:val="00C96E79"/>
    <w:rsid w:val="00C978EF"/>
    <w:rsid w:val="00CA1EB2"/>
    <w:rsid w:val="00CA4A64"/>
    <w:rsid w:val="00CA4C10"/>
    <w:rsid w:val="00CA59CE"/>
    <w:rsid w:val="00CA5AA2"/>
    <w:rsid w:val="00CA64E3"/>
    <w:rsid w:val="00CB07F4"/>
    <w:rsid w:val="00CB0FAB"/>
    <w:rsid w:val="00CB1659"/>
    <w:rsid w:val="00CB1A21"/>
    <w:rsid w:val="00CB1F74"/>
    <w:rsid w:val="00CB45F0"/>
    <w:rsid w:val="00CB7DB8"/>
    <w:rsid w:val="00CC0B48"/>
    <w:rsid w:val="00CC0BF6"/>
    <w:rsid w:val="00CC1AAC"/>
    <w:rsid w:val="00CC1BAE"/>
    <w:rsid w:val="00CC1FC2"/>
    <w:rsid w:val="00CC226D"/>
    <w:rsid w:val="00CC3263"/>
    <w:rsid w:val="00CC3802"/>
    <w:rsid w:val="00CC3948"/>
    <w:rsid w:val="00CC4EF4"/>
    <w:rsid w:val="00CC5A7E"/>
    <w:rsid w:val="00CC60E7"/>
    <w:rsid w:val="00CC652F"/>
    <w:rsid w:val="00CC7753"/>
    <w:rsid w:val="00CC7CA2"/>
    <w:rsid w:val="00CD11C3"/>
    <w:rsid w:val="00CD3A64"/>
    <w:rsid w:val="00CD3C48"/>
    <w:rsid w:val="00CD5A9F"/>
    <w:rsid w:val="00CD5EFD"/>
    <w:rsid w:val="00CD74DB"/>
    <w:rsid w:val="00CD7FB4"/>
    <w:rsid w:val="00CE1F7D"/>
    <w:rsid w:val="00CE233A"/>
    <w:rsid w:val="00CE3489"/>
    <w:rsid w:val="00CE52CF"/>
    <w:rsid w:val="00CE7F66"/>
    <w:rsid w:val="00CF07FF"/>
    <w:rsid w:val="00CF188B"/>
    <w:rsid w:val="00CF31ED"/>
    <w:rsid w:val="00CF43D9"/>
    <w:rsid w:val="00CF6548"/>
    <w:rsid w:val="00CF67DD"/>
    <w:rsid w:val="00CF6D76"/>
    <w:rsid w:val="00CF6E7B"/>
    <w:rsid w:val="00D00727"/>
    <w:rsid w:val="00D007F5"/>
    <w:rsid w:val="00D015A4"/>
    <w:rsid w:val="00D0198E"/>
    <w:rsid w:val="00D01A83"/>
    <w:rsid w:val="00D0239B"/>
    <w:rsid w:val="00D030E1"/>
    <w:rsid w:val="00D04844"/>
    <w:rsid w:val="00D0485E"/>
    <w:rsid w:val="00D05323"/>
    <w:rsid w:val="00D06CBB"/>
    <w:rsid w:val="00D1025E"/>
    <w:rsid w:val="00D10555"/>
    <w:rsid w:val="00D107BB"/>
    <w:rsid w:val="00D11AFF"/>
    <w:rsid w:val="00D11E34"/>
    <w:rsid w:val="00D1214F"/>
    <w:rsid w:val="00D14F44"/>
    <w:rsid w:val="00D15D86"/>
    <w:rsid w:val="00D169E6"/>
    <w:rsid w:val="00D202F3"/>
    <w:rsid w:val="00D20605"/>
    <w:rsid w:val="00D20969"/>
    <w:rsid w:val="00D214FD"/>
    <w:rsid w:val="00D222D8"/>
    <w:rsid w:val="00D22521"/>
    <w:rsid w:val="00D23153"/>
    <w:rsid w:val="00D23277"/>
    <w:rsid w:val="00D232C9"/>
    <w:rsid w:val="00D23688"/>
    <w:rsid w:val="00D240D8"/>
    <w:rsid w:val="00D245CA"/>
    <w:rsid w:val="00D24AD0"/>
    <w:rsid w:val="00D24ADD"/>
    <w:rsid w:val="00D264A5"/>
    <w:rsid w:val="00D304D1"/>
    <w:rsid w:val="00D30C55"/>
    <w:rsid w:val="00D30CAA"/>
    <w:rsid w:val="00D31A8C"/>
    <w:rsid w:val="00D333AF"/>
    <w:rsid w:val="00D3366D"/>
    <w:rsid w:val="00D34392"/>
    <w:rsid w:val="00D348BB"/>
    <w:rsid w:val="00D35A40"/>
    <w:rsid w:val="00D3639F"/>
    <w:rsid w:val="00D36966"/>
    <w:rsid w:val="00D36C76"/>
    <w:rsid w:val="00D37DCD"/>
    <w:rsid w:val="00D37DE8"/>
    <w:rsid w:val="00D40A21"/>
    <w:rsid w:val="00D41BB8"/>
    <w:rsid w:val="00D43C47"/>
    <w:rsid w:val="00D43FEC"/>
    <w:rsid w:val="00D4458B"/>
    <w:rsid w:val="00D4502B"/>
    <w:rsid w:val="00D46002"/>
    <w:rsid w:val="00D47851"/>
    <w:rsid w:val="00D50A88"/>
    <w:rsid w:val="00D50CAF"/>
    <w:rsid w:val="00D50D04"/>
    <w:rsid w:val="00D510D6"/>
    <w:rsid w:val="00D5158D"/>
    <w:rsid w:val="00D534DC"/>
    <w:rsid w:val="00D5406C"/>
    <w:rsid w:val="00D54098"/>
    <w:rsid w:val="00D55201"/>
    <w:rsid w:val="00D5603D"/>
    <w:rsid w:val="00D57CE3"/>
    <w:rsid w:val="00D60570"/>
    <w:rsid w:val="00D619FB"/>
    <w:rsid w:val="00D63363"/>
    <w:rsid w:val="00D6365B"/>
    <w:rsid w:val="00D651CB"/>
    <w:rsid w:val="00D662B7"/>
    <w:rsid w:val="00D669BD"/>
    <w:rsid w:val="00D670C0"/>
    <w:rsid w:val="00D67E98"/>
    <w:rsid w:val="00D701C4"/>
    <w:rsid w:val="00D70296"/>
    <w:rsid w:val="00D70A77"/>
    <w:rsid w:val="00D70DDC"/>
    <w:rsid w:val="00D70F6C"/>
    <w:rsid w:val="00D719E9"/>
    <w:rsid w:val="00D72599"/>
    <w:rsid w:val="00D72CF6"/>
    <w:rsid w:val="00D73981"/>
    <w:rsid w:val="00D75DE0"/>
    <w:rsid w:val="00D763F6"/>
    <w:rsid w:val="00D7772E"/>
    <w:rsid w:val="00D80486"/>
    <w:rsid w:val="00D80D44"/>
    <w:rsid w:val="00D8137D"/>
    <w:rsid w:val="00D81E28"/>
    <w:rsid w:val="00D837F0"/>
    <w:rsid w:val="00D83D6A"/>
    <w:rsid w:val="00D850BE"/>
    <w:rsid w:val="00D8529D"/>
    <w:rsid w:val="00D87361"/>
    <w:rsid w:val="00D909A1"/>
    <w:rsid w:val="00D90A35"/>
    <w:rsid w:val="00D90B12"/>
    <w:rsid w:val="00D9415C"/>
    <w:rsid w:val="00D9431E"/>
    <w:rsid w:val="00D94429"/>
    <w:rsid w:val="00D944FC"/>
    <w:rsid w:val="00D9574F"/>
    <w:rsid w:val="00D9596B"/>
    <w:rsid w:val="00D95DC8"/>
    <w:rsid w:val="00D96FAA"/>
    <w:rsid w:val="00D97191"/>
    <w:rsid w:val="00D97867"/>
    <w:rsid w:val="00D97C6A"/>
    <w:rsid w:val="00D97F3C"/>
    <w:rsid w:val="00DA0FBE"/>
    <w:rsid w:val="00DA119C"/>
    <w:rsid w:val="00DA13DE"/>
    <w:rsid w:val="00DA2E60"/>
    <w:rsid w:val="00DA483A"/>
    <w:rsid w:val="00DA522E"/>
    <w:rsid w:val="00DA638E"/>
    <w:rsid w:val="00DA65C5"/>
    <w:rsid w:val="00DA67DC"/>
    <w:rsid w:val="00DA6FFD"/>
    <w:rsid w:val="00DA71CD"/>
    <w:rsid w:val="00DB2833"/>
    <w:rsid w:val="00DB2E9E"/>
    <w:rsid w:val="00DB37DB"/>
    <w:rsid w:val="00DB3D4E"/>
    <w:rsid w:val="00DB41FA"/>
    <w:rsid w:val="00DB4526"/>
    <w:rsid w:val="00DB655D"/>
    <w:rsid w:val="00DB6D86"/>
    <w:rsid w:val="00DB78AA"/>
    <w:rsid w:val="00DC0E0B"/>
    <w:rsid w:val="00DC0F72"/>
    <w:rsid w:val="00DC2EB7"/>
    <w:rsid w:val="00DC383F"/>
    <w:rsid w:val="00DC48A1"/>
    <w:rsid w:val="00DC6C87"/>
    <w:rsid w:val="00DC7276"/>
    <w:rsid w:val="00DC7715"/>
    <w:rsid w:val="00DD0A5E"/>
    <w:rsid w:val="00DD0D00"/>
    <w:rsid w:val="00DD0FD6"/>
    <w:rsid w:val="00DD2F8C"/>
    <w:rsid w:val="00DD311A"/>
    <w:rsid w:val="00DD3616"/>
    <w:rsid w:val="00DD3819"/>
    <w:rsid w:val="00DD4758"/>
    <w:rsid w:val="00DD618C"/>
    <w:rsid w:val="00DE0A50"/>
    <w:rsid w:val="00DE0AAD"/>
    <w:rsid w:val="00DE23DF"/>
    <w:rsid w:val="00DE27F6"/>
    <w:rsid w:val="00DE4BBB"/>
    <w:rsid w:val="00DF00E3"/>
    <w:rsid w:val="00DF09BD"/>
    <w:rsid w:val="00DF0C43"/>
    <w:rsid w:val="00DF171D"/>
    <w:rsid w:val="00DF244B"/>
    <w:rsid w:val="00DF4677"/>
    <w:rsid w:val="00DF4AEA"/>
    <w:rsid w:val="00DF7A67"/>
    <w:rsid w:val="00E002A5"/>
    <w:rsid w:val="00E0170F"/>
    <w:rsid w:val="00E0430D"/>
    <w:rsid w:val="00E051BF"/>
    <w:rsid w:val="00E0765E"/>
    <w:rsid w:val="00E07D2E"/>
    <w:rsid w:val="00E07D5B"/>
    <w:rsid w:val="00E07D81"/>
    <w:rsid w:val="00E115EE"/>
    <w:rsid w:val="00E118FA"/>
    <w:rsid w:val="00E12F96"/>
    <w:rsid w:val="00E14676"/>
    <w:rsid w:val="00E15749"/>
    <w:rsid w:val="00E17649"/>
    <w:rsid w:val="00E17D1D"/>
    <w:rsid w:val="00E20B93"/>
    <w:rsid w:val="00E20C93"/>
    <w:rsid w:val="00E20F4D"/>
    <w:rsid w:val="00E212D0"/>
    <w:rsid w:val="00E216B3"/>
    <w:rsid w:val="00E216E5"/>
    <w:rsid w:val="00E23BDE"/>
    <w:rsid w:val="00E241E1"/>
    <w:rsid w:val="00E24FDA"/>
    <w:rsid w:val="00E27507"/>
    <w:rsid w:val="00E2775B"/>
    <w:rsid w:val="00E313CB"/>
    <w:rsid w:val="00E31B78"/>
    <w:rsid w:val="00E32979"/>
    <w:rsid w:val="00E32F59"/>
    <w:rsid w:val="00E33135"/>
    <w:rsid w:val="00E33190"/>
    <w:rsid w:val="00E342EA"/>
    <w:rsid w:val="00E35798"/>
    <w:rsid w:val="00E371BB"/>
    <w:rsid w:val="00E376FA"/>
    <w:rsid w:val="00E42ECD"/>
    <w:rsid w:val="00E44C91"/>
    <w:rsid w:val="00E45D18"/>
    <w:rsid w:val="00E476B6"/>
    <w:rsid w:val="00E512BC"/>
    <w:rsid w:val="00E528B4"/>
    <w:rsid w:val="00E530C8"/>
    <w:rsid w:val="00E54DE8"/>
    <w:rsid w:val="00E55384"/>
    <w:rsid w:val="00E5704B"/>
    <w:rsid w:val="00E57162"/>
    <w:rsid w:val="00E60769"/>
    <w:rsid w:val="00E62BED"/>
    <w:rsid w:val="00E646C3"/>
    <w:rsid w:val="00E649BA"/>
    <w:rsid w:val="00E64B1F"/>
    <w:rsid w:val="00E64C5E"/>
    <w:rsid w:val="00E64D87"/>
    <w:rsid w:val="00E65FBB"/>
    <w:rsid w:val="00E66B61"/>
    <w:rsid w:val="00E71A67"/>
    <w:rsid w:val="00E71ED2"/>
    <w:rsid w:val="00E73600"/>
    <w:rsid w:val="00E73A1B"/>
    <w:rsid w:val="00E73B97"/>
    <w:rsid w:val="00E7628C"/>
    <w:rsid w:val="00E762EC"/>
    <w:rsid w:val="00E76310"/>
    <w:rsid w:val="00E767C1"/>
    <w:rsid w:val="00E8066F"/>
    <w:rsid w:val="00E8082B"/>
    <w:rsid w:val="00E8131B"/>
    <w:rsid w:val="00E823B6"/>
    <w:rsid w:val="00E83B50"/>
    <w:rsid w:val="00E83CB5"/>
    <w:rsid w:val="00E84CDA"/>
    <w:rsid w:val="00E90714"/>
    <w:rsid w:val="00E929C6"/>
    <w:rsid w:val="00E94691"/>
    <w:rsid w:val="00E95A6B"/>
    <w:rsid w:val="00E96D54"/>
    <w:rsid w:val="00E970A8"/>
    <w:rsid w:val="00EA0056"/>
    <w:rsid w:val="00EA14B9"/>
    <w:rsid w:val="00EA23EB"/>
    <w:rsid w:val="00EA2718"/>
    <w:rsid w:val="00EA46A9"/>
    <w:rsid w:val="00EA5A24"/>
    <w:rsid w:val="00EA6DD6"/>
    <w:rsid w:val="00EA716E"/>
    <w:rsid w:val="00EB00FD"/>
    <w:rsid w:val="00EB0CFD"/>
    <w:rsid w:val="00EB31CA"/>
    <w:rsid w:val="00EB347A"/>
    <w:rsid w:val="00EB3ABA"/>
    <w:rsid w:val="00EB3CF7"/>
    <w:rsid w:val="00EB485E"/>
    <w:rsid w:val="00EB5E42"/>
    <w:rsid w:val="00EB69E7"/>
    <w:rsid w:val="00EC3814"/>
    <w:rsid w:val="00EC3FEE"/>
    <w:rsid w:val="00EC4139"/>
    <w:rsid w:val="00EC5948"/>
    <w:rsid w:val="00EC67C2"/>
    <w:rsid w:val="00EC6938"/>
    <w:rsid w:val="00EC744B"/>
    <w:rsid w:val="00EC7B4D"/>
    <w:rsid w:val="00ED01DF"/>
    <w:rsid w:val="00ED240D"/>
    <w:rsid w:val="00ED2535"/>
    <w:rsid w:val="00ED310D"/>
    <w:rsid w:val="00ED431E"/>
    <w:rsid w:val="00ED49A0"/>
    <w:rsid w:val="00ED599E"/>
    <w:rsid w:val="00ED5BEF"/>
    <w:rsid w:val="00ED7009"/>
    <w:rsid w:val="00EE1BD4"/>
    <w:rsid w:val="00EE45E3"/>
    <w:rsid w:val="00EE471B"/>
    <w:rsid w:val="00EE4A5D"/>
    <w:rsid w:val="00EE4D51"/>
    <w:rsid w:val="00EE5415"/>
    <w:rsid w:val="00EE6F91"/>
    <w:rsid w:val="00EE7651"/>
    <w:rsid w:val="00EF19DE"/>
    <w:rsid w:val="00EF1C61"/>
    <w:rsid w:val="00EF335B"/>
    <w:rsid w:val="00EF4F03"/>
    <w:rsid w:val="00EF61F0"/>
    <w:rsid w:val="00F00901"/>
    <w:rsid w:val="00F00C4C"/>
    <w:rsid w:val="00F00C72"/>
    <w:rsid w:val="00F00C89"/>
    <w:rsid w:val="00F011D7"/>
    <w:rsid w:val="00F01233"/>
    <w:rsid w:val="00F0186C"/>
    <w:rsid w:val="00F03CB8"/>
    <w:rsid w:val="00F0410D"/>
    <w:rsid w:val="00F04222"/>
    <w:rsid w:val="00F04553"/>
    <w:rsid w:val="00F06871"/>
    <w:rsid w:val="00F10548"/>
    <w:rsid w:val="00F12546"/>
    <w:rsid w:val="00F12F28"/>
    <w:rsid w:val="00F13078"/>
    <w:rsid w:val="00F1343A"/>
    <w:rsid w:val="00F16B86"/>
    <w:rsid w:val="00F17AC1"/>
    <w:rsid w:val="00F20CA0"/>
    <w:rsid w:val="00F21027"/>
    <w:rsid w:val="00F2117F"/>
    <w:rsid w:val="00F21751"/>
    <w:rsid w:val="00F231F2"/>
    <w:rsid w:val="00F2509E"/>
    <w:rsid w:val="00F272C1"/>
    <w:rsid w:val="00F30475"/>
    <w:rsid w:val="00F31759"/>
    <w:rsid w:val="00F32DDD"/>
    <w:rsid w:val="00F335F7"/>
    <w:rsid w:val="00F33606"/>
    <w:rsid w:val="00F35903"/>
    <w:rsid w:val="00F3623A"/>
    <w:rsid w:val="00F363BE"/>
    <w:rsid w:val="00F402C6"/>
    <w:rsid w:val="00F40479"/>
    <w:rsid w:val="00F4190A"/>
    <w:rsid w:val="00F44200"/>
    <w:rsid w:val="00F4587A"/>
    <w:rsid w:val="00F4594E"/>
    <w:rsid w:val="00F46A20"/>
    <w:rsid w:val="00F4774F"/>
    <w:rsid w:val="00F50DE7"/>
    <w:rsid w:val="00F514B7"/>
    <w:rsid w:val="00F5332E"/>
    <w:rsid w:val="00F5486E"/>
    <w:rsid w:val="00F54B0B"/>
    <w:rsid w:val="00F54EA2"/>
    <w:rsid w:val="00F556B4"/>
    <w:rsid w:val="00F56C0E"/>
    <w:rsid w:val="00F57308"/>
    <w:rsid w:val="00F57858"/>
    <w:rsid w:val="00F57E67"/>
    <w:rsid w:val="00F60524"/>
    <w:rsid w:val="00F6160F"/>
    <w:rsid w:val="00F61F77"/>
    <w:rsid w:val="00F62F47"/>
    <w:rsid w:val="00F63F3F"/>
    <w:rsid w:val="00F66C18"/>
    <w:rsid w:val="00F66E21"/>
    <w:rsid w:val="00F67947"/>
    <w:rsid w:val="00F70932"/>
    <w:rsid w:val="00F716BE"/>
    <w:rsid w:val="00F72662"/>
    <w:rsid w:val="00F74717"/>
    <w:rsid w:val="00F748ED"/>
    <w:rsid w:val="00F7523B"/>
    <w:rsid w:val="00F77655"/>
    <w:rsid w:val="00F812C1"/>
    <w:rsid w:val="00F82368"/>
    <w:rsid w:val="00F82E5A"/>
    <w:rsid w:val="00F8464C"/>
    <w:rsid w:val="00F85736"/>
    <w:rsid w:val="00F878DE"/>
    <w:rsid w:val="00F879AB"/>
    <w:rsid w:val="00F87D8B"/>
    <w:rsid w:val="00F902A7"/>
    <w:rsid w:val="00F92320"/>
    <w:rsid w:val="00F925D9"/>
    <w:rsid w:val="00F9319E"/>
    <w:rsid w:val="00F96370"/>
    <w:rsid w:val="00F96D3F"/>
    <w:rsid w:val="00F973CD"/>
    <w:rsid w:val="00FA02FB"/>
    <w:rsid w:val="00FA21C8"/>
    <w:rsid w:val="00FA22E4"/>
    <w:rsid w:val="00FA2BCC"/>
    <w:rsid w:val="00FA3E10"/>
    <w:rsid w:val="00FA3F1D"/>
    <w:rsid w:val="00FA543C"/>
    <w:rsid w:val="00FA55BF"/>
    <w:rsid w:val="00FA7892"/>
    <w:rsid w:val="00FA7AC8"/>
    <w:rsid w:val="00FB149B"/>
    <w:rsid w:val="00FB1C41"/>
    <w:rsid w:val="00FB2359"/>
    <w:rsid w:val="00FB2A3E"/>
    <w:rsid w:val="00FB313D"/>
    <w:rsid w:val="00FB3299"/>
    <w:rsid w:val="00FB34E1"/>
    <w:rsid w:val="00FB3E66"/>
    <w:rsid w:val="00FB4596"/>
    <w:rsid w:val="00FB515C"/>
    <w:rsid w:val="00FB715C"/>
    <w:rsid w:val="00FC1CF1"/>
    <w:rsid w:val="00FC1D30"/>
    <w:rsid w:val="00FC2214"/>
    <w:rsid w:val="00FC3EC0"/>
    <w:rsid w:val="00FC4D96"/>
    <w:rsid w:val="00FC4E22"/>
    <w:rsid w:val="00FC4F2F"/>
    <w:rsid w:val="00FC5705"/>
    <w:rsid w:val="00FC601A"/>
    <w:rsid w:val="00FC6F6D"/>
    <w:rsid w:val="00FC7064"/>
    <w:rsid w:val="00FC7400"/>
    <w:rsid w:val="00FD02A8"/>
    <w:rsid w:val="00FD1FE4"/>
    <w:rsid w:val="00FD212A"/>
    <w:rsid w:val="00FD3021"/>
    <w:rsid w:val="00FD3692"/>
    <w:rsid w:val="00FD41B2"/>
    <w:rsid w:val="00FD45F8"/>
    <w:rsid w:val="00FD4915"/>
    <w:rsid w:val="00FD4B3A"/>
    <w:rsid w:val="00FD732A"/>
    <w:rsid w:val="00FE0E79"/>
    <w:rsid w:val="00FE102F"/>
    <w:rsid w:val="00FE152C"/>
    <w:rsid w:val="00FE244C"/>
    <w:rsid w:val="00FE42FF"/>
    <w:rsid w:val="00FE4797"/>
    <w:rsid w:val="00FE7947"/>
    <w:rsid w:val="00FF0A98"/>
    <w:rsid w:val="00FF106A"/>
    <w:rsid w:val="00FF1154"/>
    <w:rsid w:val="00FF147E"/>
    <w:rsid w:val="00FF1E2C"/>
    <w:rsid w:val="00FF20D1"/>
    <w:rsid w:val="00FF25B6"/>
    <w:rsid w:val="00FF337F"/>
    <w:rsid w:val="00FF4176"/>
    <w:rsid w:val="00FF43E9"/>
    <w:rsid w:val="00FF50D7"/>
    <w:rsid w:val="00FF5814"/>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E42F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FE42FF"/>
    <w:pPr>
      <w:keepNext/>
      <w:keepLines/>
      <w:numPr>
        <w:numId w:val="2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2FF"/>
    <w:pPr>
      <w:keepNext/>
      <w:keepLines/>
      <w:numPr>
        <w:ilvl w:val="1"/>
        <w:numId w:val="2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42FF"/>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42FF"/>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42FF"/>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42FF"/>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E42FF"/>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E42FF"/>
    <w:pPr>
      <w:keepNext/>
      <w:keepLines/>
      <w:numPr>
        <w:ilvl w:val="7"/>
        <w:numId w:val="2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E42FF"/>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FE42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2FF"/>
  </w:style>
  <w:style w:type="paragraph" w:styleId="Footer">
    <w:name w:val="footer"/>
    <w:link w:val="FooterChar"/>
    <w:rsid w:val="00FE42FF"/>
    <w:pPr>
      <w:tabs>
        <w:tab w:val="center" w:pos="4153"/>
        <w:tab w:val="right" w:pos="8306"/>
      </w:tabs>
    </w:pPr>
    <w:rPr>
      <w:sz w:val="22"/>
      <w:szCs w:val="24"/>
    </w:rPr>
  </w:style>
  <w:style w:type="numbering" w:styleId="111111">
    <w:name w:val="Outline List 2"/>
    <w:basedOn w:val="NoList"/>
    <w:rsid w:val="00FE42FF"/>
    <w:pPr>
      <w:numPr>
        <w:numId w:val="26"/>
      </w:numPr>
    </w:pPr>
  </w:style>
  <w:style w:type="numbering" w:styleId="1ai">
    <w:name w:val="Outline List 1"/>
    <w:basedOn w:val="NoList"/>
    <w:rsid w:val="00FE42FF"/>
    <w:pPr>
      <w:numPr>
        <w:numId w:val="2"/>
      </w:numPr>
    </w:pPr>
  </w:style>
  <w:style w:type="numbering" w:styleId="ArticleSection">
    <w:name w:val="Outline List 3"/>
    <w:basedOn w:val="NoList"/>
    <w:rsid w:val="00FE42FF"/>
    <w:pPr>
      <w:numPr>
        <w:numId w:val="27"/>
      </w:numPr>
    </w:pPr>
  </w:style>
  <w:style w:type="paragraph" w:styleId="BlockText">
    <w:name w:val="Block Text"/>
    <w:basedOn w:val="Normal"/>
    <w:rsid w:val="00FE42FF"/>
    <w:pPr>
      <w:spacing w:after="120"/>
      <w:ind w:left="1440" w:right="1440"/>
    </w:pPr>
  </w:style>
  <w:style w:type="paragraph" w:styleId="BodyText">
    <w:name w:val="Body Text"/>
    <w:basedOn w:val="Normal"/>
    <w:link w:val="BodyTextChar"/>
    <w:rsid w:val="00FE42FF"/>
    <w:pPr>
      <w:spacing w:after="120"/>
    </w:pPr>
  </w:style>
  <w:style w:type="paragraph" w:styleId="BodyText2">
    <w:name w:val="Body Text 2"/>
    <w:basedOn w:val="Normal"/>
    <w:link w:val="BodyText2Char"/>
    <w:rsid w:val="00FE42FF"/>
    <w:pPr>
      <w:spacing w:after="120" w:line="480" w:lineRule="auto"/>
    </w:pPr>
  </w:style>
  <w:style w:type="paragraph" w:styleId="BodyText3">
    <w:name w:val="Body Text 3"/>
    <w:basedOn w:val="Normal"/>
    <w:link w:val="BodyText3Char"/>
    <w:rsid w:val="00FE42FF"/>
    <w:pPr>
      <w:spacing w:after="120"/>
    </w:pPr>
    <w:rPr>
      <w:sz w:val="16"/>
      <w:szCs w:val="16"/>
    </w:rPr>
  </w:style>
  <w:style w:type="paragraph" w:styleId="BodyTextFirstIndent">
    <w:name w:val="Body Text First Indent"/>
    <w:basedOn w:val="BodyText"/>
    <w:link w:val="BodyTextFirstIndentChar"/>
    <w:rsid w:val="00FE42FF"/>
    <w:pPr>
      <w:ind w:firstLine="210"/>
    </w:pPr>
  </w:style>
  <w:style w:type="paragraph" w:styleId="BodyTextIndent">
    <w:name w:val="Body Text Indent"/>
    <w:basedOn w:val="Normal"/>
    <w:link w:val="BodyTextIndentChar"/>
    <w:rsid w:val="00FE42FF"/>
    <w:pPr>
      <w:spacing w:after="120"/>
      <w:ind w:left="283"/>
    </w:pPr>
  </w:style>
  <w:style w:type="paragraph" w:styleId="BodyTextFirstIndent2">
    <w:name w:val="Body Text First Indent 2"/>
    <w:basedOn w:val="BodyTextIndent"/>
    <w:link w:val="BodyTextFirstIndent2Char"/>
    <w:rsid w:val="00FE42FF"/>
    <w:pPr>
      <w:ind w:firstLine="210"/>
    </w:pPr>
  </w:style>
  <w:style w:type="paragraph" w:styleId="BodyTextIndent2">
    <w:name w:val="Body Text Indent 2"/>
    <w:basedOn w:val="Normal"/>
    <w:link w:val="BodyTextIndent2Char"/>
    <w:rsid w:val="00FE42FF"/>
    <w:pPr>
      <w:spacing w:after="120" w:line="480" w:lineRule="auto"/>
      <w:ind w:left="283"/>
    </w:pPr>
  </w:style>
  <w:style w:type="paragraph" w:styleId="BodyTextIndent3">
    <w:name w:val="Body Text Indent 3"/>
    <w:basedOn w:val="Normal"/>
    <w:link w:val="BodyTextIndent3Char"/>
    <w:rsid w:val="00FE42FF"/>
    <w:pPr>
      <w:spacing w:after="120"/>
      <w:ind w:left="283"/>
    </w:pPr>
    <w:rPr>
      <w:sz w:val="16"/>
      <w:szCs w:val="16"/>
    </w:rPr>
  </w:style>
  <w:style w:type="paragraph" w:styleId="Closing">
    <w:name w:val="Closing"/>
    <w:basedOn w:val="Normal"/>
    <w:link w:val="ClosingChar"/>
    <w:rsid w:val="00FE42FF"/>
    <w:pPr>
      <w:ind w:left="4252"/>
    </w:pPr>
  </w:style>
  <w:style w:type="paragraph" w:styleId="Date">
    <w:name w:val="Date"/>
    <w:basedOn w:val="Normal"/>
    <w:next w:val="Normal"/>
    <w:link w:val="DateChar"/>
    <w:rsid w:val="00FE42FF"/>
  </w:style>
  <w:style w:type="paragraph" w:styleId="E-mailSignature">
    <w:name w:val="E-mail Signature"/>
    <w:basedOn w:val="Normal"/>
    <w:link w:val="E-mailSignatureChar"/>
    <w:rsid w:val="00FE42FF"/>
  </w:style>
  <w:style w:type="character" w:styleId="Emphasis">
    <w:name w:val="Emphasis"/>
    <w:basedOn w:val="DefaultParagraphFont"/>
    <w:qFormat/>
    <w:rsid w:val="00FE42FF"/>
    <w:rPr>
      <w:i/>
      <w:iCs/>
    </w:rPr>
  </w:style>
  <w:style w:type="paragraph" w:styleId="EnvelopeAddress">
    <w:name w:val="envelope address"/>
    <w:basedOn w:val="Normal"/>
    <w:rsid w:val="00FE42F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E42FF"/>
    <w:rPr>
      <w:rFonts w:ascii="Arial" w:hAnsi="Arial" w:cs="Arial"/>
      <w:sz w:val="20"/>
    </w:rPr>
  </w:style>
  <w:style w:type="character" w:styleId="FollowedHyperlink">
    <w:name w:val="FollowedHyperlink"/>
    <w:basedOn w:val="DefaultParagraphFont"/>
    <w:rsid w:val="00FE42FF"/>
    <w:rPr>
      <w:color w:val="800080"/>
      <w:u w:val="single"/>
    </w:rPr>
  </w:style>
  <w:style w:type="paragraph" w:styleId="Header">
    <w:name w:val="header"/>
    <w:basedOn w:val="OPCParaBase"/>
    <w:link w:val="HeaderChar"/>
    <w:unhideWhenUsed/>
    <w:rsid w:val="00FE42FF"/>
    <w:pPr>
      <w:keepNext/>
      <w:keepLines/>
      <w:tabs>
        <w:tab w:val="center" w:pos="4150"/>
        <w:tab w:val="right" w:pos="8307"/>
      </w:tabs>
      <w:spacing w:line="160" w:lineRule="exact"/>
    </w:pPr>
    <w:rPr>
      <w:sz w:val="16"/>
    </w:rPr>
  </w:style>
  <w:style w:type="character" w:styleId="HTMLAcronym">
    <w:name w:val="HTML Acronym"/>
    <w:basedOn w:val="DefaultParagraphFont"/>
    <w:rsid w:val="00FE42FF"/>
  </w:style>
  <w:style w:type="paragraph" w:styleId="HTMLAddress">
    <w:name w:val="HTML Address"/>
    <w:basedOn w:val="Normal"/>
    <w:link w:val="HTMLAddressChar"/>
    <w:rsid w:val="00FE42FF"/>
    <w:rPr>
      <w:i/>
      <w:iCs/>
    </w:rPr>
  </w:style>
  <w:style w:type="character" w:styleId="HTMLCite">
    <w:name w:val="HTML Cite"/>
    <w:basedOn w:val="DefaultParagraphFont"/>
    <w:rsid w:val="00FE42FF"/>
    <w:rPr>
      <w:i/>
      <w:iCs/>
    </w:rPr>
  </w:style>
  <w:style w:type="character" w:styleId="HTMLCode">
    <w:name w:val="HTML Code"/>
    <w:basedOn w:val="DefaultParagraphFont"/>
    <w:rsid w:val="00FE42FF"/>
    <w:rPr>
      <w:rFonts w:ascii="Courier New" w:hAnsi="Courier New" w:cs="Courier New"/>
      <w:sz w:val="20"/>
      <w:szCs w:val="20"/>
    </w:rPr>
  </w:style>
  <w:style w:type="character" w:styleId="HTMLDefinition">
    <w:name w:val="HTML Definition"/>
    <w:basedOn w:val="DefaultParagraphFont"/>
    <w:rsid w:val="00FE42FF"/>
    <w:rPr>
      <w:i/>
      <w:iCs/>
    </w:rPr>
  </w:style>
  <w:style w:type="character" w:styleId="HTMLKeyboard">
    <w:name w:val="HTML Keyboard"/>
    <w:basedOn w:val="DefaultParagraphFont"/>
    <w:rsid w:val="00FE42FF"/>
    <w:rPr>
      <w:rFonts w:ascii="Courier New" w:hAnsi="Courier New" w:cs="Courier New"/>
      <w:sz w:val="20"/>
      <w:szCs w:val="20"/>
    </w:rPr>
  </w:style>
  <w:style w:type="paragraph" w:styleId="HTMLPreformatted">
    <w:name w:val="HTML Preformatted"/>
    <w:basedOn w:val="Normal"/>
    <w:link w:val="HTMLPreformattedChar"/>
    <w:rsid w:val="00FE42FF"/>
    <w:rPr>
      <w:rFonts w:ascii="Courier New" w:hAnsi="Courier New" w:cs="Courier New"/>
      <w:sz w:val="20"/>
    </w:rPr>
  </w:style>
  <w:style w:type="character" w:styleId="HTMLSample">
    <w:name w:val="HTML Sample"/>
    <w:basedOn w:val="DefaultParagraphFont"/>
    <w:rsid w:val="00FE42FF"/>
    <w:rPr>
      <w:rFonts w:ascii="Courier New" w:hAnsi="Courier New" w:cs="Courier New"/>
    </w:rPr>
  </w:style>
  <w:style w:type="character" w:styleId="HTMLTypewriter">
    <w:name w:val="HTML Typewriter"/>
    <w:basedOn w:val="DefaultParagraphFont"/>
    <w:rsid w:val="00FE42FF"/>
    <w:rPr>
      <w:rFonts w:ascii="Courier New" w:hAnsi="Courier New" w:cs="Courier New"/>
      <w:sz w:val="20"/>
      <w:szCs w:val="20"/>
    </w:rPr>
  </w:style>
  <w:style w:type="character" w:styleId="HTMLVariable">
    <w:name w:val="HTML Variable"/>
    <w:basedOn w:val="DefaultParagraphFont"/>
    <w:rsid w:val="00FE42FF"/>
    <w:rPr>
      <w:i/>
      <w:iCs/>
    </w:rPr>
  </w:style>
  <w:style w:type="character" w:styleId="Hyperlink">
    <w:name w:val="Hyperlink"/>
    <w:basedOn w:val="DefaultParagraphFont"/>
    <w:rsid w:val="00FE42FF"/>
    <w:rPr>
      <w:color w:val="0000FF"/>
      <w:u w:val="single"/>
    </w:rPr>
  </w:style>
  <w:style w:type="character" w:styleId="LineNumber">
    <w:name w:val="line number"/>
    <w:basedOn w:val="OPCCharBase"/>
    <w:uiPriority w:val="99"/>
    <w:unhideWhenUsed/>
    <w:rsid w:val="00FE42FF"/>
    <w:rPr>
      <w:sz w:val="16"/>
    </w:rPr>
  </w:style>
  <w:style w:type="paragraph" w:styleId="List">
    <w:name w:val="List"/>
    <w:basedOn w:val="Normal"/>
    <w:rsid w:val="00FE42FF"/>
    <w:pPr>
      <w:ind w:left="283" w:hanging="283"/>
    </w:pPr>
  </w:style>
  <w:style w:type="paragraph" w:styleId="List2">
    <w:name w:val="List 2"/>
    <w:basedOn w:val="Normal"/>
    <w:rsid w:val="00FE42FF"/>
    <w:pPr>
      <w:ind w:left="566" w:hanging="283"/>
    </w:pPr>
  </w:style>
  <w:style w:type="paragraph" w:styleId="List3">
    <w:name w:val="List 3"/>
    <w:basedOn w:val="Normal"/>
    <w:rsid w:val="00FE42FF"/>
    <w:pPr>
      <w:ind w:left="849" w:hanging="283"/>
    </w:pPr>
  </w:style>
  <w:style w:type="paragraph" w:styleId="List4">
    <w:name w:val="List 4"/>
    <w:basedOn w:val="Normal"/>
    <w:rsid w:val="00FE42FF"/>
    <w:pPr>
      <w:ind w:left="1132" w:hanging="283"/>
    </w:pPr>
  </w:style>
  <w:style w:type="paragraph" w:styleId="List5">
    <w:name w:val="List 5"/>
    <w:basedOn w:val="Normal"/>
    <w:rsid w:val="00FE42FF"/>
    <w:pPr>
      <w:ind w:left="1415" w:hanging="283"/>
    </w:pPr>
  </w:style>
  <w:style w:type="paragraph" w:styleId="ListBullet">
    <w:name w:val="List Bullet"/>
    <w:basedOn w:val="Normal"/>
    <w:autoRedefine/>
    <w:rsid w:val="00FE42FF"/>
    <w:pPr>
      <w:tabs>
        <w:tab w:val="num" w:pos="360"/>
      </w:tabs>
      <w:ind w:left="360" w:hanging="360"/>
    </w:pPr>
  </w:style>
  <w:style w:type="paragraph" w:styleId="ListBullet2">
    <w:name w:val="List Bullet 2"/>
    <w:basedOn w:val="Normal"/>
    <w:autoRedefine/>
    <w:rsid w:val="00FE42FF"/>
    <w:pPr>
      <w:tabs>
        <w:tab w:val="num" w:pos="360"/>
      </w:tabs>
    </w:pPr>
  </w:style>
  <w:style w:type="paragraph" w:styleId="ListBullet3">
    <w:name w:val="List Bullet 3"/>
    <w:basedOn w:val="Normal"/>
    <w:autoRedefine/>
    <w:rsid w:val="00FE42FF"/>
    <w:pPr>
      <w:tabs>
        <w:tab w:val="num" w:pos="926"/>
      </w:tabs>
      <w:ind w:left="926" w:hanging="360"/>
    </w:pPr>
  </w:style>
  <w:style w:type="paragraph" w:styleId="ListBullet4">
    <w:name w:val="List Bullet 4"/>
    <w:basedOn w:val="Normal"/>
    <w:autoRedefine/>
    <w:rsid w:val="00FE42FF"/>
    <w:pPr>
      <w:tabs>
        <w:tab w:val="num" w:pos="1209"/>
      </w:tabs>
      <w:ind w:left="1209" w:hanging="360"/>
    </w:pPr>
  </w:style>
  <w:style w:type="paragraph" w:styleId="ListBullet5">
    <w:name w:val="List Bullet 5"/>
    <w:basedOn w:val="Normal"/>
    <w:autoRedefine/>
    <w:rsid w:val="00FE42FF"/>
    <w:pPr>
      <w:tabs>
        <w:tab w:val="num" w:pos="1492"/>
      </w:tabs>
      <w:ind w:left="1492" w:hanging="360"/>
    </w:pPr>
  </w:style>
  <w:style w:type="paragraph" w:styleId="ListContinue">
    <w:name w:val="List Continue"/>
    <w:basedOn w:val="Normal"/>
    <w:rsid w:val="00FE42FF"/>
    <w:pPr>
      <w:spacing w:after="120"/>
      <w:ind w:left="283"/>
    </w:pPr>
  </w:style>
  <w:style w:type="paragraph" w:styleId="ListContinue2">
    <w:name w:val="List Continue 2"/>
    <w:basedOn w:val="Normal"/>
    <w:rsid w:val="00FE42FF"/>
    <w:pPr>
      <w:spacing w:after="120"/>
      <w:ind w:left="566"/>
    </w:pPr>
  </w:style>
  <w:style w:type="paragraph" w:styleId="ListContinue3">
    <w:name w:val="List Continue 3"/>
    <w:basedOn w:val="Normal"/>
    <w:rsid w:val="00FE42FF"/>
    <w:pPr>
      <w:spacing w:after="120"/>
      <w:ind w:left="849"/>
    </w:pPr>
  </w:style>
  <w:style w:type="paragraph" w:styleId="ListContinue4">
    <w:name w:val="List Continue 4"/>
    <w:basedOn w:val="Normal"/>
    <w:rsid w:val="00FE42FF"/>
    <w:pPr>
      <w:spacing w:after="120"/>
      <w:ind w:left="1132"/>
    </w:pPr>
  </w:style>
  <w:style w:type="paragraph" w:styleId="ListContinue5">
    <w:name w:val="List Continue 5"/>
    <w:basedOn w:val="Normal"/>
    <w:rsid w:val="00FE42FF"/>
    <w:pPr>
      <w:spacing w:after="120"/>
      <w:ind w:left="1415"/>
    </w:pPr>
  </w:style>
  <w:style w:type="paragraph" w:styleId="ListNumber">
    <w:name w:val="List Number"/>
    <w:basedOn w:val="Normal"/>
    <w:rsid w:val="00FE42FF"/>
    <w:pPr>
      <w:tabs>
        <w:tab w:val="num" w:pos="360"/>
      </w:tabs>
      <w:ind w:left="360" w:hanging="360"/>
    </w:pPr>
  </w:style>
  <w:style w:type="paragraph" w:styleId="ListNumber2">
    <w:name w:val="List Number 2"/>
    <w:basedOn w:val="Normal"/>
    <w:rsid w:val="00FE42FF"/>
    <w:pPr>
      <w:tabs>
        <w:tab w:val="num" w:pos="643"/>
      </w:tabs>
      <w:ind w:left="643" w:hanging="360"/>
    </w:pPr>
  </w:style>
  <w:style w:type="paragraph" w:styleId="ListNumber3">
    <w:name w:val="List Number 3"/>
    <w:basedOn w:val="Normal"/>
    <w:rsid w:val="00FE42FF"/>
    <w:pPr>
      <w:tabs>
        <w:tab w:val="num" w:pos="926"/>
      </w:tabs>
      <w:ind w:left="926" w:hanging="360"/>
    </w:pPr>
  </w:style>
  <w:style w:type="paragraph" w:styleId="ListNumber4">
    <w:name w:val="List Number 4"/>
    <w:basedOn w:val="Normal"/>
    <w:rsid w:val="00FE42FF"/>
    <w:pPr>
      <w:tabs>
        <w:tab w:val="num" w:pos="1209"/>
      </w:tabs>
      <w:ind w:left="1209" w:hanging="360"/>
    </w:pPr>
  </w:style>
  <w:style w:type="paragraph" w:styleId="ListNumber5">
    <w:name w:val="List Number 5"/>
    <w:basedOn w:val="Normal"/>
    <w:rsid w:val="00FE42FF"/>
    <w:pPr>
      <w:tabs>
        <w:tab w:val="num" w:pos="1492"/>
      </w:tabs>
      <w:ind w:left="1492" w:hanging="360"/>
    </w:pPr>
  </w:style>
  <w:style w:type="paragraph" w:styleId="MessageHeader">
    <w:name w:val="Message Header"/>
    <w:basedOn w:val="Normal"/>
    <w:link w:val="MessageHeaderChar"/>
    <w:rsid w:val="00FE42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E42FF"/>
  </w:style>
  <w:style w:type="paragraph" w:styleId="NormalIndent">
    <w:name w:val="Normal Indent"/>
    <w:basedOn w:val="Normal"/>
    <w:rsid w:val="00FE42FF"/>
    <w:pPr>
      <w:ind w:left="720"/>
    </w:pPr>
  </w:style>
  <w:style w:type="character" w:styleId="PageNumber">
    <w:name w:val="page number"/>
    <w:basedOn w:val="DefaultParagraphFont"/>
    <w:rsid w:val="00FE42FF"/>
  </w:style>
  <w:style w:type="paragraph" w:styleId="PlainText">
    <w:name w:val="Plain Text"/>
    <w:basedOn w:val="Normal"/>
    <w:link w:val="PlainTextChar"/>
    <w:rsid w:val="00FE42FF"/>
    <w:rPr>
      <w:rFonts w:ascii="Courier New" w:hAnsi="Courier New" w:cs="Courier New"/>
      <w:sz w:val="20"/>
    </w:rPr>
  </w:style>
  <w:style w:type="paragraph" w:styleId="Salutation">
    <w:name w:val="Salutation"/>
    <w:basedOn w:val="Normal"/>
    <w:next w:val="Normal"/>
    <w:link w:val="SalutationChar"/>
    <w:rsid w:val="00FE42FF"/>
  </w:style>
  <w:style w:type="paragraph" w:styleId="Signature">
    <w:name w:val="Signature"/>
    <w:basedOn w:val="Normal"/>
    <w:link w:val="SignatureChar"/>
    <w:rsid w:val="00FE42FF"/>
    <w:pPr>
      <w:ind w:left="4252"/>
    </w:pPr>
  </w:style>
  <w:style w:type="character" w:styleId="Strong">
    <w:name w:val="Strong"/>
    <w:basedOn w:val="DefaultParagraphFont"/>
    <w:qFormat/>
    <w:rsid w:val="00FE42FF"/>
    <w:rPr>
      <w:b/>
      <w:bCs/>
    </w:rPr>
  </w:style>
  <w:style w:type="paragraph" w:styleId="Subtitle">
    <w:name w:val="Subtitle"/>
    <w:basedOn w:val="Normal"/>
    <w:link w:val="SubtitleChar"/>
    <w:qFormat/>
    <w:rsid w:val="00FE42FF"/>
    <w:pPr>
      <w:spacing w:after="60"/>
      <w:jc w:val="center"/>
      <w:outlineLvl w:val="1"/>
    </w:pPr>
    <w:rPr>
      <w:rFonts w:ascii="Arial" w:hAnsi="Arial" w:cs="Arial"/>
    </w:rPr>
  </w:style>
  <w:style w:type="table" w:styleId="Table3Deffects1">
    <w:name w:val="Table 3D effects 1"/>
    <w:basedOn w:val="TableNormal"/>
    <w:rsid w:val="00FE42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42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42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42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42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42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42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42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42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42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42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42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42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42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42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42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42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42F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E42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42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42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42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42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42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42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42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42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42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42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42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42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42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42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42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E42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42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42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42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42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42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42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42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42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E42FF"/>
    <w:pPr>
      <w:spacing w:before="240" w:after="60"/>
    </w:pPr>
    <w:rPr>
      <w:rFonts w:ascii="Arial" w:hAnsi="Arial" w:cs="Arial"/>
      <w:b/>
      <w:bCs/>
      <w:sz w:val="40"/>
      <w:szCs w:val="40"/>
    </w:rPr>
  </w:style>
  <w:style w:type="character" w:customStyle="1" w:styleId="CharAmSchNo">
    <w:name w:val="CharAmSchNo"/>
    <w:basedOn w:val="OPCCharBase"/>
    <w:qFormat/>
    <w:rsid w:val="00FE42FF"/>
  </w:style>
  <w:style w:type="character" w:customStyle="1" w:styleId="CharAmSchText">
    <w:name w:val="CharAmSchText"/>
    <w:basedOn w:val="OPCCharBase"/>
    <w:qFormat/>
    <w:rsid w:val="00FE42FF"/>
  </w:style>
  <w:style w:type="character" w:customStyle="1" w:styleId="CharChapNo">
    <w:name w:val="CharChapNo"/>
    <w:basedOn w:val="OPCCharBase"/>
    <w:uiPriority w:val="1"/>
    <w:qFormat/>
    <w:rsid w:val="00FE42FF"/>
  </w:style>
  <w:style w:type="character" w:customStyle="1" w:styleId="CharChapText">
    <w:name w:val="CharChapText"/>
    <w:basedOn w:val="OPCCharBase"/>
    <w:uiPriority w:val="1"/>
    <w:qFormat/>
    <w:rsid w:val="00FE42FF"/>
  </w:style>
  <w:style w:type="character" w:customStyle="1" w:styleId="CharDivNo">
    <w:name w:val="CharDivNo"/>
    <w:basedOn w:val="OPCCharBase"/>
    <w:uiPriority w:val="1"/>
    <w:qFormat/>
    <w:rsid w:val="00FE42FF"/>
  </w:style>
  <w:style w:type="character" w:customStyle="1" w:styleId="CharDivText">
    <w:name w:val="CharDivText"/>
    <w:basedOn w:val="OPCCharBase"/>
    <w:uiPriority w:val="1"/>
    <w:qFormat/>
    <w:rsid w:val="00FE42FF"/>
  </w:style>
  <w:style w:type="character" w:customStyle="1" w:styleId="CharPartNo">
    <w:name w:val="CharPartNo"/>
    <w:basedOn w:val="OPCCharBase"/>
    <w:uiPriority w:val="1"/>
    <w:qFormat/>
    <w:rsid w:val="00FE42FF"/>
  </w:style>
  <w:style w:type="character" w:customStyle="1" w:styleId="CharPartText">
    <w:name w:val="CharPartText"/>
    <w:basedOn w:val="OPCCharBase"/>
    <w:uiPriority w:val="1"/>
    <w:qFormat/>
    <w:rsid w:val="00FE42FF"/>
  </w:style>
  <w:style w:type="character" w:customStyle="1" w:styleId="OPCCharBase">
    <w:name w:val="OPCCharBase"/>
    <w:uiPriority w:val="1"/>
    <w:qFormat/>
    <w:rsid w:val="00FE42FF"/>
  </w:style>
  <w:style w:type="paragraph" w:customStyle="1" w:styleId="OPCParaBase">
    <w:name w:val="OPCParaBase"/>
    <w:link w:val="OPCParaBaseChar"/>
    <w:qFormat/>
    <w:rsid w:val="00FE42FF"/>
    <w:pPr>
      <w:spacing w:line="260" w:lineRule="atLeast"/>
    </w:pPr>
    <w:rPr>
      <w:sz w:val="22"/>
    </w:rPr>
  </w:style>
  <w:style w:type="character" w:customStyle="1" w:styleId="CharSectno">
    <w:name w:val="CharSectno"/>
    <w:basedOn w:val="OPCCharBase"/>
    <w:qFormat/>
    <w:rsid w:val="00FE42FF"/>
  </w:style>
  <w:style w:type="character" w:styleId="EndnoteReference">
    <w:name w:val="endnote reference"/>
    <w:basedOn w:val="DefaultParagraphFont"/>
    <w:rsid w:val="00FE42FF"/>
    <w:rPr>
      <w:vertAlign w:val="superscript"/>
    </w:rPr>
  </w:style>
  <w:style w:type="paragraph" w:styleId="EndnoteText">
    <w:name w:val="endnote text"/>
    <w:basedOn w:val="Normal"/>
    <w:link w:val="EndnoteTextChar"/>
    <w:rsid w:val="00FE42FF"/>
    <w:rPr>
      <w:sz w:val="20"/>
    </w:rPr>
  </w:style>
  <w:style w:type="character" w:styleId="FootnoteReference">
    <w:name w:val="footnote reference"/>
    <w:basedOn w:val="DefaultParagraphFont"/>
    <w:rsid w:val="00FE42FF"/>
    <w:rPr>
      <w:rFonts w:ascii="Times New Roman" w:hAnsi="Times New Roman"/>
      <w:sz w:val="20"/>
      <w:vertAlign w:val="superscript"/>
    </w:rPr>
  </w:style>
  <w:style w:type="paragraph" w:styleId="FootnoteText">
    <w:name w:val="footnote text"/>
    <w:basedOn w:val="Normal"/>
    <w:link w:val="FootnoteTextChar"/>
    <w:rsid w:val="00FE42FF"/>
    <w:rPr>
      <w:sz w:val="20"/>
    </w:rPr>
  </w:style>
  <w:style w:type="paragraph" w:customStyle="1" w:styleId="Formula">
    <w:name w:val="Formula"/>
    <w:basedOn w:val="OPCParaBase"/>
    <w:rsid w:val="00FE42FF"/>
    <w:pPr>
      <w:spacing w:line="240" w:lineRule="auto"/>
      <w:ind w:left="1134"/>
    </w:pPr>
    <w:rPr>
      <w:sz w:val="20"/>
    </w:rPr>
  </w:style>
  <w:style w:type="paragraph" w:customStyle="1" w:styleId="ShortT">
    <w:name w:val="ShortT"/>
    <w:basedOn w:val="OPCParaBase"/>
    <w:next w:val="Normal"/>
    <w:qFormat/>
    <w:rsid w:val="00FE42FF"/>
    <w:pPr>
      <w:spacing w:line="240" w:lineRule="auto"/>
    </w:pPr>
    <w:rPr>
      <w:b/>
      <w:sz w:val="40"/>
    </w:rPr>
  </w:style>
  <w:style w:type="paragraph" w:customStyle="1" w:styleId="Penalty">
    <w:name w:val="Penalty"/>
    <w:basedOn w:val="OPCParaBase"/>
    <w:rsid w:val="00FE42FF"/>
    <w:pPr>
      <w:tabs>
        <w:tab w:val="left" w:pos="2977"/>
      </w:tabs>
      <w:spacing w:before="180" w:line="240" w:lineRule="auto"/>
      <w:ind w:left="1985" w:hanging="851"/>
    </w:pPr>
  </w:style>
  <w:style w:type="paragraph" w:customStyle="1" w:styleId="Actno">
    <w:name w:val="Actno"/>
    <w:basedOn w:val="ShortT"/>
    <w:next w:val="Normal"/>
    <w:qFormat/>
    <w:rsid w:val="00FE42FF"/>
  </w:style>
  <w:style w:type="paragraph" w:styleId="TOC1">
    <w:name w:val="toc 1"/>
    <w:basedOn w:val="Normal"/>
    <w:next w:val="Normal"/>
    <w:uiPriority w:val="39"/>
    <w:unhideWhenUsed/>
    <w:rsid w:val="00FE42F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E42F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E42F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E42F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E42F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E42F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E42F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E42F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E42F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FE42FF"/>
    <w:pPr>
      <w:spacing w:line="240" w:lineRule="auto"/>
    </w:pPr>
    <w:rPr>
      <w:sz w:val="20"/>
    </w:rPr>
  </w:style>
  <w:style w:type="paragraph" w:customStyle="1" w:styleId="Blocks">
    <w:name w:val="Blocks"/>
    <w:aliases w:val="bb"/>
    <w:basedOn w:val="OPCParaBase"/>
    <w:qFormat/>
    <w:rsid w:val="00FE42FF"/>
    <w:pPr>
      <w:spacing w:line="240" w:lineRule="auto"/>
    </w:pPr>
    <w:rPr>
      <w:sz w:val="24"/>
    </w:rPr>
  </w:style>
  <w:style w:type="paragraph" w:styleId="BalloonText">
    <w:name w:val="Balloon Text"/>
    <w:basedOn w:val="Normal"/>
    <w:link w:val="BalloonTextChar"/>
    <w:uiPriority w:val="99"/>
    <w:unhideWhenUsed/>
    <w:rsid w:val="00FE42FF"/>
    <w:pPr>
      <w:spacing w:line="240" w:lineRule="auto"/>
    </w:pPr>
    <w:rPr>
      <w:rFonts w:ascii="Tahoma" w:hAnsi="Tahoma" w:cs="Tahoma"/>
      <w:sz w:val="16"/>
      <w:szCs w:val="16"/>
    </w:rPr>
  </w:style>
  <w:style w:type="paragraph" w:styleId="Caption">
    <w:name w:val="caption"/>
    <w:basedOn w:val="Normal"/>
    <w:next w:val="Normal"/>
    <w:qFormat/>
    <w:rsid w:val="00FE42FF"/>
    <w:pPr>
      <w:spacing w:before="120" w:after="120"/>
    </w:pPr>
    <w:rPr>
      <w:b/>
      <w:bCs/>
      <w:sz w:val="20"/>
    </w:rPr>
  </w:style>
  <w:style w:type="character" w:styleId="CommentReference">
    <w:name w:val="annotation reference"/>
    <w:basedOn w:val="DefaultParagraphFont"/>
    <w:rsid w:val="00FE42FF"/>
    <w:rPr>
      <w:sz w:val="16"/>
      <w:szCs w:val="16"/>
    </w:rPr>
  </w:style>
  <w:style w:type="paragraph" w:styleId="CommentText">
    <w:name w:val="annotation text"/>
    <w:basedOn w:val="Normal"/>
    <w:link w:val="CommentTextChar"/>
    <w:rsid w:val="00FE42FF"/>
    <w:rPr>
      <w:sz w:val="20"/>
    </w:rPr>
  </w:style>
  <w:style w:type="paragraph" w:styleId="CommentSubject">
    <w:name w:val="annotation subject"/>
    <w:basedOn w:val="CommentText"/>
    <w:next w:val="CommentText"/>
    <w:link w:val="CommentSubjectChar"/>
    <w:rsid w:val="00FE42FF"/>
    <w:rPr>
      <w:b/>
      <w:bCs/>
    </w:rPr>
  </w:style>
  <w:style w:type="paragraph" w:styleId="DocumentMap">
    <w:name w:val="Document Map"/>
    <w:basedOn w:val="Normal"/>
    <w:link w:val="DocumentMapChar"/>
    <w:rsid w:val="00FE42FF"/>
    <w:pPr>
      <w:shd w:val="clear" w:color="auto" w:fill="000080"/>
    </w:pPr>
    <w:rPr>
      <w:rFonts w:ascii="Tahoma" w:hAnsi="Tahoma" w:cs="Tahoma"/>
    </w:rPr>
  </w:style>
  <w:style w:type="paragraph" w:styleId="Index1">
    <w:name w:val="index 1"/>
    <w:basedOn w:val="Normal"/>
    <w:next w:val="Normal"/>
    <w:autoRedefine/>
    <w:rsid w:val="00FE42FF"/>
    <w:pPr>
      <w:ind w:left="240" w:hanging="240"/>
    </w:pPr>
  </w:style>
  <w:style w:type="paragraph" w:styleId="Index2">
    <w:name w:val="index 2"/>
    <w:basedOn w:val="Normal"/>
    <w:next w:val="Normal"/>
    <w:autoRedefine/>
    <w:rsid w:val="00FE42FF"/>
    <w:pPr>
      <w:ind w:left="480" w:hanging="240"/>
    </w:pPr>
  </w:style>
  <w:style w:type="paragraph" w:styleId="Index3">
    <w:name w:val="index 3"/>
    <w:basedOn w:val="Normal"/>
    <w:next w:val="Normal"/>
    <w:autoRedefine/>
    <w:rsid w:val="00FE42FF"/>
    <w:pPr>
      <w:ind w:left="720" w:hanging="240"/>
    </w:pPr>
  </w:style>
  <w:style w:type="paragraph" w:styleId="Index4">
    <w:name w:val="index 4"/>
    <w:basedOn w:val="Normal"/>
    <w:next w:val="Normal"/>
    <w:autoRedefine/>
    <w:rsid w:val="00FE42FF"/>
    <w:pPr>
      <w:ind w:left="960" w:hanging="240"/>
    </w:pPr>
  </w:style>
  <w:style w:type="paragraph" w:styleId="Index5">
    <w:name w:val="index 5"/>
    <w:basedOn w:val="Normal"/>
    <w:next w:val="Normal"/>
    <w:autoRedefine/>
    <w:rsid w:val="00FE42FF"/>
    <w:pPr>
      <w:ind w:left="1200" w:hanging="240"/>
    </w:pPr>
  </w:style>
  <w:style w:type="paragraph" w:styleId="Index6">
    <w:name w:val="index 6"/>
    <w:basedOn w:val="Normal"/>
    <w:next w:val="Normal"/>
    <w:autoRedefine/>
    <w:rsid w:val="00FE42FF"/>
    <w:pPr>
      <w:ind w:left="1440" w:hanging="240"/>
    </w:pPr>
  </w:style>
  <w:style w:type="paragraph" w:styleId="Index7">
    <w:name w:val="index 7"/>
    <w:basedOn w:val="Normal"/>
    <w:next w:val="Normal"/>
    <w:autoRedefine/>
    <w:rsid w:val="00FE42FF"/>
    <w:pPr>
      <w:ind w:left="1680" w:hanging="240"/>
    </w:pPr>
  </w:style>
  <w:style w:type="paragraph" w:styleId="Index8">
    <w:name w:val="index 8"/>
    <w:basedOn w:val="Normal"/>
    <w:next w:val="Normal"/>
    <w:autoRedefine/>
    <w:rsid w:val="00FE42FF"/>
    <w:pPr>
      <w:ind w:left="1920" w:hanging="240"/>
    </w:pPr>
  </w:style>
  <w:style w:type="paragraph" w:styleId="Index9">
    <w:name w:val="index 9"/>
    <w:basedOn w:val="Normal"/>
    <w:next w:val="Normal"/>
    <w:autoRedefine/>
    <w:rsid w:val="00FE42FF"/>
    <w:pPr>
      <w:ind w:left="2160" w:hanging="240"/>
    </w:pPr>
  </w:style>
  <w:style w:type="paragraph" w:styleId="IndexHeading">
    <w:name w:val="index heading"/>
    <w:basedOn w:val="Normal"/>
    <w:next w:val="Index1"/>
    <w:rsid w:val="00FE42FF"/>
    <w:rPr>
      <w:rFonts w:ascii="Arial" w:hAnsi="Arial" w:cs="Arial"/>
      <w:b/>
      <w:bCs/>
    </w:rPr>
  </w:style>
  <w:style w:type="paragraph" w:styleId="MacroText">
    <w:name w:val="macro"/>
    <w:link w:val="MacroTextChar"/>
    <w:rsid w:val="00FE42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E42FF"/>
    <w:pPr>
      <w:ind w:left="240" w:hanging="240"/>
    </w:pPr>
  </w:style>
  <w:style w:type="paragraph" w:styleId="TableofFigures">
    <w:name w:val="table of figures"/>
    <w:basedOn w:val="Normal"/>
    <w:next w:val="Normal"/>
    <w:rsid w:val="00FE42FF"/>
    <w:pPr>
      <w:ind w:left="480" w:hanging="480"/>
    </w:pPr>
  </w:style>
  <w:style w:type="paragraph" w:styleId="TOAHeading">
    <w:name w:val="toa heading"/>
    <w:basedOn w:val="Normal"/>
    <w:next w:val="Normal"/>
    <w:rsid w:val="00FE42FF"/>
    <w:pPr>
      <w:spacing w:before="120"/>
    </w:pPr>
    <w:rPr>
      <w:rFonts w:ascii="Arial" w:hAnsi="Arial" w:cs="Arial"/>
      <w:b/>
      <w:bCs/>
    </w:rPr>
  </w:style>
  <w:style w:type="paragraph" w:customStyle="1" w:styleId="ItemHead">
    <w:name w:val="ItemHead"/>
    <w:aliases w:val="ih"/>
    <w:basedOn w:val="OPCParaBase"/>
    <w:next w:val="Item"/>
    <w:link w:val="ItemHeadChar"/>
    <w:rsid w:val="00FE42FF"/>
    <w:pPr>
      <w:keepNext/>
      <w:keepLines/>
      <w:spacing w:before="220" w:line="240" w:lineRule="auto"/>
      <w:ind w:left="709" w:hanging="709"/>
    </w:pPr>
    <w:rPr>
      <w:rFonts w:ascii="Arial" w:hAnsi="Arial"/>
      <w:b/>
      <w:kern w:val="28"/>
      <w:sz w:val="24"/>
    </w:rPr>
  </w:style>
  <w:style w:type="paragraph" w:customStyle="1" w:styleId="BoxText">
    <w:name w:val="BoxText"/>
    <w:aliases w:val="bt"/>
    <w:basedOn w:val="OPCParaBase"/>
    <w:qFormat/>
    <w:rsid w:val="00FE42F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FE42FF"/>
    <w:pPr>
      <w:numPr>
        <w:numId w:val="19"/>
      </w:numPr>
      <w:tabs>
        <w:tab w:val="clear" w:pos="2517"/>
        <w:tab w:val="left" w:pos="357"/>
      </w:tabs>
      <w:spacing w:before="60" w:line="198" w:lineRule="exact"/>
      <w:ind w:left="0" w:firstLine="0"/>
    </w:pPr>
    <w:rPr>
      <w:sz w:val="18"/>
    </w:rPr>
  </w:style>
  <w:style w:type="paragraph" w:customStyle="1" w:styleId="Definition">
    <w:name w:val="Definition"/>
    <w:aliases w:val="dd"/>
    <w:basedOn w:val="OPCParaBase"/>
    <w:link w:val="DefinitionChar"/>
    <w:rsid w:val="00FE42FF"/>
    <w:pPr>
      <w:spacing w:before="180" w:line="240" w:lineRule="auto"/>
      <w:ind w:left="1134"/>
    </w:pPr>
  </w:style>
  <w:style w:type="paragraph" w:customStyle="1" w:styleId="subsection">
    <w:name w:val="subsection"/>
    <w:aliases w:val="ss"/>
    <w:basedOn w:val="OPCParaBase"/>
    <w:link w:val="subsectionChar"/>
    <w:rsid w:val="00FE42FF"/>
    <w:pPr>
      <w:tabs>
        <w:tab w:val="right" w:pos="1021"/>
      </w:tabs>
      <w:spacing w:before="180" w:line="240" w:lineRule="auto"/>
      <w:ind w:left="1134" w:hanging="1134"/>
    </w:pPr>
  </w:style>
  <w:style w:type="paragraph" w:customStyle="1" w:styleId="paragraph">
    <w:name w:val="paragraph"/>
    <w:aliases w:val="a"/>
    <w:basedOn w:val="OPCParaBase"/>
    <w:link w:val="paragraphChar"/>
    <w:rsid w:val="00FE42FF"/>
    <w:pPr>
      <w:tabs>
        <w:tab w:val="right" w:pos="1531"/>
      </w:tabs>
      <w:spacing w:before="40" w:line="240" w:lineRule="auto"/>
      <w:ind w:left="1644" w:hanging="1644"/>
    </w:pPr>
  </w:style>
  <w:style w:type="paragraph" w:customStyle="1" w:styleId="paragraphsub">
    <w:name w:val="paragraph(sub)"/>
    <w:aliases w:val="aa"/>
    <w:basedOn w:val="OPCParaBase"/>
    <w:rsid w:val="00FE42FF"/>
    <w:pPr>
      <w:tabs>
        <w:tab w:val="right" w:pos="1985"/>
      </w:tabs>
      <w:spacing w:before="40" w:line="240" w:lineRule="auto"/>
      <w:ind w:left="2098" w:hanging="2098"/>
    </w:pPr>
  </w:style>
  <w:style w:type="paragraph" w:customStyle="1" w:styleId="subsection2">
    <w:name w:val="subsection2"/>
    <w:aliases w:val="ss2"/>
    <w:basedOn w:val="OPCParaBase"/>
    <w:next w:val="subsection"/>
    <w:link w:val="subsection2Char"/>
    <w:rsid w:val="00FE42FF"/>
    <w:pPr>
      <w:spacing w:before="40" w:line="240" w:lineRule="auto"/>
      <w:ind w:left="1134"/>
    </w:pPr>
  </w:style>
  <w:style w:type="paragraph" w:customStyle="1" w:styleId="notetext">
    <w:name w:val="note(text)"/>
    <w:aliases w:val="n"/>
    <w:basedOn w:val="OPCParaBase"/>
    <w:link w:val="notetextChar"/>
    <w:rsid w:val="00FE42FF"/>
    <w:pPr>
      <w:spacing w:before="122" w:line="240" w:lineRule="auto"/>
      <w:ind w:left="1985" w:hanging="851"/>
    </w:pPr>
    <w:rPr>
      <w:sz w:val="18"/>
    </w:rPr>
  </w:style>
  <w:style w:type="paragraph" w:customStyle="1" w:styleId="Item">
    <w:name w:val="Item"/>
    <w:aliases w:val="i"/>
    <w:basedOn w:val="OPCParaBase"/>
    <w:next w:val="ItemHead"/>
    <w:link w:val="ItemChar"/>
    <w:rsid w:val="00FE42FF"/>
    <w:pPr>
      <w:keepLines/>
      <w:spacing w:before="80" w:line="240" w:lineRule="auto"/>
      <w:ind w:left="709"/>
    </w:pPr>
  </w:style>
  <w:style w:type="paragraph" w:customStyle="1" w:styleId="SubsectionHead">
    <w:name w:val="SubsectionHead"/>
    <w:aliases w:val="ssh"/>
    <w:basedOn w:val="OPCParaBase"/>
    <w:next w:val="subsection"/>
    <w:rsid w:val="00FE42FF"/>
    <w:pPr>
      <w:keepNext/>
      <w:keepLines/>
      <w:spacing w:before="240" w:line="240" w:lineRule="auto"/>
      <w:ind w:left="1134"/>
    </w:pPr>
    <w:rPr>
      <w:i/>
    </w:rPr>
  </w:style>
  <w:style w:type="character" w:customStyle="1" w:styleId="CharAmPartNo">
    <w:name w:val="CharAmPartNo"/>
    <w:basedOn w:val="OPCCharBase"/>
    <w:qFormat/>
    <w:rsid w:val="00FE42FF"/>
  </w:style>
  <w:style w:type="paragraph" w:customStyle="1" w:styleId="paragraphsub-sub">
    <w:name w:val="paragraph(sub-sub)"/>
    <w:aliases w:val="aaa"/>
    <w:basedOn w:val="OPCParaBase"/>
    <w:rsid w:val="00FE42FF"/>
    <w:pPr>
      <w:tabs>
        <w:tab w:val="right" w:pos="2722"/>
      </w:tabs>
      <w:spacing w:before="40" w:line="240" w:lineRule="auto"/>
      <w:ind w:left="2835" w:hanging="2835"/>
    </w:pPr>
  </w:style>
  <w:style w:type="character" w:customStyle="1" w:styleId="paragraphChar">
    <w:name w:val="paragraph Char"/>
    <w:aliases w:val="a Char"/>
    <w:basedOn w:val="DefaultParagraphFont"/>
    <w:link w:val="paragraph"/>
    <w:rsid w:val="00F011D7"/>
    <w:rPr>
      <w:sz w:val="22"/>
    </w:rPr>
  </w:style>
  <w:style w:type="character" w:customStyle="1" w:styleId="subsectionChar">
    <w:name w:val="subsection Char"/>
    <w:aliases w:val="ss Char"/>
    <w:basedOn w:val="DefaultParagraphFont"/>
    <w:link w:val="subsection"/>
    <w:rsid w:val="00FE42FF"/>
    <w:rPr>
      <w:sz w:val="22"/>
    </w:rPr>
  </w:style>
  <w:style w:type="paragraph" w:customStyle="1" w:styleId="BoxHeadBold">
    <w:name w:val="BoxHeadBold"/>
    <w:aliases w:val="bhb"/>
    <w:basedOn w:val="BoxText"/>
    <w:next w:val="BoxText"/>
    <w:qFormat/>
    <w:rsid w:val="00FE42FF"/>
    <w:rPr>
      <w:b/>
    </w:rPr>
  </w:style>
  <w:style w:type="paragraph" w:customStyle="1" w:styleId="BoxHeadItalic">
    <w:name w:val="BoxHeadItalic"/>
    <w:aliases w:val="bhi"/>
    <w:basedOn w:val="BoxText"/>
    <w:next w:val="BoxStep"/>
    <w:qFormat/>
    <w:rsid w:val="00FE42FF"/>
    <w:rPr>
      <w:i/>
    </w:rPr>
  </w:style>
  <w:style w:type="paragraph" w:customStyle="1" w:styleId="BoxList">
    <w:name w:val="BoxList"/>
    <w:aliases w:val="bl"/>
    <w:basedOn w:val="BoxText"/>
    <w:qFormat/>
    <w:rsid w:val="00FE42FF"/>
    <w:pPr>
      <w:ind w:left="1559" w:hanging="425"/>
    </w:pPr>
  </w:style>
  <w:style w:type="paragraph" w:customStyle="1" w:styleId="BoxNote">
    <w:name w:val="BoxNote"/>
    <w:aliases w:val="bn"/>
    <w:basedOn w:val="BoxText"/>
    <w:qFormat/>
    <w:rsid w:val="00FE42FF"/>
    <w:pPr>
      <w:tabs>
        <w:tab w:val="left" w:pos="1985"/>
      </w:tabs>
      <w:spacing w:before="122" w:line="198" w:lineRule="exact"/>
      <w:ind w:left="2948" w:hanging="1814"/>
    </w:pPr>
    <w:rPr>
      <w:sz w:val="18"/>
    </w:rPr>
  </w:style>
  <w:style w:type="paragraph" w:customStyle="1" w:styleId="BoxPara">
    <w:name w:val="BoxPara"/>
    <w:aliases w:val="bp"/>
    <w:basedOn w:val="BoxText"/>
    <w:qFormat/>
    <w:rsid w:val="00FE42FF"/>
    <w:pPr>
      <w:tabs>
        <w:tab w:val="right" w:pos="2268"/>
      </w:tabs>
      <w:ind w:left="2552" w:hanging="1418"/>
    </w:pPr>
  </w:style>
  <w:style w:type="paragraph" w:customStyle="1" w:styleId="BoxStep">
    <w:name w:val="BoxStep"/>
    <w:aliases w:val="bs"/>
    <w:basedOn w:val="BoxText"/>
    <w:qFormat/>
    <w:rsid w:val="00FE42FF"/>
    <w:pPr>
      <w:ind w:left="1985" w:hanging="851"/>
    </w:pPr>
  </w:style>
  <w:style w:type="character" w:customStyle="1" w:styleId="CharAmPartText">
    <w:name w:val="CharAmPartText"/>
    <w:basedOn w:val="OPCCharBase"/>
    <w:qFormat/>
    <w:rsid w:val="00FE42FF"/>
  </w:style>
  <w:style w:type="character" w:customStyle="1" w:styleId="CharBoldItalic">
    <w:name w:val="CharBoldItalic"/>
    <w:basedOn w:val="OPCCharBase"/>
    <w:uiPriority w:val="1"/>
    <w:qFormat/>
    <w:rsid w:val="00FE42FF"/>
    <w:rPr>
      <w:b/>
      <w:i/>
    </w:rPr>
  </w:style>
  <w:style w:type="character" w:customStyle="1" w:styleId="CharItalic">
    <w:name w:val="CharItalic"/>
    <w:basedOn w:val="OPCCharBase"/>
    <w:uiPriority w:val="1"/>
    <w:qFormat/>
    <w:rsid w:val="00FE42FF"/>
    <w:rPr>
      <w:i/>
    </w:rPr>
  </w:style>
  <w:style w:type="character" w:customStyle="1" w:styleId="CharSubdNo">
    <w:name w:val="CharSubdNo"/>
    <w:basedOn w:val="OPCCharBase"/>
    <w:uiPriority w:val="1"/>
    <w:qFormat/>
    <w:rsid w:val="00FE42FF"/>
  </w:style>
  <w:style w:type="character" w:customStyle="1" w:styleId="CharSubdText">
    <w:name w:val="CharSubdText"/>
    <w:basedOn w:val="OPCCharBase"/>
    <w:uiPriority w:val="1"/>
    <w:qFormat/>
    <w:rsid w:val="00FE42FF"/>
  </w:style>
  <w:style w:type="paragraph" w:customStyle="1" w:styleId="CTA--">
    <w:name w:val="CTA --"/>
    <w:basedOn w:val="OPCParaBase"/>
    <w:next w:val="Normal"/>
    <w:rsid w:val="00FE42FF"/>
    <w:pPr>
      <w:spacing w:before="60" w:line="240" w:lineRule="atLeast"/>
      <w:ind w:left="142" w:hanging="142"/>
    </w:pPr>
    <w:rPr>
      <w:sz w:val="20"/>
    </w:rPr>
  </w:style>
  <w:style w:type="paragraph" w:customStyle="1" w:styleId="CTA-">
    <w:name w:val="CTA -"/>
    <w:basedOn w:val="OPCParaBase"/>
    <w:rsid w:val="00FE42FF"/>
    <w:pPr>
      <w:spacing w:before="60" w:line="240" w:lineRule="atLeast"/>
      <w:ind w:left="85" w:hanging="85"/>
    </w:pPr>
    <w:rPr>
      <w:sz w:val="20"/>
    </w:rPr>
  </w:style>
  <w:style w:type="paragraph" w:customStyle="1" w:styleId="CTA---">
    <w:name w:val="CTA ---"/>
    <w:basedOn w:val="OPCParaBase"/>
    <w:next w:val="Normal"/>
    <w:rsid w:val="00FE42FF"/>
    <w:pPr>
      <w:spacing w:before="60" w:line="240" w:lineRule="atLeast"/>
      <w:ind w:left="198" w:hanging="198"/>
    </w:pPr>
    <w:rPr>
      <w:sz w:val="20"/>
    </w:rPr>
  </w:style>
  <w:style w:type="paragraph" w:customStyle="1" w:styleId="CTA----">
    <w:name w:val="CTA ----"/>
    <w:basedOn w:val="OPCParaBase"/>
    <w:next w:val="Normal"/>
    <w:rsid w:val="00FE42FF"/>
    <w:pPr>
      <w:spacing w:before="60" w:line="240" w:lineRule="atLeast"/>
      <w:ind w:left="255" w:hanging="255"/>
    </w:pPr>
    <w:rPr>
      <w:sz w:val="20"/>
    </w:rPr>
  </w:style>
  <w:style w:type="paragraph" w:customStyle="1" w:styleId="CTA1a">
    <w:name w:val="CTA 1(a)"/>
    <w:basedOn w:val="OPCParaBase"/>
    <w:rsid w:val="00FE42FF"/>
    <w:pPr>
      <w:tabs>
        <w:tab w:val="right" w:pos="414"/>
      </w:tabs>
      <w:spacing w:before="40" w:line="240" w:lineRule="atLeast"/>
      <w:ind w:left="675" w:hanging="675"/>
    </w:pPr>
    <w:rPr>
      <w:sz w:val="20"/>
    </w:rPr>
  </w:style>
  <w:style w:type="paragraph" w:customStyle="1" w:styleId="CTA1ai">
    <w:name w:val="CTA 1(a)(i)"/>
    <w:basedOn w:val="OPCParaBase"/>
    <w:rsid w:val="00FE42FF"/>
    <w:pPr>
      <w:tabs>
        <w:tab w:val="right" w:pos="1004"/>
      </w:tabs>
      <w:spacing w:before="40" w:line="240" w:lineRule="atLeast"/>
      <w:ind w:left="1253" w:hanging="1253"/>
    </w:pPr>
    <w:rPr>
      <w:sz w:val="20"/>
    </w:rPr>
  </w:style>
  <w:style w:type="paragraph" w:customStyle="1" w:styleId="CTA2a">
    <w:name w:val="CTA 2(a)"/>
    <w:basedOn w:val="OPCParaBase"/>
    <w:rsid w:val="00FE42FF"/>
    <w:pPr>
      <w:tabs>
        <w:tab w:val="right" w:pos="482"/>
      </w:tabs>
      <w:spacing w:before="40" w:line="240" w:lineRule="atLeast"/>
      <w:ind w:left="748" w:hanging="748"/>
    </w:pPr>
    <w:rPr>
      <w:sz w:val="20"/>
    </w:rPr>
  </w:style>
  <w:style w:type="paragraph" w:customStyle="1" w:styleId="CTA2ai">
    <w:name w:val="CTA 2(a)(i)"/>
    <w:basedOn w:val="OPCParaBase"/>
    <w:rsid w:val="00FE42FF"/>
    <w:pPr>
      <w:tabs>
        <w:tab w:val="right" w:pos="1089"/>
      </w:tabs>
      <w:spacing w:before="40" w:line="240" w:lineRule="atLeast"/>
      <w:ind w:left="1327" w:hanging="1327"/>
    </w:pPr>
    <w:rPr>
      <w:sz w:val="20"/>
    </w:rPr>
  </w:style>
  <w:style w:type="paragraph" w:customStyle="1" w:styleId="CTA3a">
    <w:name w:val="CTA 3(a)"/>
    <w:basedOn w:val="OPCParaBase"/>
    <w:rsid w:val="00FE42FF"/>
    <w:pPr>
      <w:tabs>
        <w:tab w:val="right" w:pos="556"/>
      </w:tabs>
      <w:spacing w:before="40" w:line="240" w:lineRule="atLeast"/>
      <w:ind w:left="805" w:hanging="805"/>
    </w:pPr>
    <w:rPr>
      <w:sz w:val="20"/>
    </w:rPr>
  </w:style>
  <w:style w:type="paragraph" w:customStyle="1" w:styleId="CTA3ai">
    <w:name w:val="CTA 3(a)(i)"/>
    <w:basedOn w:val="OPCParaBase"/>
    <w:rsid w:val="00FE42FF"/>
    <w:pPr>
      <w:tabs>
        <w:tab w:val="right" w:pos="1140"/>
      </w:tabs>
      <w:spacing w:before="40" w:line="240" w:lineRule="atLeast"/>
      <w:ind w:left="1361" w:hanging="1361"/>
    </w:pPr>
    <w:rPr>
      <w:sz w:val="20"/>
    </w:rPr>
  </w:style>
  <w:style w:type="paragraph" w:customStyle="1" w:styleId="CTA4a">
    <w:name w:val="CTA 4(a)"/>
    <w:basedOn w:val="OPCParaBase"/>
    <w:rsid w:val="00FE42FF"/>
    <w:pPr>
      <w:tabs>
        <w:tab w:val="right" w:pos="624"/>
      </w:tabs>
      <w:spacing w:before="40" w:line="240" w:lineRule="atLeast"/>
      <w:ind w:left="873" w:hanging="873"/>
    </w:pPr>
    <w:rPr>
      <w:sz w:val="20"/>
    </w:rPr>
  </w:style>
  <w:style w:type="paragraph" w:customStyle="1" w:styleId="CTA4ai">
    <w:name w:val="CTA 4(a)(i)"/>
    <w:basedOn w:val="OPCParaBase"/>
    <w:rsid w:val="00FE42FF"/>
    <w:pPr>
      <w:tabs>
        <w:tab w:val="right" w:pos="1213"/>
      </w:tabs>
      <w:spacing w:before="40" w:line="240" w:lineRule="atLeast"/>
      <w:ind w:left="1452" w:hanging="1452"/>
    </w:pPr>
    <w:rPr>
      <w:sz w:val="20"/>
    </w:rPr>
  </w:style>
  <w:style w:type="paragraph" w:customStyle="1" w:styleId="CTACAPS">
    <w:name w:val="CTA CAPS"/>
    <w:basedOn w:val="OPCParaBase"/>
    <w:rsid w:val="00FE42FF"/>
    <w:pPr>
      <w:spacing w:before="60" w:line="240" w:lineRule="atLeast"/>
    </w:pPr>
    <w:rPr>
      <w:sz w:val="20"/>
    </w:rPr>
  </w:style>
  <w:style w:type="paragraph" w:customStyle="1" w:styleId="CTAright">
    <w:name w:val="CTA right"/>
    <w:basedOn w:val="OPCParaBase"/>
    <w:rsid w:val="00FE42FF"/>
    <w:pPr>
      <w:spacing w:before="60" w:line="240" w:lineRule="auto"/>
      <w:jc w:val="right"/>
    </w:pPr>
    <w:rPr>
      <w:sz w:val="20"/>
    </w:rPr>
  </w:style>
  <w:style w:type="character" w:customStyle="1" w:styleId="HeaderChar">
    <w:name w:val="Header Char"/>
    <w:basedOn w:val="DefaultParagraphFont"/>
    <w:link w:val="Header"/>
    <w:rsid w:val="00FE42FF"/>
    <w:rPr>
      <w:sz w:val="16"/>
    </w:rPr>
  </w:style>
  <w:style w:type="paragraph" w:customStyle="1" w:styleId="House">
    <w:name w:val="House"/>
    <w:basedOn w:val="OPCParaBase"/>
    <w:rsid w:val="00FE42FF"/>
    <w:pPr>
      <w:spacing w:line="240" w:lineRule="auto"/>
    </w:pPr>
    <w:rPr>
      <w:sz w:val="28"/>
    </w:rPr>
  </w:style>
  <w:style w:type="paragraph" w:customStyle="1" w:styleId="LongT">
    <w:name w:val="LongT"/>
    <w:basedOn w:val="OPCParaBase"/>
    <w:rsid w:val="00FE42FF"/>
    <w:pPr>
      <w:spacing w:line="240" w:lineRule="auto"/>
    </w:pPr>
    <w:rPr>
      <w:b/>
      <w:sz w:val="32"/>
    </w:rPr>
  </w:style>
  <w:style w:type="paragraph" w:customStyle="1" w:styleId="notedraft">
    <w:name w:val="note(draft)"/>
    <w:aliases w:val="nd"/>
    <w:basedOn w:val="OPCParaBase"/>
    <w:rsid w:val="00FE42FF"/>
    <w:pPr>
      <w:spacing w:before="240" w:line="240" w:lineRule="auto"/>
      <w:ind w:left="284" w:hanging="284"/>
    </w:pPr>
    <w:rPr>
      <w:i/>
      <w:sz w:val="24"/>
    </w:rPr>
  </w:style>
  <w:style w:type="paragraph" w:customStyle="1" w:styleId="notemargin">
    <w:name w:val="note(margin)"/>
    <w:aliases w:val="nm"/>
    <w:basedOn w:val="OPCParaBase"/>
    <w:rsid w:val="00FE42FF"/>
    <w:pPr>
      <w:tabs>
        <w:tab w:val="left" w:pos="709"/>
      </w:tabs>
      <w:spacing w:before="122" w:line="198" w:lineRule="exact"/>
      <w:ind w:left="709" w:hanging="709"/>
    </w:pPr>
    <w:rPr>
      <w:sz w:val="18"/>
    </w:rPr>
  </w:style>
  <w:style w:type="paragraph" w:customStyle="1" w:styleId="notepara">
    <w:name w:val="note(para)"/>
    <w:aliases w:val="na"/>
    <w:basedOn w:val="OPCParaBase"/>
    <w:rsid w:val="00FE42FF"/>
    <w:pPr>
      <w:spacing w:before="40" w:line="198" w:lineRule="exact"/>
      <w:ind w:left="2354" w:hanging="369"/>
    </w:pPr>
    <w:rPr>
      <w:sz w:val="18"/>
    </w:rPr>
  </w:style>
  <w:style w:type="paragraph" w:customStyle="1" w:styleId="noteParlAmend">
    <w:name w:val="note(ParlAmend)"/>
    <w:aliases w:val="npp"/>
    <w:basedOn w:val="OPCParaBase"/>
    <w:next w:val="ParlAmend"/>
    <w:rsid w:val="00FE42FF"/>
    <w:pPr>
      <w:spacing w:line="240" w:lineRule="auto"/>
      <w:jc w:val="right"/>
    </w:pPr>
    <w:rPr>
      <w:rFonts w:ascii="Arial" w:hAnsi="Arial"/>
      <w:b/>
      <w:i/>
    </w:rPr>
  </w:style>
  <w:style w:type="paragraph" w:customStyle="1" w:styleId="Page1">
    <w:name w:val="Page1"/>
    <w:basedOn w:val="OPCParaBase"/>
    <w:rsid w:val="00FE42FF"/>
    <w:pPr>
      <w:spacing w:before="5600" w:line="240" w:lineRule="auto"/>
    </w:pPr>
    <w:rPr>
      <w:b/>
      <w:sz w:val="32"/>
    </w:rPr>
  </w:style>
  <w:style w:type="paragraph" w:customStyle="1" w:styleId="ParlAmend">
    <w:name w:val="ParlAmend"/>
    <w:aliases w:val="pp"/>
    <w:basedOn w:val="OPCParaBase"/>
    <w:rsid w:val="00FE42FF"/>
    <w:pPr>
      <w:spacing w:before="240" w:line="240" w:lineRule="atLeast"/>
      <w:ind w:hanging="567"/>
    </w:pPr>
    <w:rPr>
      <w:sz w:val="24"/>
    </w:rPr>
  </w:style>
  <w:style w:type="paragraph" w:customStyle="1" w:styleId="Portfolio">
    <w:name w:val="Portfolio"/>
    <w:basedOn w:val="OPCParaBase"/>
    <w:rsid w:val="00FE42FF"/>
    <w:pPr>
      <w:spacing w:line="240" w:lineRule="auto"/>
    </w:pPr>
    <w:rPr>
      <w:i/>
      <w:sz w:val="20"/>
    </w:rPr>
  </w:style>
  <w:style w:type="paragraph" w:customStyle="1" w:styleId="Preamble">
    <w:name w:val="Preamble"/>
    <w:basedOn w:val="OPCParaBase"/>
    <w:next w:val="Normal"/>
    <w:rsid w:val="00FE42F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E42FF"/>
    <w:pPr>
      <w:spacing w:line="240" w:lineRule="auto"/>
    </w:pPr>
    <w:rPr>
      <w:i/>
      <w:sz w:val="20"/>
    </w:rPr>
  </w:style>
  <w:style w:type="paragraph" w:customStyle="1" w:styleId="Session">
    <w:name w:val="Session"/>
    <w:basedOn w:val="OPCParaBase"/>
    <w:rsid w:val="00FE42FF"/>
    <w:pPr>
      <w:spacing w:line="240" w:lineRule="auto"/>
    </w:pPr>
    <w:rPr>
      <w:sz w:val="28"/>
    </w:rPr>
  </w:style>
  <w:style w:type="paragraph" w:customStyle="1" w:styleId="Sponsor">
    <w:name w:val="Sponsor"/>
    <w:basedOn w:val="OPCParaBase"/>
    <w:rsid w:val="00FE42FF"/>
    <w:pPr>
      <w:spacing w:line="240" w:lineRule="auto"/>
    </w:pPr>
    <w:rPr>
      <w:i/>
    </w:rPr>
  </w:style>
  <w:style w:type="paragraph" w:customStyle="1" w:styleId="Subitem">
    <w:name w:val="Subitem"/>
    <w:aliases w:val="iss"/>
    <w:basedOn w:val="OPCParaBase"/>
    <w:rsid w:val="00FE42FF"/>
    <w:pPr>
      <w:spacing w:before="180" w:line="240" w:lineRule="auto"/>
      <w:ind w:left="709" w:hanging="709"/>
    </w:pPr>
  </w:style>
  <w:style w:type="paragraph" w:customStyle="1" w:styleId="SubitemHead">
    <w:name w:val="SubitemHead"/>
    <w:aliases w:val="issh"/>
    <w:basedOn w:val="OPCParaBase"/>
    <w:rsid w:val="00FE42FF"/>
    <w:pPr>
      <w:keepNext/>
      <w:keepLines/>
      <w:spacing w:before="220" w:line="240" w:lineRule="auto"/>
      <w:ind w:left="709"/>
    </w:pPr>
    <w:rPr>
      <w:rFonts w:ascii="Arial" w:hAnsi="Arial"/>
      <w:i/>
      <w:kern w:val="28"/>
    </w:rPr>
  </w:style>
  <w:style w:type="paragraph" w:customStyle="1" w:styleId="Tablea">
    <w:name w:val="Table(a)"/>
    <w:aliases w:val="ta"/>
    <w:basedOn w:val="OPCParaBase"/>
    <w:rsid w:val="00FE42FF"/>
    <w:pPr>
      <w:spacing w:before="60" w:line="240" w:lineRule="auto"/>
      <w:ind w:left="284" w:hanging="284"/>
    </w:pPr>
    <w:rPr>
      <w:sz w:val="20"/>
    </w:rPr>
  </w:style>
  <w:style w:type="paragraph" w:customStyle="1" w:styleId="TableAA">
    <w:name w:val="Table(AA)"/>
    <w:aliases w:val="taaa"/>
    <w:basedOn w:val="OPCParaBase"/>
    <w:rsid w:val="00FE42F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E42F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FE42FF"/>
    <w:pPr>
      <w:spacing w:before="60" w:line="240" w:lineRule="atLeast"/>
    </w:pPr>
    <w:rPr>
      <w:sz w:val="20"/>
    </w:rPr>
  </w:style>
  <w:style w:type="paragraph" w:customStyle="1" w:styleId="TLPBoxTextnote">
    <w:name w:val="TLPBoxText(note"/>
    <w:aliases w:val="right)"/>
    <w:basedOn w:val="OPCParaBase"/>
    <w:rsid w:val="00FE42F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FE42FF"/>
    <w:pPr>
      <w:spacing w:before="122" w:line="198" w:lineRule="exact"/>
      <w:ind w:left="1985" w:hanging="851"/>
      <w:jc w:val="right"/>
    </w:pPr>
    <w:rPr>
      <w:sz w:val="18"/>
    </w:rPr>
  </w:style>
  <w:style w:type="paragraph" w:customStyle="1" w:styleId="TLPTableBullet">
    <w:name w:val="TLPTableBullet"/>
    <w:aliases w:val="ttb"/>
    <w:basedOn w:val="OPCParaBase"/>
    <w:rsid w:val="00FE42FF"/>
    <w:pPr>
      <w:spacing w:line="240" w:lineRule="exact"/>
      <w:ind w:left="284" w:hanging="284"/>
    </w:pPr>
    <w:rPr>
      <w:sz w:val="20"/>
    </w:rPr>
  </w:style>
  <w:style w:type="paragraph" w:customStyle="1" w:styleId="TofSectsGroupHeading">
    <w:name w:val="TofSects(GroupHeading)"/>
    <w:basedOn w:val="OPCParaBase"/>
    <w:next w:val="TofSectsSection"/>
    <w:rsid w:val="00FE42FF"/>
    <w:pPr>
      <w:keepLines/>
      <w:spacing w:before="240" w:after="120" w:line="240" w:lineRule="auto"/>
      <w:ind w:left="794"/>
    </w:pPr>
    <w:rPr>
      <w:b/>
      <w:kern w:val="28"/>
      <w:sz w:val="20"/>
    </w:rPr>
  </w:style>
  <w:style w:type="paragraph" w:customStyle="1" w:styleId="TofSectsHeading">
    <w:name w:val="TofSects(Heading)"/>
    <w:basedOn w:val="OPCParaBase"/>
    <w:rsid w:val="00FE42FF"/>
    <w:pPr>
      <w:spacing w:before="240" w:after="120" w:line="240" w:lineRule="auto"/>
    </w:pPr>
    <w:rPr>
      <w:b/>
      <w:sz w:val="24"/>
    </w:rPr>
  </w:style>
  <w:style w:type="paragraph" w:customStyle="1" w:styleId="TofSectsSection">
    <w:name w:val="TofSects(Section)"/>
    <w:basedOn w:val="OPCParaBase"/>
    <w:rsid w:val="00FE42FF"/>
    <w:pPr>
      <w:keepLines/>
      <w:spacing w:before="40" w:line="240" w:lineRule="auto"/>
      <w:ind w:left="1588" w:hanging="794"/>
    </w:pPr>
    <w:rPr>
      <w:kern w:val="28"/>
      <w:sz w:val="18"/>
    </w:rPr>
  </w:style>
  <w:style w:type="paragraph" w:customStyle="1" w:styleId="TofSectsSubdiv">
    <w:name w:val="TofSects(Subdiv)"/>
    <w:basedOn w:val="OPCParaBase"/>
    <w:rsid w:val="00FE42FF"/>
    <w:pPr>
      <w:keepLines/>
      <w:spacing w:before="80" w:line="240" w:lineRule="auto"/>
      <w:ind w:left="1588" w:hanging="794"/>
    </w:pPr>
    <w:rPr>
      <w:kern w:val="28"/>
    </w:rPr>
  </w:style>
  <w:style w:type="paragraph" w:customStyle="1" w:styleId="WRStyle">
    <w:name w:val="WR Style"/>
    <w:aliases w:val="WR"/>
    <w:basedOn w:val="OPCParaBase"/>
    <w:rsid w:val="00FE42FF"/>
    <w:pPr>
      <w:spacing w:before="240" w:line="240" w:lineRule="auto"/>
      <w:ind w:left="284" w:hanging="284"/>
    </w:pPr>
    <w:rPr>
      <w:b/>
      <w:i/>
      <w:kern w:val="28"/>
      <w:sz w:val="24"/>
    </w:rPr>
  </w:style>
  <w:style w:type="character" w:customStyle="1" w:styleId="Heading1Char">
    <w:name w:val="Heading 1 Char"/>
    <w:basedOn w:val="DefaultParagraphFont"/>
    <w:link w:val="Heading1"/>
    <w:uiPriority w:val="9"/>
    <w:rsid w:val="00FE42FF"/>
    <w:rPr>
      <w:rFonts w:asciiTheme="majorHAnsi" w:eastAsiaTheme="majorEastAsia" w:hAnsiTheme="majorHAnsi" w:cstheme="majorBidi"/>
      <w:b/>
      <w:bCs/>
      <w:color w:val="365F91" w:themeColor="accent1" w:themeShade="BF"/>
      <w:sz w:val="28"/>
      <w:szCs w:val="28"/>
      <w:lang w:eastAsia="en-US"/>
    </w:rPr>
  </w:style>
  <w:style w:type="paragraph" w:customStyle="1" w:styleId="noteToPara">
    <w:name w:val="noteToPara"/>
    <w:aliases w:val="ntp"/>
    <w:basedOn w:val="OPCParaBase"/>
    <w:rsid w:val="00FE42FF"/>
    <w:pPr>
      <w:spacing w:before="122" w:line="198" w:lineRule="exact"/>
      <w:ind w:left="2353" w:hanging="709"/>
    </w:pPr>
    <w:rPr>
      <w:sz w:val="18"/>
    </w:rPr>
  </w:style>
  <w:style w:type="character" w:customStyle="1" w:styleId="FooterChar">
    <w:name w:val="Footer Char"/>
    <w:basedOn w:val="DefaultParagraphFont"/>
    <w:link w:val="Footer"/>
    <w:rsid w:val="00FE42FF"/>
    <w:rPr>
      <w:sz w:val="22"/>
      <w:szCs w:val="24"/>
    </w:rPr>
  </w:style>
  <w:style w:type="character" w:customStyle="1" w:styleId="BalloonTextChar">
    <w:name w:val="Balloon Text Char"/>
    <w:basedOn w:val="DefaultParagraphFont"/>
    <w:link w:val="BalloonText"/>
    <w:uiPriority w:val="99"/>
    <w:rsid w:val="00FE42F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E42FF"/>
    <w:pPr>
      <w:keepNext/>
      <w:spacing w:before="60" w:line="240" w:lineRule="atLeast"/>
    </w:pPr>
    <w:rPr>
      <w:b/>
      <w:sz w:val="20"/>
    </w:rPr>
  </w:style>
  <w:style w:type="table" w:customStyle="1" w:styleId="CFlag">
    <w:name w:val="CFlag"/>
    <w:basedOn w:val="TableNormal"/>
    <w:uiPriority w:val="99"/>
    <w:rsid w:val="00FE42FF"/>
    <w:tblPr/>
  </w:style>
  <w:style w:type="paragraph" w:customStyle="1" w:styleId="ENotesText">
    <w:name w:val="ENotesText"/>
    <w:aliases w:val="Ent"/>
    <w:basedOn w:val="OPCParaBase"/>
    <w:next w:val="Normal"/>
    <w:rsid w:val="00FE42FF"/>
    <w:pPr>
      <w:spacing w:before="120"/>
    </w:pPr>
  </w:style>
  <w:style w:type="paragraph" w:customStyle="1" w:styleId="CompiledActNo">
    <w:name w:val="CompiledActNo"/>
    <w:basedOn w:val="OPCParaBase"/>
    <w:next w:val="Normal"/>
    <w:rsid w:val="00FE42FF"/>
    <w:rPr>
      <w:b/>
      <w:sz w:val="24"/>
      <w:szCs w:val="24"/>
    </w:rPr>
  </w:style>
  <w:style w:type="paragraph" w:customStyle="1" w:styleId="CompiledMadeUnder">
    <w:name w:val="CompiledMadeUnder"/>
    <w:basedOn w:val="OPCParaBase"/>
    <w:next w:val="Normal"/>
    <w:rsid w:val="00FE42FF"/>
    <w:rPr>
      <w:i/>
      <w:sz w:val="24"/>
      <w:szCs w:val="24"/>
    </w:rPr>
  </w:style>
  <w:style w:type="paragraph" w:customStyle="1" w:styleId="Paragraphsub-sub-sub">
    <w:name w:val="Paragraph(sub-sub-sub)"/>
    <w:aliases w:val="aaaa"/>
    <w:basedOn w:val="OPCParaBase"/>
    <w:rsid w:val="00FE42F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E42F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E42F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E42F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E42F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E42FF"/>
    <w:pPr>
      <w:spacing w:before="60" w:line="240" w:lineRule="auto"/>
    </w:pPr>
    <w:rPr>
      <w:rFonts w:cs="Arial"/>
      <w:sz w:val="20"/>
      <w:szCs w:val="22"/>
    </w:rPr>
  </w:style>
  <w:style w:type="paragraph" w:customStyle="1" w:styleId="NoteToSubpara">
    <w:name w:val="NoteToSubpara"/>
    <w:aliases w:val="nts"/>
    <w:basedOn w:val="OPCParaBase"/>
    <w:rsid w:val="00FE42FF"/>
    <w:pPr>
      <w:spacing w:before="40" w:line="198" w:lineRule="exact"/>
      <w:ind w:left="2835" w:hanging="709"/>
    </w:pPr>
    <w:rPr>
      <w:sz w:val="18"/>
    </w:rPr>
  </w:style>
  <w:style w:type="paragraph" w:customStyle="1" w:styleId="ENoteTableHeading">
    <w:name w:val="ENoteTableHeading"/>
    <w:aliases w:val="enth"/>
    <w:basedOn w:val="OPCParaBase"/>
    <w:rsid w:val="00FE42FF"/>
    <w:pPr>
      <w:keepNext/>
      <w:spacing w:before="60" w:line="240" w:lineRule="atLeast"/>
    </w:pPr>
    <w:rPr>
      <w:rFonts w:ascii="Arial" w:hAnsi="Arial"/>
      <w:b/>
      <w:sz w:val="16"/>
    </w:rPr>
  </w:style>
  <w:style w:type="paragraph" w:customStyle="1" w:styleId="ENoteTableText">
    <w:name w:val="ENoteTableText"/>
    <w:aliases w:val="entt"/>
    <w:basedOn w:val="OPCParaBase"/>
    <w:rsid w:val="00FE42FF"/>
    <w:pPr>
      <w:spacing w:before="60" w:line="240" w:lineRule="atLeast"/>
    </w:pPr>
    <w:rPr>
      <w:sz w:val="16"/>
    </w:rPr>
  </w:style>
  <w:style w:type="paragraph" w:customStyle="1" w:styleId="ENoteTTi">
    <w:name w:val="ENoteTTi"/>
    <w:aliases w:val="entti"/>
    <w:basedOn w:val="OPCParaBase"/>
    <w:rsid w:val="00FE42FF"/>
    <w:pPr>
      <w:keepNext/>
      <w:spacing w:before="60" w:line="240" w:lineRule="atLeast"/>
      <w:ind w:left="170"/>
    </w:pPr>
    <w:rPr>
      <w:sz w:val="16"/>
    </w:rPr>
  </w:style>
  <w:style w:type="paragraph" w:customStyle="1" w:styleId="ENoteTTIndentHeading">
    <w:name w:val="ENoteTTIndentHeading"/>
    <w:aliases w:val="enTTHi"/>
    <w:basedOn w:val="OPCParaBase"/>
    <w:rsid w:val="00FE42FF"/>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FE42FF"/>
    <w:pPr>
      <w:spacing w:before="120"/>
      <w:outlineLvl w:val="1"/>
    </w:pPr>
    <w:rPr>
      <w:b/>
      <w:sz w:val="28"/>
      <w:szCs w:val="28"/>
    </w:rPr>
  </w:style>
  <w:style w:type="paragraph" w:customStyle="1" w:styleId="ENotesHeading2">
    <w:name w:val="ENotesHeading 2"/>
    <w:aliases w:val="Enh2"/>
    <w:basedOn w:val="OPCParaBase"/>
    <w:next w:val="Normal"/>
    <w:rsid w:val="00FE42FF"/>
    <w:pPr>
      <w:spacing w:before="120" w:after="120"/>
      <w:outlineLvl w:val="2"/>
    </w:pPr>
    <w:rPr>
      <w:b/>
      <w:sz w:val="24"/>
      <w:szCs w:val="28"/>
    </w:rPr>
  </w:style>
  <w:style w:type="paragraph" w:customStyle="1" w:styleId="ENotesHeading3">
    <w:name w:val="ENotesHeading 3"/>
    <w:aliases w:val="Enh3"/>
    <w:basedOn w:val="OPCParaBase"/>
    <w:next w:val="Normal"/>
    <w:rsid w:val="00FE42FF"/>
    <w:pPr>
      <w:keepNext/>
      <w:spacing w:before="120" w:line="240" w:lineRule="auto"/>
      <w:outlineLvl w:val="4"/>
    </w:pPr>
    <w:rPr>
      <w:b/>
      <w:szCs w:val="24"/>
    </w:rPr>
  </w:style>
  <w:style w:type="paragraph" w:customStyle="1" w:styleId="InstNo">
    <w:name w:val="InstNo"/>
    <w:basedOn w:val="OPCParaBase"/>
    <w:next w:val="Normal"/>
    <w:rsid w:val="00FE42FF"/>
    <w:rPr>
      <w:b/>
      <w:sz w:val="28"/>
      <w:szCs w:val="32"/>
    </w:rPr>
  </w:style>
  <w:style w:type="paragraph" w:customStyle="1" w:styleId="TerritoryT">
    <w:name w:val="TerritoryT"/>
    <w:basedOn w:val="OPCParaBase"/>
    <w:next w:val="Normal"/>
    <w:rsid w:val="00FE42FF"/>
    <w:rPr>
      <w:b/>
      <w:sz w:val="32"/>
    </w:rPr>
  </w:style>
  <w:style w:type="paragraph" w:customStyle="1" w:styleId="LegislationMadeUnder">
    <w:name w:val="LegislationMadeUnder"/>
    <w:basedOn w:val="OPCParaBase"/>
    <w:next w:val="Normal"/>
    <w:rsid w:val="00FE42FF"/>
    <w:rPr>
      <w:i/>
      <w:sz w:val="32"/>
      <w:szCs w:val="32"/>
    </w:rPr>
  </w:style>
  <w:style w:type="paragraph" w:customStyle="1" w:styleId="ActHead10">
    <w:name w:val="ActHead 10"/>
    <w:aliases w:val="sp"/>
    <w:basedOn w:val="OPCParaBase"/>
    <w:next w:val="ActHead3"/>
    <w:rsid w:val="00FE42FF"/>
    <w:pPr>
      <w:keepNext/>
      <w:spacing w:before="280" w:line="240" w:lineRule="auto"/>
      <w:outlineLvl w:val="1"/>
    </w:pPr>
    <w:rPr>
      <w:b/>
      <w:sz w:val="32"/>
      <w:szCs w:val="30"/>
    </w:rPr>
  </w:style>
  <w:style w:type="paragraph" w:customStyle="1" w:styleId="SignCoverPageEnd">
    <w:name w:val="SignCoverPageEnd"/>
    <w:basedOn w:val="OPCParaBase"/>
    <w:next w:val="Normal"/>
    <w:rsid w:val="00FE42F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E42FF"/>
    <w:pPr>
      <w:pBdr>
        <w:top w:val="single" w:sz="4" w:space="1" w:color="auto"/>
      </w:pBdr>
      <w:spacing w:before="360"/>
      <w:ind w:right="397"/>
      <w:jc w:val="both"/>
    </w:pPr>
  </w:style>
  <w:style w:type="paragraph" w:customStyle="1" w:styleId="NotesHeading2">
    <w:name w:val="NotesHeading 2"/>
    <w:basedOn w:val="OPCParaBase"/>
    <w:next w:val="Normal"/>
    <w:rsid w:val="00FE42FF"/>
    <w:rPr>
      <w:b/>
      <w:sz w:val="28"/>
      <w:szCs w:val="28"/>
    </w:rPr>
  </w:style>
  <w:style w:type="paragraph" w:customStyle="1" w:styleId="NotesHeading1">
    <w:name w:val="NotesHeading 1"/>
    <w:basedOn w:val="OPCParaBase"/>
    <w:next w:val="Normal"/>
    <w:rsid w:val="00FE42FF"/>
    <w:rPr>
      <w:b/>
      <w:sz w:val="28"/>
      <w:szCs w:val="28"/>
    </w:rPr>
  </w:style>
  <w:style w:type="paragraph" w:customStyle="1" w:styleId="ActHead1">
    <w:name w:val="ActHead 1"/>
    <w:aliases w:val="c"/>
    <w:basedOn w:val="OPCParaBase"/>
    <w:next w:val="Normal"/>
    <w:qFormat/>
    <w:rsid w:val="00FE42F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FE42F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FE42F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E42F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E42F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E42F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E42F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E42F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E42FF"/>
    <w:pPr>
      <w:keepNext/>
      <w:keepLines/>
      <w:spacing w:before="280" w:line="240" w:lineRule="auto"/>
      <w:ind w:left="1134" w:hanging="1134"/>
      <w:outlineLvl w:val="8"/>
    </w:pPr>
    <w:rPr>
      <w:b/>
      <w:i/>
      <w:kern w:val="28"/>
      <w:sz w:val="28"/>
    </w:rPr>
  </w:style>
  <w:style w:type="character" w:customStyle="1" w:styleId="OPCParaBaseChar">
    <w:name w:val="OPCParaBase Char"/>
    <w:basedOn w:val="DefaultParagraphFont"/>
    <w:link w:val="OPCParaBase"/>
    <w:rsid w:val="00EA46A9"/>
    <w:rPr>
      <w:sz w:val="22"/>
    </w:rPr>
  </w:style>
  <w:style w:type="character" w:customStyle="1" w:styleId="ActHead2Char">
    <w:name w:val="ActHead 2 Char"/>
    <w:aliases w:val="p Char"/>
    <w:basedOn w:val="OPCParaBaseChar"/>
    <w:link w:val="ActHead2"/>
    <w:rsid w:val="00EA46A9"/>
    <w:rPr>
      <w:b/>
      <w:kern w:val="28"/>
      <w:sz w:val="32"/>
    </w:rPr>
  </w:style>
  <w:style w:type="character" w:customStyle="1" w:styleId="ActHead5Char">
    <w:name w:val="ActHead 5 Char"/>
    <w:aliases w:val="s Char"/>
    <w:link w:val="ActHead5"/>
    <w:rsid w:val="00FE42FF"/>
    <w:rPr>
      <w:b/>
      <w:kern w:val="28"/>
      <w:sz w:val="24"/>
    </w:rPr>
  </w:style>
  <w:style w:type="paragraph" w:customStyle="1" w:styleId="MadeunderText">
    <w:name w:val="MadeunderText"/>
    <w:basedOn w:val="OPCParaBase"/>
    <w:next w:val="Normal"/>
    <w:rsid w:val="00FE42FF"/>
    <w:pPr>
      <w:spacing w:before="240"/>
    </w:pPr>
    <w:rPr>
      <w:sz w:val="24"/>
      <w:szCs w:val="24"/>
    </w:rPr>
  </w:style>
  <w:style w:type="paragraph" w:styleId="Revision">
    <w:name w:val="Revision"/>
    <w:hidden/>
    <w:uiPriority w:val="99"/>
    <w:semiHidden/>
    <w:rsid w:val="00705200"/>
    <w:rPr>
      <w:rFonts w:eastAsiaTheme="minorHAnsi" w:cstheme="minorBidi"/>
      <w:sz w:val="22"/>
      <w:lang w:eastAsia="en-US"/>
    </w:rPr>
  </w:style>
  <w:style w:type="paragraph" w:customStyle="1" w:styleId="SubPartCASA">
    <w:name w:val="SubPart(CASA)"/>
    <w:aliases w:val="csp"/>
    <w:basedOn w:val="OPCParaBase"/>
    <w:next w:val="ActHead3"/>
    <w:rsid w:val="00FE42F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E42FF"/>
  </w:style>
  <w:style w:type="character" w:customStyle="1" w:styleId="CharSubPartNoCASA">
    <w:name w:val="CharSubPartNo(CASA)"/>
    <w:basedOn w:val="OPCCharBase"/>
    <w:uiPriority w:val="1"/>
    <w:rsid w:val="00FE42FF"/>
  </w:style>
  <w:style w:type="paragraph" w:customStyle="1" w:styleId="ENoteTTIndentHeadingSub">
    <w:name w:val="ENoteTTIndentHeadingSub"/>
    <w:aliases w:val="enTTHis"/>
    <w:basedOn w:val="OPCParaBase"/>
    <w:rsid w:val="00FE42FF"/>
    <w:pPr>
      <w:keepNext/>
      <w:spacing w:before="60" w:line="240" w:lineRule="atLeast"/>
      <w:ind w:left="340"/>
    </w:pPr>
    <w:rPr>
      <w:b/>
      <w:sz w:val="16"/>
    </w:rPr>
  </w:style>
  <w:style w:type="paragraph" w:customStyle="1" w:styleId="ENoteTTiSub">
    <w:name w:val="ENoteTTiSub"/>
    <w:aliases w:val="enttis"/>
    <w:basedOn w:val="OPCParaBase"/>
    <w:rsid w:val="00FE42FF"/>
    <w:pPr>
      <w:keepNext/>
      <w:spacing w:before="60" w:line="240" w:lineRule="atLeast"/>
      <w:ind w:left="340"/>
    </w:pPr>
    <w:rPr>
      <w:sz w:val="16"/>
    </w:rPr>
  </w:style>
  <w:style w:type="paragraph" w:customStyle="1" w:styleId="SubDivisionMigration">
    <w:name w:val="SubDivisionMigration"/>
    <w:aliases w:val="sdm"/>
    <w:basedOn w:val="OPCParaBase"/>
    <w:rsid w:val="00FE42F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E42FF"/>
    <w:pPr>
      <w:keepNext/>
      <w:keepLines/>
      <w:spacing w:before="240" w:line="240" w:lineRule="auto"/>
      <w:ind w:left="1134" w:hanging="1134"/>
    </w:pPr>
    <w:rPr>
      <w:b/>
      <w:sz w:val="28"/>
    </w:rPr>
  </w:style>
  <w:style w:type="paragraph" w:customStyle="1" w:styleId="FreeForm">
    <w:name w:val="FreeForm"/>
    <w:rsid w:val="00FE42FF"/>
    <w:rPr>
      <w:rFonts w:ascii="Arial" w:eastAsiaTheme="minorHAnsi" w:hAnsi="Arial" w:cstheme="minorBidi"/>
      <w:sz w:val="22"/>
      <w:lang w:eastAsia="en-US"/>
    </w:rPr>
  </w:style>
  <w:style w:type="paragraph" w:customStyle="1" w:styleId="SOText">
    <w:name w:val="SO Text"/>
    <w:aliases w:val="sot"/>
    <w:link w:val="SOTextChar"/>
    <w:rsid w:val="00FE42F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E42FF"/>
    <w:rPr>
      <w:rFonts w:eastAsiaTheme="minorHAnsi" w:cstheme="minorBidi"/>
      <w:sz w:val="22"/>
      <w:lang w:eastAsia="en-US"/>
    </w:rPr>
  </w:style>
  <w:style w:type="paragraph" w:customStyle="1" w:styleId="SOTextNote">
    <w:name w:val="SO TextNote"/>
    <w:aliases w:val="sont"/>
    <w:basedOn w:val="SOText"/>
    <w:qFormat/>
    <w:rsid w:val="00FE42FF"/>
    <w:pPr>
      <w:spacing w:before="122" w:line="198" w:lineRule="exact"/>
      <w:ind w:left="1843" w:hanging="709"/>
    </w:pPr>
    <w:rPr>
      <w:sz w:val="18"/>
    </w:rPr>
  </w:style>
  <w:style w:type="paragraph" w:customStyle="1" w:styleId="SOPara">
    <w:name w:val="SO Para"/>
    <w:aliases w:val="soa"/>
    <w:basedOn w:val="SOText"/>
    <w:link w:val="SOParaChar"/>
    <w:qFormat/>
    <w:rsid w:val="00FE42FF"/>
    <w:pPr>
      <w:tabs>
        <w:tab w:val="right" w:pos="1786"/>
      </w:tabs>
      <w:spacing w:before="40"/>
      <w:ind w:left="2070" w:hanging="936"/>
    </w:pPr>
  </w:style>
  <w:style w:type="character" w:customStyle="1" w:styleId="SOParaChar">
    <w:name w:val="SO Para Char"/>
    <w:aliases w:val="soa Char"/>
    <w:basedOn w:val="DefaultParagraphFont"/>
    <w:link w:val="SOPara"/>
    <w:rsid w:val="00FE42FF"/>
    <w:rPr>
      <w:rFonts w:eastAsiaTheme="minorHAnsi" w:cstheme="minorBidi"/>
      <w:sz w:val="22"/>
      <w:lang w:eastAsia="en-US"/>
    </w:rPr>
  </w:style>
  <w:style w:type="paragraph" w:customStyle="1" w:styleId="FileName">
    <w:name w:val="FileName"/>
    <w:basedOn w:val="Normal"/>
    <w:rsid w:val="00FE42FF"/>
  </w:style>
  <w:style w:type="paragraph" w:customStyle="1" w:styleId="SOHeadBold">
    <w:name w:val="SO HeadBold"/>
    <w:aliases w:val="sohb"/>
    <w:basedOn w:val="SOText"/>
    <w:next w:val="SOText"/>
    <w:link w:val="SOHeadBoldChar"/>
    <w:qFormat/>
    <w:rsid w:val="00FE42FF"/>
    <w:rPr>
      <w:b/>
    </w:rPr>
  </w:style>
  <w:style w:type="character" w:customStyle="1" w:styleId="SOHeadBoldChar">
    <w:name w:val="SO HeadBold Char"/>
    <w:aliases w:val="sohb Char"/>
    <w:basedOn w:val="DefaultParagraphFont"/>
    <w:link w:val="SOHeadBold"/>
    <w:rsid w:val="00FE42F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E42FF"/>
    <w:rPr>
      <w:i/>
    </w:rPr>
  </w:style>
  <w:style w:type="character" w:customStyle="1" w:styleId="SOHeadItalicChar">
    <w:name w:val="SO HeadItalic Char"/>
    <w:aliases w:val="sohi Char"/>
    <w:basedOn w:val="DefaultParagraphFont"/>
    <w:link w:val="SOHeadItalic"/>
    <w:rsid w:val="00FE42FF"/>
    <w:rPr>
      <w:rFonts w:eastAsiaTheme="minorHAnsi" w:cstheme="minorBidi"/>
      <w:i/>
      <w:sz w:val="22"/>
      <w:lang w:eastAsia="en-US"/>
    </w:rPr>
  </w:style>
  <w:style w:type="paragraph" w:customStyle="1" w:styleId="SOBullet">
    <w:name w:val="SO Bullet"/>
    <w:aliases w:val="sotb"/>
    <w:basedOn w:val="SOText"/>
    <w:link w:val="SOBulletChar"/>
    <w:qFormat/>
    <w:rsid w:val="00FE42FF"/>
    <w:pPr>
      <w:ind w:left="1559" w:hanging="425"/>
    </w:pPr>
  </w:style>
  <w:style w:type="character" w:customStyle="1" w:styleId="SOBulletChar">
    <w:name w:val="SO Bullet Char"/>
    <w:aliases w:val="sotb Char"/>
    <w:basedOn w:val="DefaultParagraphFont"/>
    <w:link w:val="SOBullet"/>
    <w:rsid w:val="00FE42FF"/>
    <w:rPr>
      <w:rFonts w:eastAsiaTheme="minorHAnsi" w:cstheme="minorBidi"/>
      <w:sz w:val="22"/>
      <w:lang w:eastAsia="en-US"/>
    </w:rPr>
  </w:style>
  <w:style w:type="paragraph" w:customStyle="1" w:styleId="SOBulletNote">
    <w:name w:val="SO BulletNote"/>
    <w:aliases w:val="sonb"/>
    <w:basedOn w:val="SOTextNote"/>
    <w:link w:val="SOBulletNoteChar"/>
    <w:qFormat/>
    <w:rsid w:val="00FE42FF"/>
    <w:pPr>
      <w:tabs>
        <w:tab w:val="left" w:pos="1560"/>
      </w:tabs>
      <w:ind w:left="2268" w:hanging="1134"/>
    </w:pPr>
  </w:style>
  <w:style w:type="character" w:customStyle="1" w:styleId="SOBulletNoteChar">
    <w:name w:val="SO BulletNote Char"/>
    <w:aliases w:val="sonb Char"/>
    <w:basedOn w:val="DefaultParagraphFont"/>
    <w:link w:val="SOBulletNote"/>
    <w:rsid w:val="00FE42FF"/>
    <w:rPr>
      <w:rFonts w:eastAsiaTheme="minorHAnsi" w:cstheme="minorBidi"/>
      <w:sz w:val="18"/>
      <w:lang w:eastAsia="en-US"/>
    </w:rPr>
  </w:style>
  <w:style w:type="paragraph" w:customStyle="1" w:styleId="Specials">
    <w:name w:val="Special s"/>
    <w:basedOn w:val="ActHead5"/>
    <w:link w:val="SpecialsChar"/>
    <w:rsid w:val="00F32DDD"/>
    <w:pPr>
      <w:outlineLvl w:val="9"/>
    </w:pPr>
  </w:style>
  <w:style w:type="character" w:customStyle="1" w:styleId="SpecialsChar">
    <w:name w:val="Special s Char"/>
    <w:basedOn w:val="ActHead5Char"/>
    <w:link w:val="Specials"/>
    <w:rsid w:val="00F32DDD"/>
    <w:rPr>
      <w:b/>
      <w:kern w:val="28"/>
      <w:sz w:val="24"/>
    </w:rPr>
  </w:style>
  <w:style w:type="paragraph" w:customStyle="1" w:styleId="Specialaat">
    <w:name w:val="Special aat"/>
    <w:basedOn w:val="ActHead9"/>
    <w:link w:val="SpecialaatChar"/>
    <w:rsid w:val="00AD79BF"/>
    <w:pPr>
      <w:outlineLvl w:val="9"/>
    </w:pPr>
  </w:style>
  <w:style w:type="character" w:customStyle="1" w:styleId="SpecialaatChar">
    <w:name w:val="Special aat Char"/>
    <w:basedOn w:val="DefaultParagraphFont"/>
    <w:link w:val="Specialaat"/>
    <w:rsid w:val="00AD79BF"/>
    <w:rPr>
      <w:b/>
      <w:i/>
      <w:kern w:val="28"/>
      <w:sz w:val="28"/>
    </w:rPr>
  </w:style>
  <w:style w:type="character" w:customStyle="1" w:styleId="ItemHeadChar">
    <w:name w:val="ItemHead Char"/>
    <w:aliases w:val="ih Char"/>
    <w:basedOn w:val="OPCParaBaseChar"/>
    <w:link w:val="ItemHead"/>
    <w:rsid w:val="00024D1F"/>
    <w:rPr>
      <w:rFonts w:ascii="Arial" w:hAnsi="Arial"/>
      <w:b/>
      <w:kern w:val="28"/>
      <w:sz w:val="24"/>
    </w:rPr>
  </w:style>
  <w:style w:type="character" w:customStyle="1" w:styleId="ItemChar">
    <w:name w:val="Item Char"/>
    <w:aliases w:val="i Char"/>
    <w:basedOn w:val="DefaultParagraphFont"/>
    <w:link w:val="Item"/>
    <w:rsid w:val="00024D1F"/>
    <w:rPr>
      <w:sz w:val="22"/>
    </w:rPr>
  </w:style>
  <w:style w:type="character" w:customStyle="1" w:styleId="Heading2Char">
    <w:name w:val="Heading 2 Char"/>
    <w:basedOn w:val="DefaultParagraphFont"/>
    <w:link w:val="Heading2"/>
    <w:uiPriority w:val="9"/>
    <w:rsid w:val="00FE42F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E42FF"/>
    <w:rPr>
      <w:rFonts w:asciiTheme="majorHAnsi" w:eastAsiaTheme="majorEastAsia" w:hAnsiTheme="majorHAnsi" w:cstheme="majorBidi"/>
      <w:b/>
      <w:bCs/>
      <w:color w:val="4F81BD" w:themeColor="accent1"/>
      <w:sz w:val="22"/>
      <w:lang w:eastAsia="en-US"/>
    </w:rPr>
  </w:style>
  <w:style w:type="paragraph" w:customStyle="1" w:styleId="Speciald">
    <w:name w:val="Special d"/>
    <w:basedOn w:val="ActHead3"/>
    <w:link w:val="SpecialdChar"/>
    <w:rsid w:val="0022433C"/>
    <w:pPr>
      <w:outlineLvl w:val="9"/>
    </w:pPr>
  </w:style>
  <w:style w:type="character" w:customStyle="1" w:styleId="ActHead3Char">
    <w:name w:val="ActHead 3 Char"/>
    <w:aliases w:val="d Char"/>
    <w:basedOn w:val="OPCParaBaseChar"/>
    <w:link w:val="ActHead3"/>
    <w:rsid w:val="0022433C"/>
    <w:rPr>
      <w:b/>
      <w:kern w:val="28"/>
      <w:sz w:val="28"/>
    </w:rPr>
  </w:style>
  <w:style w:type="character" w:customStyle="1" w:styleId="SpecialdChar">
    <w:name w:val="Special d Char"/>
    <w:basedOn w:val="ActHead3Char"/>
    <w:link w:val="Speciald"/>
    <w:rsid w:val="0022433C"/>
    <w:rPr>
      <w:b/>
      <w:kern w:val="28"/>
      <w:sz w:val="28"/>
    </w:rPr>
  </w:style>
  <w:style w:type="paragraph" w:customStyle="1" w:styleId="EnStatement">
    <w:name w:val="EnStatement"/>
    <w:basedOn w:val="Normal"/>
    <w:rsid w:val="00FE42FF"/>
    <w:pPr>
      <w:numPr>
        <w:numId w:val="24"/>
      </w:numPr>
    </w:pPr>
    <w:rPr>
      <w:rFonts w:eastAsia="Times New Roman" w:cs="Times New Roman"/>
      <w:lang w:eastAsia="en-AU"/>
    </w:rPr>
  </w:style>
  <w:style w:type="paragraph" w:customStyle="1" w:styleId="EnStatementHeading">
    <w:name w:val="EnStatementHeading"/>
    <w:basedOn w:val="Normal"/>
    <w:rsid w:val="00FE42FF"/>
    <w:rPr>
      <w:rFonts w:eastAsia="Times New Roman" w:cs="Times New Roman"/>
      <w:b/>
      <w:lang w:eastAsia="en-AU"/>
    </w:rPr>
  </w:style>
  <w:style w:type="paragraph" w:customStyle="1" w:styleId="Transitional">
    <w:name w:val="Transitional"/>
    <w:aliases w:val="tr"/>
    <w:basedOn w:val="ItemHead"/>
    <w:next w:val="Item"/>
    <w:rsid w:val="00FE42FF"/>
  </w:style>
  <w:style w:type="character" w:customStyle="1" w:styleId="TabletextChar">
    <w:name w:val="Tabletext Char"/>
    <w:aliases w:val="tt Char"/>
    <w:basedOn w:val="DefaultParagraphFont"/>
    <w:link w:val="Tabletext"/>
    <w:rsid w:val="00875880"/>
  </w:style>
  <w:style w:type="character" w:customStyle="1" w:styleId="notetextChar">
    <w:name w:val="note(text) Char"/>
    <w:aliases w:val="n Char"/>
    <w:basedOn w:val="DefaultParagraphFont"/>
    <w:link w:val="notetext"/>
    <w:rsid w:val="00FE42FF"/>
    <w:rPr>
      <w:sz w:val="18"/>
    </w:rPr>
  </w:style>
  <w:style w:type="character" w:customStyle="1" w:styleId="DefinitionChar">
    <w:name w:val="Definition Char"/>
    <w:aliases w:val="dd Char"/>
    <w:link w:val="Definition"/>
    <w:rsid w:val="006C30E7"/>
    <w:rPr>
      <w:sz w:val="22"/>
    </w:rPr>
  </w:style>
  <w:style w:type="character" w:customStyle="1" w:styleId="subsection2Char">
    <w:name w:val="subsection2 Char"/>
    <w:aliases w:val="ss2 Char"/>
    <w:basedOn w:val="DefaultParagraphFont"/>
    <w:link w:val="subsection2"/>
    <w:locked/>
    <w:rsid w:val="007D5872"/>
    <w:rPr>
      <w:sz w:val="22"/>
    </w:rPr>
  </w:style>
  <w:style w:type="paragraph" w:customStyle="1" w:styleId="Specialih">
    <w:name w:val="Special ih"/>
    <w:basedOn w:val="ItemHead"/>
    <w:link w:val="SpecialihChar"/>
    <w:rsid w:val="007D5872"/>
  </w:style>
  <w:style w:type="character" w:customStyle="1" w:styleId="SpecialihChar">
    <w:name w:val="Special ih Char"/>
    <w:basedOn w:val="ItemHeadChar"/>
    <w:link w:val="Specialih"/>
    <w:rsid w:val="007D5872"/>
    <w:rPr>
      <w:rFonts w:ascii="Arial" w:hAnsi="Arial"/>
      <w:b/>
      <w:kern w:val="28"/>
      <w:sz w:val="24"/>
    </w:rPr>
  </w:style>
  <w:style w:type="character" w:customStyle="1" w:styleId="Heading4Char">
    <w:name w:val="Heading 4 Char"/>
    <w:basedOn w:val="DefaultParagraphFont"/>
    <w:link w:val="Heading4"/>
    <w:uiPriority w:val="9"/>
    <w:rsid w:val="00FE42FF"/>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FE42FF"/>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FE42FF"/>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FE42FF"/>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FE42F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FE42FF"/>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FE42FF"/>
  </w:style>
  <w:style w:type="character" w:customStyle="1" w:styleId="BodyTextChar">
    <w:name w:val="Body Text Char"/>
    <w:basedOn w:val="DefaultParagraphFont"/>
    <w:link w:val="BodyText"/>
    <w:rsid w:val="00FE42FF"/>
    <w:rPr>
      <w:rFonts w:eastAsiaTheme="minorHAnsi" w:cstheme="minorBidi"/>
      <w:sz w:val="22"/>
      <w:lang w:eastAsia="en-US"/>
    </w:rPr>
  </w:style>
  <w:style w:type="character" w:customStyle="1" w:styleId="BodyText2Char">
    <w:name w:val="Body Text 2 Char"/>
    <w:basedOn w:val="DefaultParagraphFont"/>
    <w:link w:val="BodyText2"/>
    <w:rsid w:val="00FE42FF"/>
    <w:rPr>
      <w:rFonts w:eastAsiaTheme="minorHAnsi" w:cstheme="minorBidi"/>
      <w:sz w:val="22"/>
      <w:lang w:eastAsia="en-US"/>
    </w:rPr>
  </w:style>
  <w:style w:type="character" w:customStyle="1" w:styleId="BodyText3Char">
    <w:name w:val="Body Text 3 Char"/>
    <w:basedOn w:val="DefaultParagraphFont"/>
    <w:link w:val="BodyText3"/>
    <w:rsid w:val="00FE42FF"/>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FE42FF"/>
    <w:rPr>
      <w:rFonts w:eastAsiaTheme="minorHAnsi" w:cstheme="minorBidi"/>
      <w:sz w:val="22"/>
      <w:lang w:eastAsia="en-US"/>
    </w:rPr>
  </w:style>
  <w:style w:type="character" w:customStyle="1" w:styleId="BodyTextIndentChar">
    <w:name w:val="Body Text Indent Char"/>
    <w:basedOn w:val="DefaultParagraphFont"/>
    <w:link w:val="BodyTextIndent"/>
    <w:rsid w:val="00FE42FF"/>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FE42FF"/>
    <w:rPr>
      <w:rFonts w:eastAsiaTheme="minorHAnsi" w:cstheme="minorBidi"/>
      <w:sz w:val="22"/>
      <w:lang w:eastAsia="en-US"/>
    </w:rPr>
  </w:style>
  <w:style w:type="character" w:customStyle="1" w:styleId="BodyTextIndent2Char">
    <w:name w:val="Body Text Indent 2 Char"/>
    <w:basedOn w:val="DefaultParagraphFont"/>
    <w:link w:val="BodyTextIndent2"/>
    <w:rsid w:val="00FE42FF"/>
    <w:rPr>
      <w:rFonts w:eastAsiaTheme="minorHAnsi" w:cstheme="minorBidi"/>
      <w:sz w:val="22"/>
      <w:lang w:eastAsia="en-US"/>
    </w:rPr>
  </w:style>
  <w:style w:type="character" w:customStyle="1" w:styleId="BodyTextIndent3Char">
    <w:name w:val="Body Text Indent 3 Char"/>
    <w:basedOn w:val="DefaultParagraphFont"/>
    <w:link w:val="BodyTextIndent3"/>
    <w:rsid w:val="00FE42FF"/>
    <w:rPr>
      <w:rFonts w:eastAsiaTheme="minorHAnsi" w:cstheme="minorBidi"/>
      <w:sz w:val="16"/>
      <w:szCs w:val="16"/>
      <w:lang w:eastAsia="en-US"/>
    </w:rPr>
  </w:style>
  <w:style w:type="character" w:styleId="BookTitle">
    <w:name w:val="Book Title"/>
    <w:basedOn w:val="DefaultParagraphFont"/>
    <w:uiPriority w:val="33"/>
    <w:qFormat/>
    <w:rsid w:val="00FE42FF"/>
    <w:rPr>
      <w:b/>
      <w:bCs/>
      <w:i/>
      <w:iCs/>
      <w:spacing w:val="5"/>
    </w:rPr>
  </w:style>
  <w:style w:type="character" w:customStyle="1" w:styleId="ClosingChar">
    <w:name w:val="Closing Char"/>
    <w:basedOn w:val="DefaultParagraphFont"/>
    <w:link w:val="Closing"/>
    <w:rsid w:val="00FE42FF"/>
    <w:rPr>
      <w:rFonts w:eastAsiaTheme="minorHAnsi" w:cstheme="minorBidi"/>
      <w:sz w:val="22"/>
      <w:lang w:eastAsia="en-US"/>
    </w:rPr>
  </w:style>
  <w:style w:type="table" w:styleId="ColorfulGrid">
    <w:name w:val="Colorful Grid"/>
    <w:basedOn w:val="TableNormal"/>
    <w:uiPriority w:val="73"/>
    <w:semiHidden/>
    <w:unhideWhenUsed/>
    <w:rsid w:val="00FE42F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42F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42F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42F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42F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42F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42F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42F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42F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42F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42F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42F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42F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42F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42F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42F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42F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42F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42F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42F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42F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FE42FF"/>
    <w:rPr>
      <w:rFonts w:eastAsiaTheme="minorHAnsi" w:cstheme="minorBidi"/>
      <w:lang w:eastAsia="en-US"/>
    </w:rPr>
  </w:style>
  <w:style w:type="character" w:customStyle="1" w:styleId="CommentSubjectChar">
    <w:name w:val="Comment Subject Char"/>
    <w:basedOn w:val="CommentTextChar"/>
    <w:link w:val="CommentSubject"/>
    <w:rsid w:val="00FE42FF"/>
    <w:rPr>
      <w:rFonts w:eastAsiaTheme="minorHAnsi" w:cstheme="minorBidi"/>
      <w:b/>
      <w:bCs/>
      <w:lang w:eastAsia="en-US"/>
    </w:rPr>
  </w:style>
  <w:style w:type="table" w:styleId="DarkList">
    <w:name w:val="Dark List"/>
    <w:basedOn w:val="TableNormal"/>
    <w:uiPriority w:val="70"/>
    <w:semiHidden/>
    <w:unhideWhenUsed/>
    <w:rsid w:val="00FE42F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42F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42F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42F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42F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42F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42F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FE42FF"/>
    <w:rPr>
      <w:rFonts w:eastAsiaTheme="minorHAnsi" w:cstheme="minorBidi"/>
      <w:sz w:val="22"/>
      <w:lang w:eastAsia="en-US"/>
    </w:rPr>
  </w:style>
  <w:style w:type="character" w:customStyle="1" w:styleId="DocumentMapChar">
    <w:name w:val="Document Map Char"/>
    <w:basedOn w:val="DefaultParagraphFont"/>
    <w:link w:val="DocumentMap"/>
    <w:rsid w:val="00FE42FF"/>
    <w:rPr>
      <w:rFonts w:ascii="Tahoma" w:eastAsiaTheme="minorHAnsi" w:hAnsi="Tahoma" w:cs="Tahoma"/>
      <w:sz w:val="22"/>
      <w:shd w:val="clear" w:color="auto" w:fill="000080"/>
      <w:lang w:eastAsia="en-US"/>
    </w:rPr>
  </w:style>
  <w:style w:type="character" w:customStyle="1" w:styleId="E-mailSignatureChar">
    <w:name w:val="E-mail Signature Char"/>
    <w:basedOn w:val="DefaultParagraphFont"/>
    <w:link w:val="E-mailSignature"/>
    <w:rsid w:val="00FE42FF"/>
    <w:rPr>
      <w:rFonts w:eastAsiaTheme="minorHAnsi" w:cstheme="minorBidi"/>
      <w:sz w:val="22"/>
      <w:lang w:eastAsia="en-US"/>
    </w:rPr>
  </w:style>
  <w:style w:type="character" w:customStyle="1" w:styleId="EndnoteTextChar">
    <w:name w:val="Endnote Text Char"/>
    <w:basedOn w:val="DefaultParagraphFont"/>
    <w:link w:val="EndnoteText"/>
    <w:rsid w:val="00FE42FF"/>
    <w:rPr>
      <w:rFonts w:eastAsiaTheme="minorHAnsi" w:cstheme="minorBidi"/>
      <w:lang w:eastAsia="en-US"/>
    </w:rPr>
  </w:style>
  <w:style w:type="character" w:customStyle="1" w:styleId="FootnoteTextChar">
    <w:name w:val="Footnote Text Char"/>
    <w:basedOn w:val="DefaultParagraphFont"/>
    <w:link w:val="FootnoteText"/>
    <w:rsid w:val="00FE42FF"/>
    <w:rPr>
      <w:rFonts w:eastAsiaTheme="minorHAnsi" w:cstheme="minorBidi"/>
      <w:lang w:eastAsia="en-US"/>
    </w:rPr>
  </w:style>
  <w:style w:type="table" w:styleId="GridTable1Light">
    <w:name w:val="Grid Table 1 Light"/>
    <w:basedOn w:val="TableNormal"/>
    <w:uiPriority w:val="46"/>
    <w:rsid w:val="00FE42F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42F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42F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42F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42F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42F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42F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42F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42F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42F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42F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42F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42F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42F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42F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42F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42F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42F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42F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42F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42F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42F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42F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42F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42F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42F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42F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42F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42F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42F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42F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42F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42F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42F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42F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42F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42F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42F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42F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42F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42F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42F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42F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42F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42F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42F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42F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42F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42F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FE42FF"/>
    <w:rPr>
      <w:color w:val="2B579A"/>
      <w:shd w:val="clear" w:color="auto" w:fill="E1DFDD"/>
    </w:rPr>
  </w:style>
  <w:style w:type="character" w:customStyle="1" w:styleId="HTMLAddressChar">
    <w:name w:val="HTML Address Char"/>
    <w:basedOn w:val="DefaultParagraphFont"/>
    <w:link w:val="HTMLAddress"/>
    <w:rsid w:val="00FE42FF"/>
    <w:rPr>
      <w:rFonts w:eastAsiaTheme="minorHAnsi" w:cstheme="minorBidi"/>
      <w:i/>
      <w:iCs/>
      <w:sz w:val="22"/>
      <w:lang w:eastAsia="en-US"/>
    </w:rPr>
  </w:style>
  <w:style w:type="character" w:customStyle="1" w:styleId="HTMLPreformattedChar">
    <w:name w:val="HTML Preformatted Char"/>
    <w:basedOn w:val="DefaultParagraphFont"/>
    <w:link w:val="HTMLPreformatted"/>
    <w:rsid w:val="00FE42FF"/>
    <w:rPr>
      <w:rFonts w:ascii="Courier New" w:eastAsiaTheme="minorHAnsi" w:hAnsi="Courier New" w:cs="Courier New"/>
      <w:lang w:eastAsia="en-US"/>
    </w:rPr>
  </w:style>
  <w:style w:type="character" w:styleId="IntenseEmphasis">
    <w:name w:val="Intense Emphasis"/>
    <w:basedOn w:val="DefaultParagraphFont"/>
    <w:uiPriority w:val="21"/>
    <w:qFormat/>
    <w:rsid w:val="00FE42FF"/>
    <w:rPr>
      <w:i/>
      <w:iCs/>
      <w:color w:val="4F81BD" w:themeColor="accent1"/>
    </w:rPr>
  </w:style>
  <w:style w:type="paragraph" w:styleId="IntenseQuote">
    <w:name w:val="Intense Quote"/>
    <w:basedOn w:val="Normal"/>
    <w:next w:val="Normal"/>
    <w:link w:val="IntenseQuoteChar"/>
    <w:uiPriority w:val="30"/>
    <w:qFormat/>
    <w:rsid w:val="00FE42F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E42F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FE42FF"/>
    <w:rPr>
      <w:b/>
      <w:bCs/>
      <w:smallCaps/>
      <w:color w:val="4F81BD" w:themeColor="accent1"/>
      <w:spacing w:val="5"/>
    </w:rPr>
  </w:style>
  <w:style w:type="table" w:styleId="LightGrid">
    <w:name w:val="Light Grid"/>
    <w:basedOn w:val="TableNormal"/>
    <w:uiPriority w:val="62"/>
    <w:semiHidden/>
    <w:unhideWhenUsed/>
    <w:rsid w:val="00FE42F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42F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42F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42F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42F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42F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42F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42F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42F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42F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42F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42F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42F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42F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42F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42F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42F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42F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42F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42F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42F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E42FF"/>
    <w:pPr>
      <w:ind w:left="720"/>
      <w:contextualSpacing/>
    </w:pPr>
  </w:style>
  <w:style w:type="table" w:styleId="ListTable1Light">
    <w:name w:val="List Table 1 Light"/>
    <w:basedOn w:val="TableNormal"/>
    <w:uiPriority w:val="46"/>
    <w:rsid w:val="00FE42F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42F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42F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42F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42F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42F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42F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42F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42F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42F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42F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42F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42F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42F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42F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42F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42F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42F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42F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42F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42F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42F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42F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42F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42F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42F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42F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42F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42F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42F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42F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42F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42F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42F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42F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42F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42F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42F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42F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42F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42F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42F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42F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42F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42F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42F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42F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42F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42F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FE42FF"/>
    <w:rPr>
      <w:rFonts w:ascii="Courier New" w:hAnsi="Courier New" w:cs="Courier New"/>
    </w:rPr>
  </w:style>
  <w:style w:type="table" w:styleId="MediumGrid1">
    <w:name w:val="Medium Grid 1"/>
    <w:basedOn w:val="TableNormal"/>
    <w:uiPriority w:val="67"/>
    <w:semiHidden/>
    <w:unhideWhenUsed/>
    <w:rsid w:val="00FE42F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42F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42F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42F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42F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42F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42F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42F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42F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42F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42F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42F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42F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42F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42F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42F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42F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42F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42F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42F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42F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42F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42F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42F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42F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42F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42F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42F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42F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42F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42F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42F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42F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42F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42F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42F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42FF"/>
    <w:rPr>
      <w:color w:val="2B579A"/>
      <w:shd w:val="clear" w:color="auto" w:fill="E1DFDD"/>
    </w:rPr>
  </w:style>
  <w:style w:type="character" w:customStyle="1" w:styleId="MessageHeaderChar">
    <w:name w:val="Message Header Char"/>
    <w:basedOn w:val="DefaultParagraphFont"/>
    <w:link w:val="MessageHeader"/>
    <w:rsid w:val="00FE42FF"/>
    <w:rPr>
      <w:rFonts w:ascii="Arial" w:eastAsiaTheme="minorHAnsi" w:hAnsi="Arial" w:cs="Arial"/>
      <w:sz w:val="22"/>
      <w:shd w:val="pct20" w:color="auto" w:fill="auto"/>
      <w:lang w:eastAsia="en-US"/>
    </w:rPr>
  </w:style>
  <w:style w:type="paragraph" w:styleId="NoSpacing">
    <w:name w:val="No Spacing"/>
    <w:uiPriority w:val="1"/>
    <w:qFormat/>
    <w:rsid w:val="00FE42FF"/>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FE42FF"/>
    <w:pPr>
      <w:spacing w:line="240" w:lineRule="auto"/>
    </w:pPr>
  </w:style>
  <w:style w:type="character" w:customStyle="1" w:styleId="NoteHeadingChar">
    <w:name w:val="Note Heading Char"/>
    <w:basedOn w:val="DefaultParagraphFont"/>
    <w:link w:val="NoteHeading"/>
    <w:uiPriority w:val="99"/>
    <w:semiHidden/>
    <w:rsid w:val="00FE42FF"/>
    <w:rPr>
      <w:rFonts w:eastAsiaTheme="minorHAnsi" w:cstheme="minorBidi"/>
      <w:sz w:val="22"/>
      <w:lang w:eastAsia="en-US"/>
    </w:rPr>
  </w:style>
  <w:style w:type="character" w:styleId="PlaceholderText">
    <w:name w:val="Placeholder Text"/>
    <w:basedOn w:val="DefaultParagraphFont"/>
    <w:uiPriority w:val="99"/>
    <w:semiHidden/>
    <w:rsid w:val="00FE42FF"/>
    <w:rPr>
      <w:color w:val="808080"/>
    </w:rPr>
  </w:style>
  <w:style w:type="table" w:styleId="PlainTable1">
    <w:name w:val="Plain Table 1"/>
    <w:basedOn w:val="TableNormal"/>
    <w:uiPriority w:val="41"/>
    <w:rsid w:val="00FE42F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42F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42F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42F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42F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FE42FF"/>
    <w:rPr>
      <w:rFonts w:ascii="Courier New" w:eastAsiaTheme="minorHAnsi" w:hAnsi="Courier New" w:cs="Courier New"/>
      <w:lang w:eastAsia="en-US"/>
    </w:rPr>
  </w:style>
  <w:style w:type="paragraph" w:styleId="Quote">
    <w:name w:val="Quote"/>
    <w:basedOn w:val="Normal"/>
    <w:next w:val="Normal"/>
    <w:link w:val="QuoteChar"/>
    <w:uiPriority w:val="29"/>
    <w:qFormat/>
    <w:rsid w:val="00FE42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42FF"/>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rsid w:val="00FE42FF"/>
    <w:rPr>
      <w:rFonts w:eastAsiaTheme="minorHAnsi" w:cstheme="minorBidi"/>
      <w:sz w:val="22"/>
      <w:lang w:eastAsia="en-US"/>
    </w:rPr>
  </w:style>
  <w:style w:type="character" w:customStyle="1" w:styleId="SignatureChar">
    <w:name w:val="Signature Char"/>
    <w:basedOn w:val="DefaultParagraphFont"/>
    <w:link w:val="Signature"/>
    <w:rsid w:val="00FE42FF"/>
    <w:rPr>
      <w:rFonts w:eastAsiaTheme="minorHAnsi" w:cstheme="minorBidi"/>
      <w:sz w:val="22"/>
      <w:lang w:eastAsia="en-US"/>
    </w:rPr>
  </w:style>
  <w:style w:type="character" w:styleId="SmartHyperlink">
    <w:name w:val="Smart Hyperlink"/>
    <w:basedOn w:val="DefaultParagraphFont"/>
    <w:uiPriority w:val="99"/>
    <w:semiHidden/>
    <w:unhideWhenUsed/>
    <w:rsid w:val="00FE42FF"/>
    <w:rPr>
      <w:u w:val="dotted"/>
    </w:rPr>
  </w:style>
  <w:style w:type="character" w:customStyle="1" w:styleId="SubtitleChar">
    <w:name w:val="Subtitle Char"/>
    <w:basedOn w:val="DefaultParagraphFont"/>
    <w:link w:val="Subtitle"/>
    <w:rsid w:val="00FE42FF"/>
    <w:rPr>
      <w:rFonts w:ascii="Arial" w:eastAsiaTheme="minorHAnsi" w:hAnsi="Arial" w:cs="Arial"/>
      <w:sz w:val="22"/>
      <w:lang w:eastAsia="en-US"/>
    </w:rPr>
  </w:style>
  <w:style w:type="character" w:styleId="SubtleEmphasis">
    <w:name w:val="Subtle Emphasis"/>
    <w:basedOn w:val="DefaultParagraphFont"/>
    <w:uiPriority w:val="19"/>
    <w:qFormat/>
    <w:rsid w:val="00FE42FF"/>
    <w:rPr>
      <w:i/>
      <w:iCs/>
      <w:color w:val="404040" w:themeColor="text1" w:themeTint="BF"/>
    </w:rPr>
  </w:style>
  <w:style w:type="character" w:styleId="SubtleReference">
    <w:name w:val="Subtle Reference"/>
    <w:basedOn w:val="DefaultParagraphFont"/>
    <w:uiPriority w:val="31"/>
    <w:qFormat/>
    <w:rsid w:val="00FE42FF"/>
    <w:rPr>
      <w:smallCaps/>
      <w:color w:val="5A5A5A" w:themeColor="text1" w:themeTint="A5"/>
    </w:rPr>
  </w:style>
  <w:style w:type="table" w:styleId="TableGridLight">
    <w:name w:val="Grid Table Light"/>
    <w:basedOn w:val="TableNormal"/>
    <w:uiPriority w:val="40"/>
    <w:rsid w:val="00FE42F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FE42FF"/>
    <w:rPr>
      <w:rFonts w:ascii="Arial" w:eastAsiaTheme="minorHAnsi" w:hAnsi="Arial" w:cs="Arial"/>
      <w:b/>
      <w:bCs/>
      <w:sz w:val="40"/>
      <w:szCs w:val="40"/>
      <w:lang w:eastAsia="en-US"/>
    </w:rPr>
  </w:style>
  <w:style w:type="paragraph" w:styleId="TOCHeading">
    <w:name w:val="TOC Heading"/>
    <w:basedOn w:val="Heading1"/>
    <w:next w:val="Normal"/>
    <w:uiPriority w:val="39"/>
    <w:semiHidden/>
    <w:unhideWhenUsed/>
    <w:qFormat/>
    <w:rsid w:val="00FE42FF"/>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FE42FF"/>
    <w:rPr>
      <w:color w:val="605E5C"/>
      <w:shd w:val="clear" w:color="auto" w:fill="E1DFDD"/>
    </w:rPr>
  </w:style>
  <w:style w:type="paragraph" w:customStyle="1" w:styleId="SOText2">
    <w:name w:val="SO Text2"/>
    <w:aliases w:val="sot2"/>
    <w:basedOn w:val="Normal"/>
    <w:next w:val="SOText"/>
    <w:link w:val="SOText2Char"/>
    <w:rsid w:val="00FE42F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E42FF"/>
    <w:rPr>
      <w:rFonts w:eastAsiaTheme="minorHAnsi" w:cstheme="minorBidi"/>
      <w:sz w:val="22"/>
      <w:lang w:eastAsia="en-US"/>
    </w:rPr>
  </w:style>
  <w:style w:type="paragraph" w:customStyle="1" w:styleId="ETAsubitem">
    <w:name w:val="ETA(subitem)"/>
    <w:basedOn w:val="OPCParaBase"/>
    <w:rsid w:val="00FE42FF"/>
    <w:pPr>
      <w:tabs>
        <w:tab w:val="right" w:pos="340"/>
      </w:tabs>
      <w:spacing w:before="60" w:line="240" w:lineRule="auto"/>
      <w:ind w:left="454" w:hanging="454"/>
    </w:pPr>
    <w:rPr>
      <w:sz w:val="20"/>
    </w:rPr>
  </w:style>
  <w:style w:type="paragraph" w:customStyle="1" w:styleId="ETApara">
    <w:name w:val="ETA(para)"/>
    <w:basedOn w:val="OPCParaBase"/>
    <w:rsid w:val="00FE42FF"/>
    <w:pPr>
      <w:tabs>
        <w:tab w:val="right" w:pos="754"/>
      </w:tabs>
      <w:spacing w:before="60" w:line="240" w:lineRule="auto"/>
      <w:ind w:left="828" w:hanging="828"/>
    </w:pPr>
    <w:rPr>
      <w:sz w:val="20"/>
    </w:rPr>
  </w:style>
  <w:style w:type="paragraph" w:customStyle="1" w:styleId="ETAsubpara">
    <w:name w:val="ETA(subpara)"/>
    <w:basedOn w:val="OPCParaBase"/>
    <w:rsid w:val="00FE42FF"/>
    <w:pPr>
      <w:tabs>
        <w:tab w:val="right" w:pos="1083"/>
      </w:tabs>
      <w:spacing w:before="60" w:line="240" w:lineRule="auto"/>
      <w:ind w:left="1191" w:hanging="1191"/>
    </w:pPr>
    <w:rPr>
      <w:sz w:val="20"/>
    </w:rPr>
  </w:style>
  <w:style w:type="paragraph" w:customStyle="1" w:styleId="ETAsub-subpara">
    <w:name w:val="ETA(sub-subpara)"/>
    <w:basedOn w:val="OPCParaBase"/>
    <w:rsid w:val="00FE42FF"/>
    <w:pPr>
      <w:tabs>
        <w:tab w:val="right" w:pos="1412"/>
      </w:tabs>
      <w:spacing w:before="60" w:line="240" w:lineRule="auto"/>
      <w:ind w:left="1525" w:hanging="1525"/>
    </w:pPr>
    <w:rPr>
      <w:sz w:val="20"/>
    </w:rPr>
  </w:style>
  <w:style w:type="character" w:customStyle="1" w:styleId="charlegsubtitle1">
    <w:name w:val="charlegsubtitle1"/>
    <w:basedOn w:val="DefaultParagraphFont"/>
    <w:rsid w:val="00FE42FF"/>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29.xml"/><Relationship Id="rId76" Type="http://schemas.openxmlformats.org/officeDocument/2006/relationships/header" Target="header35.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footer" Target="footer28.xml"/><Relationship Id="rId74" Type="http://schemas.openxmlformats.org/officeDocument/2006/relationships/footer" Target="footer32.xml"/><Relationship Id="rId79"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3.xml"/><Relationship Id="rId78" Type="http://schemas.openxmlformats.org/officeDocument/2006/relationships/footer" Target="footer3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3.xml"/><Relationship Id="rId8" Type="http://schemas.openxmlformats.org/officeDocument/2006/relationships/image" Target="media/image1.wmf"/><Relationship Id="rId51" Type="http://schemas.openxmlformats.org/officeDocument/2006/relationships/header" Target="header22.xml"/><Relationship Id="rId72" Type="http://schemas.openxmlformats.org/officeDocument/2006/relationships/footer" Target="footer3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header" Target="header30.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32.xml"/><Relationship Id="rId75"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6C5D-AC58-41BD-8E62-3D1E77C0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175</Pages>
  <Words>47749</Words>
  <Characters>241917</Characters>
  <Application>Microsoft Office Word</Application>
  <DocSecurity>0</DocSecurity>
  <PresentationFormat/>
  <Lines>6431</Lines>
  <Paragraphs>3774</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287642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2013-05-24T02:03:00Z</cp:lastPrinted>
  <dcterms:created xsi:type="dcterms:W3CDTF">2024-03-05T22:31:00Z</dcterms:created>
  <dcterms:modified xsi:type="dcterms:W3CDTF">2024-03-05T22:31:00Z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195</vt:lpwstr>
  </property>
  <property fmtid="{D5CDD505-2E9C-101B-9397-08002B2CF9AE}" pid="19" name="StartDate">
    <vt:lpwstr>1 March 2024</vt:lpwstr>
  </property>
  <property fmtid="{D5CDD505-2E9C-101B-9397-08002B2CF9AE}" pid="20" name="PreparedDate">
    <vt:filetime>2016-04-17T14:00:00Z</vt:filetime>
  </property>
  <property fmtid="{D5CDD505-2E9C-101B-9397-08002B2CF9AE}" pid="21" name="RegisteredDate">
    <vt:lpwstr>6 March 2024</vt:lpwstr>
  </property>
  <property fmtid="{D5CDD505-2E9C-101B-9397-08002B2CF9AE}" pid="22" name="IncludesUpTo">
    <vt:lpwstr>F2024L00199</vt:lpwstr>
  </property>
</Properties>
</file>