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C9" w:rsidRPr="005675B0" w:rsidRDefault="00F715C9" w:rsidP="00C502A0">
      <w:r w:rsidRPr="005675B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6851252" r:id="rId10"/>
        </w:object>
      </w:r>
    </w:p>
    <w:p w:rsidR="00F715C9" w:rsidRPr="005675B0" w:rsidRDefault="00F715C9" w:rsidP="00C502A0">
      <w:pPr>
        <w:pStyle w:val="ShortT"/>
        <w:spacing w:before="240"/>
      </w:pPr>
      <w:r w:rsidRPr="005675B0">
        <w:t>Australian Securities an</w:t>
      </w:r>
      <w:bookmarkStart w:id="0" w:name="opcCurrentPosition"/>
      <w:bookmarkEnd w:id="0"/>
      <w:r w:rsidRPr="005675B0">
        <w:t>d Investments Commission Regulations</w:t>
      </w:r>
      <w:r w:rsidR="005675B0">
        <w:t> </w:t>
      </w:r>
      <w:r w:rsidRPr="005675B0">
        <w:t>2001</w:t>
      </w:r>
    </w:p>
    <w:p w:rsidR="00F715C9" w:rsidRPr="005675B0" w:rsidRDefault="00F715C9" w:rsidP="00C502A0">
      <w:pPr>
        <w:pStyle w:val="CompiledActNo"/>
        <w:spacing w:before="240"/>
      </w:pPr>
      <w:r w:rsidRPr="005675B0">
        <w:t>Statutory Rules No.</w:t>
      </w:r>
      <w:r w:rsidR="005675B0">
        <w:t> </w:t>
      </w:r>
      <w:r w:rsidRPr="005675B0">
        <w:t>192, 2001</w:t>
      </w:r>
    </w:p>
    <w:p w:rsidR="00177B38" w:rsidRPr="005675B0" w:rsidRDefault="00177B38" w:rsidP="00177B38">
      <w:pPr>
        <w:pStyle w:val="MadeunderText"/>
      </w:pPr>
      <w:r w:rsidRPr="005675B0">
        <w:t>made under the</w:t>
      </w:r>
    </w:p>
    <w:p w:rsidR="00177B38" w:rsidRPr="005675B0" w:rsidRDefault="00177B38" w:rsidP="00177B38">
      <w:pPr>
        <w:spacing w:before="240"/>
        <w:rPr>
          <w:lang w:eastAsia="en-AU"/>
        </w:rPr>
      </w:pPr>
      <w:r w:rsidRPr="005675B0">
        <w:rPr>
          <w:i/>
          <w:lang w:eastAsia="en-AU"/>
        </w:rPr>
        <w:t>Australian Securities and Investments Commission Act 2001</w:t>
      </w:r>
      <w:r w:rsidRPr="005675B0">
        <w:rPr>
          <w:lang w:eastAsia="en-AU"/>
        </w:rPr>
        <w:t xml:space="preserve"> and the </w:t>
      </w:r>
      <w:r w:rsidRPr="005675B0">
        <w:rPr>
          <w:i/>
          <w:lang w:eastAsia="en-AU"/>
        </w:rPr>
        <w:t>Corporations Act 2001</w:t>
      </w:r>
    </w:p>
    <w:p w:rsidR="00F715C9" w:rsidRPr="005675B0" w:rsidRDefault="00F715C9" w:rsidP="00C502A0">
      <w:pPr>
        <w:spacing w:before="1000"/>
        <w:rPr>
          <w:rFonts w:cs="Arial"/>
          <w:b/>
          <w:sz w:val="32"/>
          <w:szCs w:val="32"/>
        </w:rPr>
      </w:pPr>
      <w:r w:rsidRPr="005675B0">
        <w:rPr>
          <w:rFonts w:cs="Arial"/>
          <w:b/>
          <w:sz w:val="32"/>
          <w:szCs w:val="32"/>
        </w:rPr>
        <w:t>Compilation No.</w:t>
      </w:r>
      <w:r w:rsidR="005675B0">
        <w:rPr>
          <w:rFonts w:cs="Arial"/>
          <w:b/>
          <w:sz w:val="32"/>
          <w:szCs w:val="32"/>
        </w:rPr>
        <w:t> </w:t>
      </w:r>
      <w:r w:rsidRPr="005675B0">
        <w:rPr>
          <w:rFonts w:cs="Arial"/>
          <w:b/>
          <w:sz w:val="32"/>
          <w:szCs w:val="32"/>
        </w:rPr>
        <w:fldChar w:fldCharType="begin"/>
      </w:r>
      <w:r w:rsidRPr="005675B0">
        <w:rPr>
          <w:rFonts w:cs="Arial"/>
          <w:b/>
          <w:sz w:val="32"/>
          <w:szCs w:val="32"/>
        </w:rPr>
        <w:instrText xml:space="preserve"> DOCPROPERTY  CompilationNumber </w:instrText>
      </w:r>
      <w:r w:rsidRPr="005675B0">
        <w:rPr>
          <w:rFonts w:cs="Arial"/>
          <w:b/>
          <w:sz w:val="32"/>
          <w:szCs w:val="32"/>
        </w:rPr>
        <w:fldChar w:fldCharType="separate"/>
      </w:r>
      <w:r w:rsidR="00174663">
        <w:rPr>
          <w:rFonts w:cs="Arial"/>
          <w:b/>
          <w:sz w:val="32"/>
          <w:szCs w:val="32"/>
        </w:rPr>
        <w:t>39</w:t>
      </w:r>
      <w:r w:rsidRPr="005675B0">
        <w:rPr>
          <w:rFonts w:cs="Arial"/>
          <w:b/>
          <w:sz w:val="32"/>
          <w:szCs w:val="32"/>
        </w:rPr>
        <w:fldChar w:fldCharType="end"/>
      </w:r>
      <w:bookmarkStart w:id="1" w:name="_GoBack"/>
      <w:bookmarkEnd w:id="1"/>
    </w:p>
    <w:p w:rsidR="00F715C9" w:rsidRPr="005675B0" w:rsidRDefault="00F715C9" w:rsidP="00C502A0">
      <w:pPr>
        <w:spacing w:before="480"/>
        <w:rPr>
          <w:rFonts w:cs="Arial"/>
          <w:sz w:val="24"/>
        </w:rPr>
      </w:pPr>
      <w:r w:rsidRPr="005675B0">
        <w:rPr>
          <w:rFonts w:cs="Arial"/>
          <w:b/>
          <w:sz w:val="24"/>
        </w:rPr>
        <w:t>Compilation date:</w:t>
      </w:r>
      <w:r w:rsidRPr="005675B0">
        <w:rPr>
          <w:rFonts w:cs="Arial"/>
          <w:b/>
          <w:sz w:val="24"/>
        </w:rPr>
        <w:tab/>
      </w:r>
      <w:r w:rsidRPr="005675B0">
        <w:rPr>
          <w:rFonts w:cs="Arial"/>
          <w:b/>
          <w:sz w:val="24"/>
        </w:rPr>
        <w:tab/>
      </w:r>
      <w:r w:rsidRPr="005675B0">
        <w:rPr>
          <w:rFonts w:cs="Arial"/>
          <w:b/>
          <w:sz w:val="24"/>
        </w:rPr>
        <w:tab/>
      </w:r>
      <w:r w:rsidRPr="00174663">
        <w:rPr>
          <w:rFonts w:cs="Arial"/>
          <w:sz w:val="24"/>
        </w:rPr>
        <w:fldChar w:fldCharType="begin"/>
      </w:r>
      <w:r w:rsidRPr="00174663">
        <w:rPr>
          <w:rFonts w:cs="Arial"/>
          <w:sz w:val="24"/>
        </w:rPr>
        <w:instrText xml:space="preserve"> DOCPROPERTY StartDate \@ "d MMMM yyyy" \*MERGEFORMAT </w:instrText>
      </w:r>
      <w:r w:rsidRPr="00174663">
        <w:rPr>
          <w:rFonts w:cs="Arial"/>
          <w:sz w:val="24"/>
        </w:rPr>
        <w:fldChar w:fldCharType="separate"/>
      </w:r>
      <w:r w:rsidR="00174663" w:rsidRPr="00174663">
        <w:rPr>
          <w:rFonts w:cs="Arial"/>
          <w:bCs/>
          <w:sz w:val="24"/>
        </w:rPr>
        <w:t>1</w:t>
      </w:r>
      <w:r w:rsidR="00174663">
        <w:rPr>
          <w:rFonts w:cs="Arial"/>
          <w:sz w:val="24"/>
        </w:rPr>
        <w:t xml:space="preserve"> July 2020</w:t>
      </w:r>
      <w:r w:rsidRPr="00174663">
        <w:rPr>
          <w:rFonts w:cs="Arial"/>
          <w:sz w:val="24"/>
        </w:rPr>
        <w:fldChar w:fldCharType="end"/>
      </w:r>
    </w:p>
    <w:p w:rsidR="00F715C9" w:rsidRPr="005675B0" w:rsidRDefault="00F715C9" w:rsidP="00C502A0">
      <w:pPr>
        <w:spacing w:before="240"/>
        <w:rPr>
          <w:rFonts w:cs="Arial"/>
          <w:sz w:val="24"/>
        </w:rPr>
      </w:pPr>
      <w:r w:rsidRPr="005675B0">
        <w:rPr>
          <w:rFonts w:cs="Arial"/>
          <w:b/>
          <w:sz w:val="24"/>
        </w:rPr>
        <w:t>Includes amendments up to:</w:t>
      </w:r>
      <w:r w:rsidRPr="005675B0">
        <w:rPr>
          <w:rFonts w:cs="Arial"/>
          <w:b/>
          <w:sz w:val="24"/>
        </w:rPr>
        <w:tab/>
      </w:r>
      <w:r w:rsidRPr="00174663">
        <w:rPr>
          <w:rFonts w:cs="Arial"/>
          <w:sz w:val="24"/>
        </w:rPr>
        <w:fldChar w:fldCharType="begin"/>
      </w:r>
      <w:r w:rsidRPr="00174663">
        <w:rPr>
          <w:rFonts w:cs="Arial"/>
          <w:sz w:val="24"/>
        </w:rPr>
        <w:instrText xml:space="preserve"> DOCPROPERTY IncludesUpTo </w:instrText>
      </w:r>
      <w:r w:rsidRPr="00174663">
        <w:rPr>
          <w:rFonts w:cs="Arial"/>
          <w:sz w:val="24"/>
        </w:rPr>
        <w:fldChar w:fldCharType="separate"/>
      </w:r>
      <w:r w:rsidR="00174663">
        <w:rPr>
          <w:rFonts w:cs="Arial"/>
          <w:sz w:val="24"/>
        </w:rPr>
        <w:t>F2020L00699</w:t>
      </w:r>
      <w:r w:rsidRPr="00174663">
        <w:rPr>
          <w:rFonts w:cs="Arial"/>
          <w:sz w:val="24"/>
        </w:rPr>
        <w:fldChar w:fldCharType="end"/>
      </w:r>
    </w:p>
    <w:p w:rsidR="00F715C9" w:rsidRPr="005675B0" w:rsidRDefault="00F715C9" w:rsidP="00C502A0">
      <w:pPr>
        <w:spacing w:before="240"/>
        <w:rPr>
          <w:rFonts w:cs="Arial"/>
          <w:sz w:val="28"/>
          <w:szCs w:val="28"/>
        </w:rPr>
      </w:pPr>
      <w:r w:rsidRPr="005675B0">
        <w:rPr>
          <w:rFonts w:cs="Arial"/>
          <w:b/>
          <w:sz w:val="24"/>
        </w:rPr>
        <w:t>Registered:</w:t>
      </w:r>
      <w:r w:rsidRPr="005675B0">
        <w:rPr>
          <w:rFonts w:cs="Arial"/>
          <w:b/>
          <w:sz w:val="24"/>
        </w:rPr>
        <w:tab/>
      </w:r>
      <w:r w:rsidRPr="005675B0">
        <w:rPr>
          <w:rFonts w:cs="Arial"/>
          <w:b/>
          <w:sz w:val="24"/>
        </w:rPr>
        <w:tab/>
      </w:r>
      <w:r w:rsidRPr="005675B0">
        <w:rPr>
          <w:rFonts w:cs="Arial"/>
          <w:b/>
          <w:sz w:val="24"/>
        </w:rPr>
        <w:tab/>
      </w:r>
      <w:r w:rsidRPr="005675B0">
        <w:rPr>
          <w:rFonts w:cs="Arial"/>
          <w:b/>
          <w:sz w:val="24"/>
        </w:rPr>
        <w:tab/>
      </w:r>
      <w:r w:rsidRPr="00174663">
        <w:rPr>
          <w:rFonts w:cs="Arial"/>
          <w:sz w:val="24"/>
        </w:rPr>
        <w:fldChar w:fldCharType="begin"/>
      </w:r>
      <w:r w:rsidRPr="00174663">
        <w:rPr>
          <w:rFonts w:cs="Arial"/>
          <w:sz w:val="24"/>
        </w:rPr>
        <w:instrText xml:space="preserve"> IF </w:instrText>
      </w:r>
      <w:r w:rsidRPr="00174663">
        <w:rPr>
          <w:rFonts w:cs="Arial"/>
          <w:sz w:val="24"/>
        </w:rPr>
        <w:fldChar w:fldCharType="begin"/>
      </w:r>
      <w:r w:rsidRPr="00174663">
        <w:rPr>
          <w:rFonts w:cs="Arial"/>
          <w:sz w:val="24"/>
        </w:rPr>
        <w:instrText xml:space="preserve"> DOCPROPERTY RegisteredDate </w:instrText>
      </w:r>
      <w:r w:rsidRPr="00174663">
        <w:rPr>
          <w:rFonts w:cs="Arial"/>
          <w:sz w:val="24"/>
        </w:rPr>
        <w:fldChar w:fldCharType="separate"/>
      </w:r>
      <w:r w:rsidR="00174663">
        <w:rPr>
          <w:rFonts w:cs="Arial"/>
          <w:sz w:val="24"/>
        </w:rPr>
        <w:instrText>21/07/2020</w:instrText>
      </w:r>
      <w:r w:rsidRPr="00174663">
        <w:rPr>
          <w:rFonts w:cs="Arial"/>
          <w:sz w:val="24"/>
        </w:rPr>
        <w:fldChar w:fldCharType="end"/>
      </w:r>
      <w:r w:rsidRPr="00174663">
        <w:rPr>
          <w:rFonts w:cs="Arial"/>
          <w:sz w:val="24"/>
        </w:rPr>
        <w:instrText xml:space="preserve"> = #1/1/1901# "Unknown" </w:instrText>
      </w:r>
      <w:r w:rsidRPr="00174663">
        <w:rPr>
          <w:rFonts w:cs="Arial"/>
          <w:sz w:val="24"/>
        </w:rPr>
        <w:fldChar w:fldCharType="begin"/>
      </w:r>
      <w:r w:rsidRPr="00174663">
        <w:rPr>
          <w:rFonts w:cs="Arial"/>
          <w:sz w:val="24"/>
        </w:rPr>
        <w:instrText xml:space="preserve"> DOCPROPERTY RegisteredDate \@ "d MMMM yyyy" </w:instrText>
      </w:r>
      <w:r w:rsidRPr="00174663">
        <w:rPr>
          <w:rFonts w:cs="Arial"/>
          <w:sz w:val="24"/>
        </w:rPr>
        <w:fldChar w:fldCharType="separate"/>
      </w:r>
      <w:r w:rsidR="00174663">
        <w:rPr>
          <w:rFonts w:cs="Arial"/>
          <w:sz w:val="24"/>
        </w:rPr>
        <w:instrText>21 July 2020</w:instrText>
      </w:r>
      <w:r w:rsidRPr="00174663">
        <w:rPr>
          <w:rFonts w:cs="Arial"/>
          <w:sz w:val="24"/>
        </w:rPr>
        <w:fldChar w:fldCharType="end"/>
      </w:r>
      <w:r w:rsidRPr="00174663">
        <w:rPr>
          <w:rFonts w:cs="Arial"/>
          <w:sz w:val="24"/>
        </w:rPr>
        <w:instrText xml:space="preserve"> \*MERGEFORMAT </w:instrText>
      </w:r>
      <w:r w:rsidRPr="00174663">
        <w:rPr>
          <w:rFonts w:cs="Arial"/>
          <w:sz w:val="24"/>
        </w:rPr>
        <w:fldChar w:fldCharType="separate"/>
      </w:r>
      <w:r w:rsidR="00174663" w:rsidRPr="00174663">
        <w:rPr>
          <w:rFonts w:cs="Arial"/>
          <w:bCs/>
          <w:noProof/>
          <w:sz w:val="24"/>
        </w:rPr>
        <w:t>21</w:t>
      </w:r>
      <w:r w:rsidR="00174663">
        <w:rPr>
          <w:rFonts w:cs="Arial"/>
          <w:noProof/>
          <w:sz w:val="24"/>
        </w:rPr>
        <w:t xml:space="preserve"> July 2020</w:t>
      </w:r>
      <w:r w:rsidRPr="00174663">
        <w:rPr>
          <w:rFonts w:cs="Arial"/>
          <w:sz w:val="24"/>
        </w:rPr>
        <w:fldChar w:fldCharType="end"/>
      </w:r>
    </w:p>
    <w:p w:rsidR="00BE34B6" w:rsidRPr="005675B0" w:rsidRDefault="00BE34B6" w:rsidP="00BE34B6">
      <w:pPr>
        <w:rPr>
          <w:b/>
          <w:szCs w:val="22"/>
        </w:rPr>
      </w:pPr>
    </w:p>
    <w:p w:rsidR="00F715C9" w:rsidRPr="005675B0" w:rsidRDefault="00F715C9" w:rsidP="00C502A0">
      <w:pPr>
        <w:pageBreakBefore/>
        <w:rPr>
          <w:rFonts w:cs="Arial"/>
          <w:b/>
          <w:sz w:val="32"/>
          <w:szCs w:val="32"/>
        </w:rPr>
      </w:pPr>
      <w:r w:rsidRPr="005675B0">
        <w:rPr>
          <w:rFonts w:cs="Arial"/>
          <w:b/>
          <w:sz w:val="32"/>
          <w:szCs w:val="32"/>
        </w:rPr>
        <w:lastRenderedPageBreak/>
        <w:t>About this compilation</w:t>
      </w:r>
    </w:p>
    <w:p w:rsidR="00F715C9" w:rsidRPr="005675B0" w:rsidRDefault="00F715C9" w:rsidP="00C502A0">
      <w:pPr>
        <w:spacing w:before="240"/>
        <w:rPr>
          <w:rFonts w:cs="Arial"/>
        </w:rPr>
      </w:pPr>
      <w:r w:rsidRPr="005675B0">
        <w:rPr>
          <w:rFonts w:cs="Arial"/>
          <w:b/>
          <w:szCs w:val="22"/>
        </w:rPr>
        <w:t>This compilation</w:t>
      </w:r>
    </w:p>
    <w:p w:rsidR="00F715C9" w:rsidRPr="005675B0" w:rsidRDefault="00F715C9" w:rsidP="00C502A0">
      <w:pPr>
        <w:spacing w:before="120" w:after="120"/>
        <w:rPr>
          <w:rFonts w:cs="Arial"/>
          <w:szCs w:val="22"/>
        </w:rPr>
      </w:pPr>
      <w:r w:rsidRPr="005675B0">
        <w:rPr>
          <w:rFonts w:cs="Arial"/>
          <w:szCs w:val="22"/>
        </w:rPr>
        <w:t xml:space="preserve">This is a compilation of the </w:t>
      </w:r>
      <w:r w:rsidRPr="005675B0">
        <w:rPr>
          <w:rFonts w:cs="Arial"/>
          <w:i/>
          <w:szCs w:val="22"/>
        </w:rPr>
        <w:fldChar w:fldCharType="begin"/>
      </w:r>
      <w:r w:rsidRPr="005675B0">
        <w:rPr>
          <w:rFonts w:cs="Arial"/>
          <w:i/>
          <w:szCs w:val="22"/>
        </w:rPr>
        <w:instrText xml:space="preserve"> STYLEREF  ShortT </w:instrText>
      </w:r>
      <w:r w:rsidRPr="005675B0">
        <w:rPr>
          <w:rFonts w:cs="Arial"/>
          <w:i/>
          <w:szCs w:val="22"/>
        </w:rPr>
        <w:fldChar w:fldCharType="separate"/>
      </w:r>
      <w:r w:rsidR="00174663">
        <w:rPr>
          <w:rFonts w:cs="Arial"/>
          <w:i/>
          <w:noProof/>
          <w:szCs w:val="22"/>
        </w:rPr>
        <w:t>Australian Securities and Investments Commission Regulations 2001</w:t>
      </w:r>
      <w:r w:rsidRPr="005675B0">
        <w:rPr>
          <w:rFonts w:cs="Arial"/>
          <w:i/>
          <w:szCs w:val="22"/>
        </w:rPr>
        <w:fldChar w:fldCharType="end"/>
      </w:r>
      <w:r w:rsidRPr="005675B0">
        <w:rPr>
          <w:rFonts w:cs="Arial"/>
          <w:szCs w:val="22"/>
        </w:rPr>
        <w:t xml:space="preserve"> that shows the text of the law as amended and in force on </w:t>
      </w:r>
      <w:r w:rsidRPr="00174663">
        <w:rPr>
          <w:rFonts w:cs="Arial"/>
          <w:szCs w:val="22"/>
        </w:rPr>
        <w:fldChar w:fldCharType="begin"/>
      </w:r>
      <w:r w:rsidRPr="00174663">
        <w:rPr>
          <w:rFonts w:cs="Arial"/>
          <w:szCs w:val="22"/>
        </w:rPr>
        <w:instrText xml:space="preserve"> DOCPROPERTY StartDate \@ "d MMMM yyyy" </w:instrText>
      </w:r>
      <w:r w:rsidRPr="00174663">
        <w:rPr>
          <w:rFonts w:cs="Arial"/>
          <w:szCs w:val="22"/>
        </w:rPr>
        <w:fldChar w:fldCharType="separate"/>
      </w:r>
      <w:r w:rsidR="00174663">
        <w:rPr>
          <w:rFonts w:cs="Arial"/>
          <w:szCs w:val="22"/>
        </w:rPr>
        <w:t>1 July 2020</w:t>
      </w:r>
      <w:r w:rsidRPr="00174663">
        <w:rPr>
          <w:rFonts w:cs="Arial"/>
          <w:szCs w:val="22"/>
        </w:rPr>
        <w:fldChar w:fldCharType="end"/>
      </w:r>
      <w:r w:rsidRPr="005675B0">
        <w:rPr>
          <w:rFonts w:cs="Arial"/>
          <w:szCs w:val="22"/>
        </w:rPr>
        <w:t xml:space="preserve"> (the </w:t>
      </w:r>
      <w:r w:rsidRPr="005675B0">
        <w:rPr>
          <w:rFonts w:cs="Arial"/>
          <w:b/>
          <w:i/>
          <w:szCs w:val="22"/>
        </w:rPr>
        <w:t>compilation date</w:t>
      </w:r>
      <w:r w:rsidRPr="005675B0">
        <w:rPr>
          <w:rFonts w:cs="Arial"/>
          <w:szCs w:val="22"/>
        </w:rPr>
        <w:t>).</w:t>
      </w:r>
    </w:p>
    <w:p w:rsidR="00F715C9" w:rsidRPr="005675B0" w:rsidRDefault="00F715C9" w:rsidP="00C502A0">
      <w:pPr>
        <w:spacing w:after="120"/>
        <w:rPr>
          <w:rFonts w:cs="Arial"/>
          <w:szCs w:val="22"/>
        </w:rPr>
      </w:pPr>
      <w:r w:rsidRPr="005675B0">
        <w:rPr>
          <w:rFonts w:cs="Arial"/>
          <w:szCs w:val="22"/>
        </w:rPr>
        <w:t xml:space="preserve">The notes at the end of this compilation (the </w:t>
      </w:r>
      <w:r w:rsidRPr="005675B0">
        <w:rPr>
          <w:rFonts w:cs="Arial"/>
          <w:b/>
          <w:i/>
          <w:szCs w:val="22"/>
        </w:rPr>
        <w:t>endnotes</w:t>
      </w:r>
      <w:r w:rsidRPr="005675B0">
        <w:rPr>
          <w:rFonts w:cs="Arial"/>
          <w:szCs w:val="22"/>
        </w:rPr>
        <w:t>) include information about amending laws and the amendment history of provisions of the compiled law.</w:t>
      </w:r>
    </w:p>
    <w:p w:rsidR="00F715C9" w:rsidRPr="005675B0" w:rsidRDefault="00F715C9" w:rsidP="00C502A0">
      <w:pPr>
        <w:tabs>
          <w:tab w:val="left" w:pos="5640"/>
        </w:tabs>
        <w:spacing w:before="120" w:after="120"/>
        <w:rPr>
          <w:rFonts w:cs="Arial"/>
          <w:b/>
          <w:szCs w:val="22"/>
        </w:rPr>
      </w:pPr>
      <w:r w:rsidRPr="005675B0">
        <w:rPr>
          <w:rFonts w:cs="Arial"/>
          <w:b/>
          <w:szCs w:val="22"/>
        </w:rPr>
        <w:t>Uncommenced amendments</w:t>
      </w:r>
    </w:p>
    <w:p w:rsidR="00F715C9" w:rsidRPr="005675B0" w:rsidRDefault="00F715C9" w:rsidP="00C502A0">
      <w:pPr>
        <w:spacing w:after="120"/>
        <w:rPr>
          <w:rFonts w:cs="Arial"/>
          <w:szCs w:val="22"/>
        </w:rPr>
      </w:pPr>
      <w:r w:rsidRPr="005675B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715C9" w:rsidRPr="005675B0" w:rsidRDefault="00F715C9" w:rsidP="00C502A0">
      <w:pPr>
        <w:spacing w:before="120" w:after="120"/>
        <w:rPr>
          <w:rFonts w:cs="Arial"/>
          <w:b/>
          <w:szCs w:val="22"/>
        </w:rPr>
      </w:pPr>
      <w:r w:rsidRPr="005675B0">
        <w:rPr>
          <w:rFonts w:cs="Arial"/>
          <w:b/>
          <w:szCs w:val="22"/>
        </w:rPr>
        <w:t>Application, saving and transitional provisions for provisions and amendments</w:t>
      </w:r>
    </w:p>
    <w:p w:rsidR="00F715C9" w:rsidRPr="005675B0" w:rsidRDefault="00F715C9" w:rsidP="00C502A0">
      <w:pPr>
        <w:spacing w:after="120"/>
        <w:rPr>
          <w:rFonts w:cs="Arial"/>
          <w:szCs w:val="22"/>
        </w:rPr>
      </w:pPr>
      <w:r w:rsidRPr="005675B0">
        <w:rPr>
          <w:rFonts w:cs="Arial"/>
          <w:szCs w:val="22"/>
        </w:rPr>
        <w:t>If the operation of a provision or amendment of the compiled law is affected by an application, saving or transitional provision that is not included in this compilation, details are included in the endnotes.</w:t>
      </w:r>
    </w:p>
    <w:p w:rsidR="00F715C9" w:rsidRPr="005675B0" w:rsidRDefault="00F715C9" w:rsidP="00C502A0">
      <w:pPr>
        <w:spacing w:after="120"/>
        <w:rPr>
          <w:rFonts w:cs="Arial"/>
          <w:b/>
          <w:szCs w:val="22"/>
        </w:rPr>
      </w:pPr>
      <w:r w:rsidRPr="005675B0">
        <w:rPr>
          <w:rFonts w:cs="Arial"/>
          <w:b/>
          <w:szCs w:val="22"/>
        </w:rPr>
        <w:t>Editorial changes</w:t>
      </w:r>
    </w:p>
    <w:p w:rsidR="00F715C9" w:rsidRPr="005675B0" w:rsidRDefault="00F715C9" w:rsidP="00C502A0">
      <w:pPr>
        <w:spacing w:after="120"/>
        <w:rPr>
          <w:rFonts w:cs="Arial"/>
          <w:szCs w:val="22"/>
        </w:rPr>
      </w:pPr>
      <w:r w:rsidRPr="005675B0">
        <w:rPr>
          <w:rFonts w:cs="Arial"/>
          <w:szCs w:val="22"/>
        </w:rPr>
        <w:t>For more information about any editorial changes made in this compilation, see the endnotes.</w:t>
      </w:r>
    </w:p>
    <w:p w:rsidR="00F715C9" w:rsidRPr="005675B0" w:rsidRDefault="00F715C9" w:rsidP="00C502A0">
      <w:pPr>
        <w:spacing w:before="120" w:after="120"/>
        <w:rPr>
          <w:rFonts w:cs="Arial"/>
          <w:b/>
          <w:szCs w:val="22"/>
        </w:rPr>
      </w:pPr>
      <w:r w:rsidRPr="005675B0">
        <w:rPr>
          <w:rFonts w:cs="Arial"/>
          <w:b/>
          <w:szCs w:val="22"/>
        </w:rPr>
        <w:t>Modifications</w:t>
      </w:r>
    </w:p>
    <w:p w:rsidR="00F715C9" w:rsidRPr="005675B0" w:rsidRDefault="00F715C9" w:rsidP="00C502A0">
      <w:pPr>
        <w:spacing w:after="120"/>
        <w:rPr>
          <w:rFonts w:cs="Arial"/>
          <w:szCs w:val="22"/>
        </w:rPr>
      </w:pPr>
      <w:r w:rsidRPr="005675B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715C9" w:rsidRPr="005675B0" w:rsidRDefault="00F715C9" w:rsidP="00C502A0">
      <w:pPr>
        <w:spacing w:before="80" w:after="120"/>
        <w:rPr>
          <w:rFonts w:cs="Arial"/>
          <w:b/>
          <w:szCs w:val="22"/>
        </w:rPr>
      </w:pPr>
      <w:r w:rsidRPr="005675B0">
        <w:rPr>
          <w:rFonts w:cs="Arial"/>
          <w:b/>
          <w:szCs w:val="22"/>
        </w:rPr>
        <w:t>Self</w:t>
      </w:r>
      <w:r w:rsidR="005675B0">
        <w:rPr>
          <w:rFonts w:cs="Arial"/>
          <w:b/>
          <w:szCs w:val="22"/>
        </w:rPr>
        <w:noBreakHyphen/>
      </w:r>
      <w:r w:rsidRPr="005675B0">
        <w:rPr>
          <w:rFonts w:cs="Arial"/>
          <w:b/>
          <w:szCs w:val="22"/>
        </w:rPr>
        <w:t>repealing provisions</w:t>
      </w:r>
    </w:p>
    <w:p w:rsidR="00F715C9" w:rsidRPr="005675B0" w:rsidRDefault="00F715C9" w:rsidP="00C502A0">
      <w:pPr>
        <w:spacing w:after="120"/>
        <w:rPr>
          <w:rFonts w:cs="Arial"/>
          <w:szCs w:val="22"/>
        </w:rPr>
      </w:pPr>
      <w:r w:rsidRPr="005675B0">
        <w:rPr>
          <w:rFonts w:cs="Arial"/>
          <w:szCs w:val="22"/>
        </w:rPr>
        <w:t>If a provision of the compiled law has been repealed in accordance with a provision of the law, details are included in the endnotes.</w:t>
      </w:r>
    </w:p>
    <w:p w:rsidR="00F715C9" w:rsidRPr="005675B0" w:rsidRDefault="00F715C9" w:rsidP="00C502A0">
      <w:pPr>
        <w:pStyle w:val="Header"/>
        <w:tabs>
          <w:tab w:val="clear" w:pos="4150"/>
          <w:tab w:val="clear" w:pos="8307"/>
        </w:tabs>
      </w:pPr>
      <w:r w:rsidRPr="005675B0">
        <w:rPr>
          <w:rStyle w:val="CharChapNo"/>
        </w:rPr>
        <w:t xml:space="preserve"> </w:t>
      </w:r>
      <w:r w:rsidRPr="005675B0">
        <w:rPr>
          <w:rStyle w:val="CharChapText"/>
        </w:rPr>
        <w:t xml:space="preserve"> </w:t>
      </w:r>
    </w:p>
    <w:p w:rsidR="00F715C9" w:rsidRPr="005675B0" w:rsidRDefault="00F715C9" w:rsidP="00C502A0">
      <w:pPr>
        <w:pStyle w:val="Header"/>
        <w:tabs>
          <w:tab w:val="clear" w:pos="4150"/>
          <w:tab w:val="clear" w:pos="8307"/>
        </w:tabs>
      </w:pPr>
      <w:r w:rsidRPr="005675B0">
        <w:rPr>
          <w:rStyle w:val="CharPartNo"/>
        </w:rPr>
        <w:t xml:space="preserve"> </w:t>
      </w:r>
      <w:r w:rsidRPr="005675B0">
        <w:rPr>
          <w:rStyle w:val="CharPartText"/>
        </w:rPr>
        <w:t xml:space="preserve"> </w:t>
      </w:r>
    </w:p>
    <w:p w:rsidR="00F715C9" w:rsidRPr="005675B0" w:rsidRDefault="00F715C9" w:rsidP="00C502A0">
      <w:pPr>
        <w:pStyle w:val="Header"/>
        <w:tabs>
          <w:tab w:val="clear" w:pos="4150"/>
          <w:tab w:val="clear" w:pos="8307"/>
        </w:tabs>
      </w:pPr>
      <w:r w:rsidRPr="005675B0">
        <w:rPr>
          <w:rStyle w:val="CharDivNo"/>
        </w:rPr>
        <w:t xml:space="preserve"> </w:t>
      </w:r>
      <w:r w:rsidRPr="005675B0">
        <w:rPr>
          <w:rStyle w:val="CharDivText"/>
        </w:rPr>
        <w:t xml:space="preserve"> </w:t>
      </w:r>
    </w:p>
    <w:p w:rsidR="00F715C9" w:rsidRPr="005675B0" w:rsidRDefault="00F715C9" w:rsidP="00C502A0">
      <w:pPr>
        <w:sectPr w:rsidR="00F715C9" w:rsidRPr="005675B0" w:rsidSect="0020514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DE27A5" w:rsidRPr="005675B0" w:rsidRDefault="00DE27A5" w:rsidP="00A12A1D">
      <w:pPr>
        <w:keepNext/>
        <w:rPr>
          <w:sz w:val="36"/>
        </w:rPr>
      </w:pPr>
      <w:r w:rsidRPr="005675B0">
        <w:rPr>
          <w:sz w:val="36"/>
        </w:rPr>
        <w:lastRenderedPageBreak/>
        <w:t>Contents</w:t>
      </w:r>
    </w:p>
    <w:p w:rsidR="005675B0" w:rsidRDefault="00C02731" w:rsidP="005675B0">
      <w:pPr>
        <w:pStyle w:val="TOC2"/>
        <w:keepNext w:val="0"/>
        <w:ind w:right="1792"/>
        <w:rPr>
          <w:rFonts w:asciiTheme="minorHAnsi" w:eastAsiaTheme="minorEastAsia" w:hAnsiTheme="minorHAnsi" w:cstheme="minorBidi"/>
          <w:b w:val="0"/>
          <w:noProof/>
          <w:kern w:val="0"/>
          <w:sz w:val="22"/>
          <w:szCs w:val="22"/>
        </w:rPr>
      </w:pPr>
      <w:r w:rsidRPr="005675B0">
        <w:fldChar w:fldCharType="begin"/>
      </w:r>
      <w:r w:rsidRPr="005675B0">
        <w:instrText xml:space="preserve"> TOC \o "1-9" </w:instrText>
      </w:r>
      <w:r w:rsidRPr="005675B0">
        <w:fldChar w:fldCharType="separate"/>
      </w:r>
      <w:r w:rsidR="005675B0">
        <w:rPr>
          <w:noProof/>
        </w:rPr>
        <w:t>Part 1—Preliminary</w:t>
      </w:r>
      <w:r w:rsidR="005675B0" w:rsidRPr="005675B0">
        <w:rPr>
          <w:b w:val="0"/>
          <w:noProof/>
          <w:sz w:val="18"/>
        </w:rPr>
        <w:tab/>
      </w:r>
      <w:r w:rsidR="005675B0" w:rsidRPr="005675B0">
        <w:rPr>
          <w:b w:val="0"/>
          <w:noProof/>
          <w:sz w:val="18"/>
        </w:rPr>
        <w:fldChar w:fldCharType="begin"/>
      </w:r>
      <w:r w:rsidR="005675B0" w:rsidRPr="005675B0">
        <w:rPr>
          <w:b w:val="0"/>
          <w:noProof/>
          <w:sz w:val="18"/>
        </w:rPr>
        <w:instrText xml:space="preserve"> PAGEREF _Toc46238130 \h </w:instrText>
      </w:r>
      <w:r w:rsidR="005675B0" w:rsidRPr="005675B0">
        <w:rPr>
          <w:b w:val="0"/>
          <w:noProof/>
          <w:sz w:val="18"/>
        </w:rPr>
      </w:r>
      <w:r w:rsidR="005675B0" w:rsidRPr="005675B0">
        <w:rPr>
          <w:b w:val="0"/>
          <w:noProof/>
          <w:sz w:val="18"/>
        </w:rPr>
        <w:fldChar w:fldCharType="separate"/>
      </w:r>
      <w:r w:rsidR="00174663">
        <w:rPr>
          <w:b w:val="0"/>
          <w:noProof/>
          <w:sz w:val="18"/>
        </w:rPr>
        <w:t>1</w:t>
      </w:r>
      <w:r w:rsidR="005675B0"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5675B0">
        <w:rPr>
          <w:noProof/>
        </w:rPr>
        <w:tab/>
      </w:r>
      <w:r w:rsidRPr="005675B0">
        <w:rPr>
          <w:noProof/>
        </w:rPr>
        <w:fldChar w:fldCharType="begin"/>
      </w:r>
      <w:r w:rsidRPr="005675B0">
        <w:rPr>
          <w:noProof/>
        </w:rPr>
        <w:instrText xml:space="preserve"> PAGEREF _Toc46238131 \h </w:instrText>
      </w:r>
      <w:r w:rsidRPr="005675B0">
        <w:rPr>
          <w:noProof/>
        </w:rPr>
      </w:r>
      <w:r w:rsidRPr="005675B0">
        <w:rPr>
          <w:noProof/>
        </w:rPr>
        <w:fldChar w:fldCharType="separate"/>
      </w:r>
      <w:r w:rsidR="00174663">
        <w:rPr>
          <w:noProof/>
        </w:rPr>
        <w:t>1</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w:t>
      </w:r>
      <w:r>
        <w:rPr>
          <w:noProof/>
        </w:rPr>
        <w:tab/>
        <w:t>Definitions</w:t>
      </w:r>
      <w:r w:rsidRPr="005675B0">
        <w:rPr>
          <w:noProof/>
        </w:rPr>
        <w:tab/>
      </w:r>
      <w:r w:rsidRPr="005675B0">
        <w:rPr>
          <w:noProof/>
        </w:rPr>
        <w:fldChar w:fldCharType="begin"/>
      </w:r>
      <w:r w:rsidRPr="005675B0">
        <w:rPr>
          <w:noProof/>
        </w:rPr>
        <w:instrText xml:space="preserve"> PAGEREF _Toc46238132 \h </w:instrText>
      </w:r>
      <w:r w:rsidRPr="005675B0">
        <w:rPr>
          <w:noProof/>
        </w:rPr>
      </w:r>
      <w:r w:rsidRPr="005675B0">
        <w:rPr>
          <w:noProof/>
        </w:rPr>
        <w:fldChar w:fldCharType="separate"/>
      </w:r>
      <w:r w:rsidR="00174663">
        <w:rPr>
          <w:noProof/>
        </w:rPr>
        <w:t>1</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2A</w:t>
      </w:r>
      <w:r>
        <w:rPr>
          <w:noProof/>
        </w:rPr>
        <w:tab/>
        <w:t>Territorial application of Act</w:t>
      </w:r>
      <w:r w:rsidRPr="005675B0">
        <w:rPr>
          <w:noProof/>
        </w:rPr>
        <w:tab/>
      </w:r>
      <w:r w:rsidRPr="005675B0">
        <w:rPr>
          <w:noProof/>
        </w:rPr>
        <w:fldChar w:fldCharType="begin"/>
      </w:r>
      <w:r w:rsidRPr="005675B0">
        <w:rPr>
          <w:noProof/>
        </w:rPr>
        <w:instrText xml:space="preserve"> PAGEREF _Toc46238133 \h </w:instrText>
      </w:r>
      <w:r w:rsidRPr="005675B0">
        <w:rPr>
          <w:noProof/>
        </w:rPr>
      </w:r>
      <w:r w:rsidRPr="005675B0">
        <w:rPr>
          <w:noProof/>
        </w:rPr>
        <w:fldChar w:fldCharType="separate"/>
      </w:r>
      <w:r w:rsidR="00174663">
        <w:rPr>
          <w:noProof/>
        </w:rPr>
        <w:t>1</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2AC</w:t>
      </w:r>
      <w:r>
        <w:rPr>
          <w:noProof/>
        </w:rPr>
        <w:tab/>
        <w:t>Professional accounting bodies</w:t>
      </w:r>
      <w:r w:rsidRPr="005675B0">
        <w:rPr>
          <w:noProof/>
        </w:rPr>
        <w:tab/>
      </w:r>
      <w:r w:rsidRPr="005675B0">
        <w:rPr>
          <w:noProof/>
        </w:rPr>
        <w:fldChar w:fldCharType="begin"/>
      </w:r>
      <w:r w:rsidRPr="005675B0">
        <w:rPr>
          <w:noProof/>
        </w:rPr>
        <w:instrText xml:space="preserve"> PAGEREF _Toc46238134 \h </w:instrText>
      </w:r>
      <w:r w:rsidRPr="005675B0">
        <w:rPr>
          <w:noProof/>
        </w:rPr>
      </w:r>
      <w:r w:rsidRPr="005675B0">
        <w:rPr>
          <w:noProof/>
        </w:rPr>
        <w:fldChar w:fldCharType="separate"/>
      </w:r>
      <w:r w:rsidR="00174663">
        <w:rPr>
          <w:noProof/>
        </w:rPr>
        <w:t>2</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2B</w:t>
      </w:r>
      <w:r>
        <w:rPr>
          <w:noProof/>
        </w:rPr>
        <w:tab/>
        <w:t>Financial products: credit facility</w:t>
      </w:r>
      <w:r w:rsidRPr="005675B0">
        <w:rPr>
          <w:noProof/>
        </w:rPr>
        <w:tab/>
      </w:r>
      <w:r w:rsidRPr="005675B0">
        <w:rPr>
          <w:noProof/>
        </w:rPr>
        <w:fldChar w:fldCharType="begin"/>
      </w:r>
      <w:r w:rsidRPr="005675B0">
        <w:rPr>
          <w:noProof/>
        </w:rPr>
        <w:instrText xml:space="preserve"> PAGEREF _Toc46238135 \h </w:instrText>
      </w:r>
      <w:r w:rsidRPr="005675B0">
        <w:rPr>
          <w:noProof/>
        </w:rPr>
      </w:r>
      <w:r w:rsidRPr="005675B0">
        <w:rPr>
          <w:noProof/>
        </w:rPr>
        <w:fldChar w:fldCharType="separate"/>
      </w:r>
      <w:r w:rsidR="00174663">
        <w:rPr>
          <w:noProof/>
        </w:rPr>
        <w:t>2</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2BA</w:t>
      </w:r>
      <w:r>
        <w:rPr>
          <w:noProof/>
        </w:rPr>
        <w:tab/>
        <w:t>Declared financial product</w:t>
      </w:r>
      <w:r w:rsidRPr="005675B0">
        <w:rPr>
          <w:noProof/>
        </w:rPr>
        <w:tab/>
      </w:r>
      <w:r w:rsidRPr="005675B0">
        <w:rPr>
          <w:noProof/>
        </w:rPr>
        <w:fldChar w:fldCharType="begin"/>
      </w:r>
      <w:r w:rsidRPr="005675B0">
        <w:rPr>
          <w:noProof/>
        </w:rPr>
        <w:instrText xml:space="preserve"> PAGEREF _Toc46238136 \h </w:instrText>
      </w:r>
      <w:r w:rsidRPr="005675B0">
        <w:rPr>
          <w:noProof/>
        </w:rPr>
      </w:r>
      <w:r w:rsidRPr="005675B0">
        <w:rPr>
          <w:noProof/>
        </w:rPr>
        <w:fldChar w:fldCharType="separate"/>
      </w:r>
      <w:r w:rsidR="00174663">
        <w:rPr>
          <w:noProof/>
        </w:rPr>
        <w:t>3</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2BB</w:t>
      </w:r>
      <w:r>
        <w:rPr>
          <w:noProof/>
        </w:rPr>
        <w:tab/>
        <w:t>Specific things that are not financial products—Australian carbon credit units and eligible international emissions units</w:t>
      </w:r>
      <w:r w:rsidRPr="005675B0">
        <w:rPr>
          <w:noProof/>
        </w:rPr>
        <w:tab/>
      </w:r>
      <w:r w:rsidRPr="005675B0">
        <w:rPr>
          <w:noProof/>
        </w:rPr>
        <w:fldChar w:fldCharType="begin"/>
      </w:r>
      <w:r w:rsidRPr="005675B0">
        <w:rPr>
          <w:noProof/>
        </w:rPr>
        <w:instrText xml:space="preserve"> PAGEREF _Toc46238137 \h </w:instrText>
      </w:r>
      <w:r w:rsidRPr="005675B0">
        <w:rPr>
          <w:noProof/>
        </w:rPr>
      </w:r>
      <w:r w:rsidRPr="005675B0">
        <w:rPr>
          <w:noProof/>
        </w:rPr>
        <w:fldChar w:fldCharType="separate"/>
      </w:r>
      <w:r w:rsidR="00174663">
        <w:rPr>
          <w:noProof/>
        </w:rPr>
        <w:t>3</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2BC</w:t>
      </w:r>
      <w:r>
        <w:rPr>
          <w:noProof/>
        </w:rPr>
        <w:tab/>
        <w:t>Specific things that are not financial products—certain tradeable water rights</w:t>
      </w:r>
      <w:r w:rsidRPr="005675B0">
        <w:rPr>
          <w:noProof/>
        </w:rPr>
        <w:tab/>
      </w:r>
      <w:r w:rsidRPr="005675B0">
        <w:rPr>
          <w:noProof/>
        </w:rPr>
        <w:fldChar w:fldCharType="begin"/>
      </w:r>
      <w:r w:rsidRPr="005675B0">
        <w:rPr>
          <w:noProof/>
        </w:rPr>
        <w:instrText xml:space="preserve"> PAGEREF _Toc46238138 \h </w:instrText>
      </w:r>
      <w:r w:rsidRPr="005675B0">
        <w:rPr>
          <w:noProof/>
        </w:rPr>
      </w:r>
      <w:r w:rsidRPr="005675B0">
        <w:rPr>
          <w:noProof/>
        </w:rPr>
        <w:fldChar w:fldCharType="separate"/>
      </w:r>
      <w:r w:rsidR="00174663">
        <w:rPr>
          <w:noProof/>
        </w:rPr>
        <w:t>4</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2BD</w:t>
      </w:r>
      <w:r>
        <w:rPr>
          <w:noProof/>
        </w:rPr>
        <w:tab/>
        <w:t>Specific things that are not financial products—guarantees issued by the NHFIC</w:t>
      </w:r>
      <w:r w:rsidRPr="005675B0">
        <w:rPr>
          <w:noProof/>
        </w:rPr>
        <w:tab/>
      </w:r>
      <w:r w:rsidRPr="005675B0">
        <w:rPr>
          <w:noProof/>
        </w:rPr>
        <w:fldChar w:fldCharType="begin"/>
      </w:r>
      <w:r w:rsidRPr="005675B0">
        <w:rPr>
          <w:noProof/>
        </w:rPr>
        <w:instrText xml:space="preserve"> PAGEREF _Toc46238139 \h </w:instrText>
      </w:r>
      <w:r w:rsidRPr="005675B0">
        <w:rPr>
          <w:noProof/>
        </w:rPr>
      </w:r>
      <w:r w:rsidRPr="005675B0">
        <w:rPr>
          <w:noProof/>
        </w:rPr>
        <w:fldChar w:fldCharType="separate"/>
      </w:r>
      <w:r w:rsidR="00174663">
        <w:rPr>
          <w:noProof/>
        </w:rPr>
        <w:t>4</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2C</w:t>
      </w:r>
      <w:r>
        <w:rPr>
          <w:noProof/>
        </w:rPr>
        <w:tab/>
        <w:t xml:space="preserve">Meaning of </w:t>
      </w:r>
      <w:r w:rsidRPr="009D2BC3">
        <w:rPr>
          <w:i/>
          <w:noProof/>
        </w:rPr>
        <w:t>financial service—</w:t>
      </w:r>
      <w:r>
        <w:rPr>
          <w:noProof/>
        </w:rPr>
        <w:t>off</w:t>
      </w:r>
      <w:r>
        <w:rPr>
          <w:noProof/>
        </w:rPr>
        <w:noBreakHyphen/>
        <w:t>market offers for financial products</w:t>
      </w:r>
      <w:r w:rsidRPr="005675B0">
        <w:rPr>
          <w:noProof/>
        </w:rPr>
        <w:tab/>
      </w:r>
      <w:r w:rsidRPr="005675B0">
        <w:rPr>
          <w:noProof/>
        </w:rPr>
        <w:fldChar w:fldCharType="begin"/>
      </w:r>
      <w:r w:rsidRPr="005675B0">
        <w:rPr>
          <w:noProof/>
        </w:rPr>
        <w:instrText xml:space="preserve"> PAGEREF _Toc46238140 \h </w:instrText>
      </w:r>
      <w:r w:rsidRPr="005675B0">
        <w:rPr>
          <w:noProof/>
        </w:rPr>
      </w:r>
      <w:r w:rsidRPr="005675B0">
        <w:rPr>
          <w:noProof/>
        </w:rPr>
        <w:fldChar w:fldCharType="separate"/>
      </w:r>
      <w:r w:rsidR="00174663">
        <w:rPr>
          <w:noProof/>
        </w:rPr>
        <w:t>5</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2D</w:t>
      </w:r>
      <w:r>
        <w:rPr>
          <w:noProof/>
        </w:rPr>
        <w:tab/>
        <w:t>Circumstances in which a person is taken to be provided a traditional trustee company service</w:t>
      </w:r>
      <w:r w:rsidRPr="005675B0">
        <w:rPr>
          <w:noProof/>
        </w:rPr>
        <w:tab/>
      </w:r>
      <w:r w:rsidRPr="005675B0">
        <w:rPr>
          <w:noProof/>
        </w:rPr>
        <w:fldChar w:fldCharType="begin"/>
      </w:r>
      <w:r w:rsidRPr="005675B0">
        <w:rPr>
          <w:noProof/>
        </w:rPr>
        <w:instrText xml:space="preserve"> PAGEREF _Toc46238141 \h </w:instrText>
      </w:r>
      <w:r w:rsidRPr="005675B0">
        <w:rPr>
          <w:noProof/>
        </w:rPr>
      </w:r>
      <w:r w:rsidRPr="005675B0">
        <w:rPr>
          <w:noProof/>
        </w:rPr>
        <w:fldChar w:fldCharType="separate"/>
      </w:r>
      <w:r w:rsidR="00174663">
        <w:rPr>
          <w:noProof/>
        </w:rPr>
        <w:t>5</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2E</w:t>
      </w:r>
      <w:r>
        <w:rPr>
          <w:noProof/>
        </w:rPr>
        <w:tab/>
        <w:t xml:space="preserve">Prescribed requirements for definition of </w:t>
      </w:r>
      <w:r w:rsidRPr="009D2BC3">
        <w:rPr>
          <w:i/>
          <w:noProof/>
        </w:rPr>
        <w:t>assert a right to payment</w:t>
      </w:r>
      <w:r w:rsidRPr="005675B0">
        <w:rPr>
          <w:noProof/>
        </w:rPr>
        <w:tab/>
      </w:r>
      <w:r w:rsidRPr="005675B0">
        <w:rPr>
          <w:noProof/>
        </w:rPr>
        <w:fldChar w:fldCharType="begin"/>
      </w:r>
      <w:r w:rsidRPr="005675B0">
        <w:rPr>
          <w:noProof/>
        </w:rPr>
        <w:instrText xml:space="preserve"> PAGEREF _Toc46238142 \h </w:instrText>
      </w:r>
      <w:r w:rsidRPr="005675B0">
        <w:rPr>
          <w:noProof/>
        </w:rPr>
      </w:r>
      <w:r w:rsidRPr="005675B0">
        <w:rPr>
          <w:noProof/>
        </w:rPr>
        <w:fldChar w:fldCharType="separate"/>
      </w:r>
      <w:r w:rsidR="00174663">
        <w:rPr>
          <w:noProof/>
        </w:rPr>
        <w:t>5</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2F</w:t>
      </w:r>
      <w:r>
        <w:rPr>
          <w:noProof/>
        </w:rPr>
        <w:tab/>
        <w:t>Prescribed requirements for warning statements</w:t>
      </w:r>
      <w:r w:rsidRPr="005675B0">
        <w:rPr>
          <w:noProof/>
        </w:rPr>
        <w:tab/>
      </w:r>
      <w:r w:rsidRPr="005675B0">
        <w:rPr>
          <w:noProof/>
        </w:rPr>
        <w:fldChar w:fldCharType="begin"/>
      </w:r>
      <w:r w:rsidRPr="005675B0">
        <w:rPr>
          <w:noProof/>
        </w:rPr>
        <w:instrText xml:space="preserve"> PAGEREF _Toc46238143 \h </w:instrText>
      </w:r>
      <w:r w:rsidRPr="005675B0">
        <w:rPr>
          <w:noProof/>
        </w:rPr>
      </w:r>
      <w:r w:rsidRPr="005675B0">
        <w:rPr>
          <w:noProof/>
        </w:rPr>
        <w:fldChar w:fldCharType="separate"/>
      </w:r>
      <w:r w:rsidR="00174663">
        <w:rPr>
          <w:noProof/>
        </w:rPr>
        <w:t>5</w:t>
      </w:r>
      <w:r w:rsidRPr="005675B0">
        <w:rPr>
          <w:noProof/>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Part 2—General</w:t>
      </w:r>
      <w:r w:rsidRPr="005675B0">
        <w:rPr>
          <w:b w:val="0"/>
          <w:noProof/>
          <w:sz w:val="18"/>
        </w:rPr>
        <w:tab/>
      </w:r>
      <w:r w:rsidRPr="005675B0">
        <w:rPr>
          <w:b w:val="0"/>
          <w:noProof/>
          <w:sz w:val="18"/>
        </w:rPr>
        <w:fldChar w:fldCharType="begin"/>
      </w:r>
      <w:r w:rsidRPr="005675B0">
        <w:rPr>
          <w:b w:val="0"/>
          <w:noProof/>
          <w:sz w:val="18"/>
        </w:rPr>
        <w:instrText xml:space="preserve"> PAGEREF _Toc46238144 \h </w:instrText>
      </w:r>
      <w:r w:rsidRPr="005675B0">
        <w:rPr>
          <w:b w:val="0"/>
          <w:noProof/>
          <w:sz w:val="18"/>
        </w:rPr>
      </w:r>
      <w:r w:rsidRPr="005675B0">
        <w:rPr>
          <w:b w:val="0"/>
          <w:noProof/>
          <w:sz w:val="18"/>
        </w:rPr>
        <w:fldChar w:fldCharType="separate"/>
      </w:r>
      <w:r w:rsidR="00174663">
        <w:rPr>
          <w:b w:val="0"/>
          <w:noProof/>
          <w:sz w:val="18"/>
        </w:rPr>
        <w:t>6</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3A</w:t>
      </w:r>
      <w:r>
        <w:rPr>
          <w:noProof/>
        </w:rPr>
        <w:tab/>
        <w:t>Professional standards schemes</w:t>
      </w:r>
      <w:r w:rsidRPr="005675B0">
        <w:rPr>
          <w:noProof/>
        </w:rPr>
        <w:tab/>
      </w:r>
      <w:r w:rsidRPr="005675B0">
        <w:rPr>
          <w:noProof/>
        </w:rPr>
        <w:fldChar w:fldCharType="begin"/>
      </w:r>
      <w:r w:rsidRPr="005675B0">
        <w:rPr>
          <w:noProof/>
        </w:rPr>
        <w:instrText xml:space="preserve"> PAGEREF _Toc46238145 \h </w:instrText>
      </w:r>
      <w:r w:rsidRPr="005675B0">
        <w:rPr>
          <w:noProof/>
        </w:rPr>
      </w:r>
      <w:r w:rsidRPr="005675B0">
        <w:rPr>
          <w:noProof/>
        </w:rPr>
        <w:fldChar w:fldCharType="separate"/>
      </w:r>
      <w:r w:rsidR="00174663">
        <w:rPr>
          <w:noProof/>
        </w:rPr>
        <w:t>6</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w:t>
      </w:r>
      <w:r>
        <w:rPr>
          <w:noProof/>
        </w:rPr>
        <w:tab/>
        <w:t>Prescribed agencies (Act s 18(2)(d))</w:t>
      </w:r>
      <w:r w:rsidRPr="005675B0">
        <w:rPr>
          <w:noProof/>
        </w:rPr>
        <w:tab/>
      </w:r>
      <w:r w:rsidRPr="005675B0">
        <w:rPr>
          <w:noProof/>
        </w:rPr>
        <w:fldChar w:fldCharType="begin"/>
      </w:r>
      <w:r w:rsidRPr="005675B0">
        <w:rPr>
          <w:noProof/>
        </w:rPr>
        <w:instrText xml:space="preserve"> PAGEREF _Toc46238146 \h </w:instrText>
      </w:r>
      <w:r w:rsidRPr="005675B0">
        <w:rPr>
          <w:noProof/>
        </w:rPr>
      </w:r>
      <w:r w:rsidRPr="005675B0">
        <w:rPr>
          <w:noProof/>
        </w:rPr>
        <w:fldChar w:fldCharType="separate"/>
      </w:r>
      <w:r w:rsidR="00174663">
        <w:rPr>
          <w:noProof/>
        </w:rPr>
        <w:t>8</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w:t>
      </w:r>
      <w:r>
        <w:rPr>
          <w:noProof/>
        </w:rPr>
        <w:tab/>
        <w:t>Form of notice requiring assistance and appearance for examination</w:t>
      </w:r>
      <w:r w:rsidRPr="005675B0">
        <w:rPr>
          <w:noProof/>
        </w:rPr>
        <w:tab/>
      </w:r>
      <w:r w:rsidRPr="005675B0">
        <w:rPr>
          <w:noProof/>
        </w:rPr>
        <w:fldChar w:fldCharType="begin"/>
      </w:r>
      <w:r w:rsidRPr="005675B0">
        <w:rPr>
          <w:noProof/>
        </w:rPr>
        <w:instrText xml:space="preserve"> PAGEREF _Toc46238147 \h </w:instrText>
      </w:r>
      <w:r w:rsidRPr="005675B0">
        <w:rPr>
          <w:noProof/>
        </w:rPr>
      </w:r>
      <w:r w:rsidRPr="005675B0">
        <w:rPr>
          <w:noProof/>
        </w:rPr>
        <w:fldChar w:fldCharType="separate"/>
      </w:r>
      <w:r w:rsidR="00174663">
        <w:rPr>
          <w:noProof/>
        </w:rPr>
        <w:t>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5</w:t>
      </w:r>
      <w:r>
        <w:rPr>
          <w:noProof/>
        </w:rPr>
        <w:tab/>
        <w:t>Notice to produce books</w:t>
      </w:r>
      <w:r w:rsidRPr="005675B0">
        <w:rPr>
          <w:noProof/>
        </w:rPr>
        <w:tab/>
      </w:r>
      <w:r w:rsidRPr="005675B0">
        <w:rPr>
          <w:noProof/>
        </w:rPr>
        <w:fldChar w:fldCharType="begin"/>
      </w:r>
      <w:r w:rsidRPr="005675B0">
        <w:rPr>
          <w:noProof/>
        </w:rPr>
        <w:instrText xml:space="preserve"> PAGEREF _Toc46238148 \h </w:instrText>
      </w:r>
      <w:r w:rsidRPr="005675B0">
        <w:rPr>
          <w:noProof/>
        </w:rPr>
      </w:r>
      <w:r w:rsidRPr="005675B0">
        <w:rPr>
          <w:noProof/>
        </w:rPr>
        <w:fldChar w:fldCharType="separate"/>
      </w:r>
      <w:r w:rsidR="00174663">
        <w:rPr>
          <w:noProof/>
        </w:rPr>
        <w:t>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6</w:t>
      </w:r>
      <w:r>
        <w:rPr>
          <w:noProof/>
        </w:rPr>
        <w:tab/>
        <w:t>Evidence of authority</w:t>
      </w:r>
      <w:r w:rsidRPr="005675B0">
        <w:rPr>
          <w:noProof/>
        </w:rPr>
        <w:tab/>
      </w:r>
      <w:r w:rsidRPr="005675B0">
        <w:rPr>
          <w:noProof/>
        </w:rPr>
        <w:fldChar w:fldCharType="begin"/>
      </w:r>
      <w:r w:rsidRPr="005675B0">
        <w:rPr>
          <w:noProof/>
        </w:rPr>
        <w:instrText xml:space="preserve"> PAGEREF _Toc46238149 \h </w:instrText>
      </w:r>
      <w:r w:rsidRPr="005675B0">
        <w:rPr>
          <w:noProof/>
        </w:rPr>
      </w:r>
      <w:r w:rsidRPr="005675B0">
        <w:rPr>
          <w:noProof/>
        </w:rPr>
        <w:fldChar w:fldCharType="separate"/>
      </w:r>
      <w:r w:rsidR="00174663">
        <w:rPr>
          <w:noProof/>
        </w:rPr>
        <w:t>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7</w:t>
      </w:r>
      <w:r>
        <w:rPr>
          <w:noProof/>
        </w:rPr>
        <w:tab/>
        <w:t>Summons to witnesses to appear before Commission</w:t>
      </w:r>
      <w:r w:rsidRPr="005675B0">
        <w:rPr>
          <w:noProof/>
        </w:rPr>
        <w:tab/>
      </w:r>
      <w:r w:rsidRPr="005675B0">
        <w:rPr>
          <w:noProof/>
        </w:rPr>
        <w:fldChar w:fldCharType="begin"/>
      </w:r>
      <w:r w:rsidRPr="005675B0">
        <w:rPr>
          <w:noProof/>
        </w:rPr>
        <w:instrText xml:space="preserve"> PAGEREF _Toc46238150 \h </w:instrText>
      </w:r>
      <w:r w:rsidRPr="005675B0">
        <w:rPr>
          <w:noProof/>
        </w:rPr>
      </w:r>
      <w:r w:rsidRPr="005675B0">
        <w:rPr>
          <w:noProof/>
        </w:rPr>
        <w:fldChar w:fldCharType="separate"/>
      </w:r>
      <w:r w:rsidR="00174663">
        <w:rPr>
          <w:noProof/>
        </w:rPr>
        <w:t>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8</w:t>
      </w:r>
      <w:r>
        <w:rPr>
          <w:noProof/>
        </w:rPr>
        <w:tab/>
        <w:t>Allowances and expenses payable to examinees and witnesses</w:t>
      </w:r>
      <w:r w:rsidRPr="005675B0">
        <w:rPr>
          <w:noProof/>
        </w:rPr>
        <w:tab/>
      </w:r>
      <w:r w:rsidRPr="005675B0">
        <w:rPr>
          <w:noProof/>
        </w:rPr>
        <w:fldChar w:fldCharType="begin"/>
      </w:r>
      <w:r w:rsidRPr="005675B0">
        <w:rPr>
          <w:noProof/>
        </w:rPr>
        <w:instrText xml:space="preserve"> PAGEREF _Toc46238151 \h </w:instrText>
      </w:r>
      <w:r w:rsidRPr="005675B0">
        <w:rPr>
          <w:noProof/>
        </w:rPr>
      </w:r>
      <w:r w:rsidRPr="005675B0">
        <w:rPr>
          <w:noProof/>
        </w:rPr>
        <w:fldChar w:fldCharType="separate"/>
      </w:r>
      <w:r w:rsidR="00174663">
        <w:rPr>
          <w:noProof/>
        </w:rPr>
        <w:t>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8AA</w:t>
      </w:r>
      <w:r>
        <w:rPr>
          <w:noProof/>
        </w:rPr>
        <w:tab/>
        <w:t>Prescribed professional disciplinary and other bodies</w:t>
      </w:r>
      <w:r w:rsidRPr="005675B0">
        <w:rPr>
          <w:noProof/>
        </w:rPr>
        <w:tab/>
      </w:r>
      <w:r w:rsidRPr="005675B0">
        <w:rPr>
          <w:noProof/>
        </w:rPr>
        <w:fldChar w:fldCharType="begin"/>
      </w:r>
      <w:r w:rsidRPr="005675B0">
        <w:rPr>
          <w:noProof/>
        </w:rPr>
        <w:instrText xml:space="preserve"> PAGEREF _Toc46238152 \h </w:instrText>
      </w:r>
      <w:r w:rsidRPr="005675B0">
        <w:rPr>
          <w:noProof/>
        </w:rPr>
      </w:r>
      <w:r w:rsidRPr="005675B0">
        <w:rPr>
          <w:noProof/>
        </w:rPr>
        <w:fldChar w:fldCharType="separate"/>
      </w:r>
      <w:r w:rsidR="00174663">
        <w:rPr>
          <w:noProof/>
        </w:rPr>
        <w:t>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8A</w:t>
      </w:r>
      <w:r>
        <w:rPr>
          <w:noProof/>
        </w:rPr>
        <w:tab/>
        <w:t>Commission may disclose confidential information to certain bodies corporate</w:t>
      </w:r>
      <w:r w:rsidRPr="005675B0">
        <w:rPr>
          <w:noProof/>
        </w:rPr>
        <w:tab/>
      </w:r>
      <w:r w:rsidRPr="005675B0">
        <w:rPr>
          <w:noProof/>
        </w:rPr>
        <w:fldChar w:fldCharType="begin"/>
      </w:r>
      <w:r w:rsidRPr="005675B0">
        <w:rPr>
          <w:noProof/>
        </w:rPr>
        <w:instrText xml:space="preserve"> PAGEREF _Toc46238153 \h </w:instrText>
      </w:r>
      <w:r w:rsidRPr="005675B0">
        <w:rPr>
          <w:noProof/>
        </w:rPr>
      </w:r>
      <w:r w:rsidRPr="005675B0">
        <w:rPr>
          <w:noProof/>
        </w:rPr>
        <w:fldChar w:fldCharType="separate"/>
      </w:r>
      <w:r w:rsidR="00174663">
        <w:rPr>
          <w:noProof/>
        </w:rPr>
        <w:t>10</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8AAA</w:t>
      </w:r>
      <w:r>
        <w:rPr>
          <w:noProof/>
        </w:rPr>
        <w:tab/>
        <w:t>Annual reports</w:t>
      </w:r>
      <w:r w:rsidRPr="005675B0">
        <w:rPr>
          <w:noProof/>
        </w:rPr>
        <w:tab/>
      </w:r>
      <w:r w:rsidRPr="005675B0">
        <w:rPr>
          <w:noProof/>
        </w:rPr>
        <w:fldChar w:fldCharType="begin"/>
      </w:r>
      <w:r w:rsidRPr="005675B0">
        <w:rPr>
          <w:noProof/>
        </w:rPr>
        <w:instrText xml:space="preserve"> PAGEREF _Toc46238154 \h </w:instrText>
      </w:r>
      <w:r w:rsidRPr="005675B0">
        <w:rPr>
          <w:noProof/>
        </w:rPr>
      </w:r>
      <w:r w:rsidRPr="005675B0">
        <w:rPr>
          <w:noProof/>
        </w:rPr>
        <w:fldChar w:fldCharType="separate"/>
      </w:r>
      <w:r w:rsidR="00174663">
        <w:rPr>
          <w:noProof/>
        </w:rPr>
        <w:t>10</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8B</w:t>
      </w:r>
      <w:r>
        <w:rPr>
          <w:noProof/>
        </w:rPr>
        <w:tab/>
        <w:t>Prescribed body</w:t>
      </w:r>
      <w:r w:rsidRPr="005675B0">
        <w:rPr>
          <w:noProof/>
        </w:rPr>
        <w:tab/>
      </w:r>
      <w:r w:rsidRPr="005675B0">
        <w:rPr>
          <w:noProof/>
        </w:rPr>
        <w:fldChar w:fldCharType="begin"/>
      </w:r>
      <w:r w:rsidRPr="005675B0">
        <w:rPr>
          <w:noProof/>
        </w:rPr>
        <w:instrText xml:space="preserve"> PAGEREF _Toc46238155 \h </w:instrText>
      </w:r>
      <w:r w:rsidRPr="005675B0">
        <w:rPr>
          <w:noProof/>
        </w:rPr>
      </w:r>
      <w:r w:rsidRPr="005675B0">
        <w:rPr>
          <w:noProof/>
        </w:rPr>
        <w:fldChar w:fldCharType="separate"/>
      </w:r>
      <w:r w:rsidR="00174663">
        <w:rPr>
          <w:noProof/>
        </w:rPr>
        <w:t>12</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11</w:t>
      </w:r>
      <w:r>
        <w:rPr>
          <w:noProof/>
        </w:rPr>
        <w:tab/>
        <w:t>Summons to witnesses to appear before Disciplinary Board</w:t>
      </w:r>
      <w:r w:rsidRPr="005675B0">
        <w:rPr>
          <w:noProof/>
        </w:rPr>
        <w:tab/>
      </w:r>
      <w:r w:rsidRPr="005675B0">
        <w:rPr>
          <w:noProof/>
        </w:rPr>
        <w:fldChar w:fldCharType="begin"/>
      </w:r>
      <w:r w:rsidRPr="005675B0">
        <w:rPr>
          <w:noProof/>
        </w:rPr>
        <w:instrText xml:space="preserve"> PAGEREF _Toc46238156 \h </w:instrText>
      </w:r>
      <w:r w:rsidRPr="005675B0">
        <w:rPr>
          <w:noProof/>
        </w:rPr>
      </w:r>
      <w:r w:rsidRPr="005675B0">
        <w:rPr>
          <w:noProof/>
        </w:rPr>
        <w:fldChar w:fldCharType="separate"/>
      </w:r>
      <w:r w:rsidR="00174663">
        <w:rPr>
          <w:noProof/>
        </w:rPr>
        <w:t>12</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12</w:t>
      </w:r>
      <w:r>
        <w:rPr>
          <w:noProof/>
        </w:rPr>
        <w:tab/>
        <w:t>Allowances and expenses payable for attendance at hearings of Disciplinary Board</w:t>
      </w:r>
      <w:r w:rsidRPr="005675B0">
        <w:rPr>
          <w:noProof/>
        </w:rPr>
        <w:tab/>
      </w:r>
      <w:r w:rsidRPr="005675B0">
        <w:rPr>
          <w:noProof/>
        </w:rPr>
        <w:fldChar w:fldCharType="begin"/>
      </w:r>
      <w:r w:rsidRPr="005675B0">
        <w:rPr>
          <w:noProof/>
        </w:rPr>
        <w:instrText xml:space="preserve"> PAGEREF _Toc46238157 \h </w:instrText>
      </w:r>
      <w:r w:rsidRPr="005675B0">
        <w:rPr>
          <w:noProof/>
        </w:rPr>
      </w:r>
      <w:r w:rsidRPr="005675B0">
        <w:rPr>
          <w:noProof/>
        </w:rPr>
        <w:fldChar w:fldCharType="separate"/>
      </w:r>
      <w:r w:rsidR="00174663">
        <w:rPr>
          <w:noProof/>
        </w:rPr>
        <w:t>12</w:t>
      </w:r>
      <w:r w:rsidRPr="005675B0">
        <w:rPr>
          <w:noProof/>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Part 3—Panel Procedures</w:t>
      </w:r>
      <w:r w:rsidRPr="005675B0">
        <w:rPr>
          <w:b w:val="0"/>
          <w:noProof/>
          <w:sz w:val="18"/>
        </w:rPr>
        <w:tab/>
      </w:r>
      <w:r w:rsidRPr="005675B0">
        <w:rPr>
          <w:b w:val="0"/>
          <w:noProof/>
          <w:sz w:val="18"/>
        </w:rPr>
        <w:fldChar w:fldCharType="begin"/>
      </w:r>
      <w:r w:rsidRPr="005675B0">
        <w:rPr>
          <w:b w:val="0"/>
          <w:noProof/>
          <w:sz w:val="18"/>
        </w:rPr>
        <w:instrText xml:space="preserve"> PAGEREF _Toc46238158 \h </w:instrText>
      </w:r>
      <w:r w:rsidRPr="005675B0">
        <w:rPr>
          <w:b w:val="0"/>
          <w:noProof/>
          <w:sz w:val="18"/>
        </w:rPr>
      </w:r>
      <w:r w:rsidRPr="005675B0">
        <w:rPr>
          <w:b w:val="0"/>
          <w:noProof/>
          <w:sz w:val="18"/>
        </w:rPr>
        <w:fldChar w:fldCharType="separate"/>
      </w:r>
      <w:r w:rsidR="00174663">
        <w:rPr>
          <w:b w:val="0"/>
          <w:noProof/>
          <w:sz w:val="18"/>
        </w:rPr>
        <w:t>13</w:t>
      </w:r>
      <w:r w:rsidRPr="005675B0">
        <w:rPr>
          <w:b w:val="0"/>
          <w:noProof/>
          <w:sz w:val="18"/>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Division 1—Preliminary</w:t>
      </w:r>
      <w:r w:rsidRPr="005675B0">
        <w:rPr>
          <w:b w:val="0"/>
          <w:noProof/>
          <w:sz w:val="18"/>
        </w:rPr>
        <w:tab/>
      </w:r>
      <w:r w:rsidRPr="005675B0">
        <w:rPr>
          <w:b w:val="0"/>
          <w:noProof/>
          <w:sz w:val="18"/>
        </w:rPr>
        <w:fldChar w:fldCharType="begin"/>
      </w:r>
      <w:r w:rsidRPr="005675B0">
        <w:rPr>
          <w:b w:val="0"/>
          <w:noProof/>
          <w:sz w:val="18"/>
        </w:rPr>
        <w:instrText xml:space="preserve"> PAGEREF _Toc46238159 \h </w:instrText>
      </w:r>
      <w:r w:rsidRPr="005675B0">
        <w:rPr>
          <w:b w:val="0"/>
          <w:noProof/>
          <w:sz w:val="18"/>
        </w:rPr>
      </w:r>
      <w:r w:rsidRPr="005675B0">
        <w:rPr>
          <w:b w:val="0"/>
          <w:noProof/>
          <w:sz w:val="18"/>
        </w:rPr>
        <w:fldChar w:fldCharType="separate"/>
      </w:r>
      <w:r w:rsidR="00174663">
        <w:rPr>
          <w:b w:val="0"/>
          <w:noProof/>
          <w:sz w:val="18"/>
        </w:rPr>
        <w:t>13</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13</w:t>
      </w:r>
      <w:r>
        <w:rPr>
          <w:noProof/>
        </w:rPr>
        <w:tab/>
        <w:t>Objects of this Part</w:t>
      </w:r>
      <w:r w:rsidRPr="005675B0">
        <w:rPr>
          <w:noProof/>
        </w:rPr>
        <w:tab/>
      </w:r>
      <w:r w:rsidRPr="005675B0">
        <w:rPr>
          <w:noProof/>
        </w:rPr>
        <w:fldChar w:fldCharType="begin"/>
      </w:r>
      <w:r w:rsidRPr="005675B0">
        <w:rPr>
          <w:noProof/>
        </w:rPr>
        <w:instrText xml:space="preserve"> PAGEREF _Toc46238160 \h </w:instrText>
      </w:r>
      <w:r w:rsidRPr="005675B0">
        <w:rPr>
          <w:noProof/>
        </w:rPr>
      </w:r>
      <w:r w:rsidRPr="005675B0">
        <w:rPr>
          <w:noProof/>
        </w:rPr>
        <w:fldChar w:fldCharType="separate"/>
      </w:r>
      <w:r w:rsidR="00174663">
        <w:rPr>
          <w:noProof/>
        </w:rPr>
        <w:t>13</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14</w:t>
      </w:r>
      <w:r>
        <w:rPr>
          <w:noProof/>
        </w:rPr>
        <w:tab/>
        <w:t>Application of this Part</w:t>
      </w:r>
      <w:r w:rsidRPr="005675B0">
        <w:rPr>
          <w:noProof/>
        </w:rPr>
        <w:tab/>
      </w:r>
      <w:r w:rsidRPr="005675B0">
        <w:rPr>
          <w:noProof/>
        </w:rPr>
        <w:fldChar w:fldCharType="begin"/>
      </w:r>
      <w:r w:rsidRPr="005675B0">
        <w:rPr>
          <w:noProof/>
        </w:rPr>
        <w:instrText xml:space="preserve"> PAGEREF _Toc46238161 \h </w:instrText>
      </w:r>
      <w:r w:rsidRPr="005675B0">
        <w:rPr>
          <w:noProof/>
        </w:rPr>
      </w:r>
      <w:r w:rsidRPr="005675B0">
        <w:rPr>
          <w:noProof/>
        </w:rPr>
        <w:fldChar w:fldCharType="separate"/>
      </w:r>
      <w:r w:rsidR="00174663">
        <w:rPr>
          <w:noProof/>
        </w:rPr>
        <w:t>13</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15</w:t>
      </w:r>
      <w:r>
        <w:rPr>
          <w:noProof/>
        </w:rPr>
        <w:tab/>
        <w:t>Definitions for Part 3</w:t>
      </w:r>
      <w:r w:rsidRPr="005675B0">
        <w:rPr>
          <w:noProof/>
        </w:rPr>
        <w:tab/>
      </w:r>
      <w:r w:rsidRPr="005675B0">
        <w:rPr>
          <w:noProof/>
        </w:rPr>
        <w:fldChar w:fldCharType="begin"/>
      </w:r>
      <w:r w:rsidRPr="005675B0">
        <w:rPr>
          <w:noProof/>
        </w:rPr>
        <w:instrText xml:space="preserve"> PAGEREF _Toc46238162 \h </w:instrText>
      </w:r>
      <w:r w:rsidRPr="005675B0">
        <w:rPr>
          <w:noProof/>
        </w:rPr>
      </w:r>
      <w:r w:rsidRPr="005675B0">
        <w:rPr>
          <w:noProof/>
        </w:rPr>
        <w:fldChar w:fldCharType="separate"/>
      </w:r>
      <w:r w:rsidR="00174663">
        <w:rPr>
          <w:noProof/>
        </w:rPr>
        <w:t>13</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16</w:t>
      </w:r>
      <w:r>
        <w:rPr>
          <w:noProof/>
        </w:rPr>
        <w:tab/>
        <w:t>Powers of Panel</w:t>
      </w:r>
      <w:r w:rsidRPr="005675B0">
        <w:rPr>
          <w:noProof/>
        </w:rPr>
        <w:tab/>
      </w:r>
      <w:r w:rsidRPr="005675B0">
        <w:rPr>
          <w:noProof/>
        </w:rPr>
        <w:fldChar w:fldCharType="begin"/>
      </w:r>
      <w:r w:rsidRPr="005675B0">
        <w:rPr>
          <w:noProof/>
        </w:rPr>
        <w:instrText xml:space="preserve"> PAGEREF _Toc46238163 \h </w:instrText>
      </w:r>
      <w:r w:rsidRPr="005675B0">
        <w:rPr>
          <w:noProof/>
        </w:rPr>
      </w:r>
      <w:r w:rsidRPr="005675B0">
        <w:rPr>
          <w:noProof/>
        </w:rPr>
        <w:fldChar w:fldCharType="separate"/>
      </w:r>
      <w:r w:rsidR="00174663">
        <w:rPr>
          <w:noProof/>
        </w:rPr>
        <w:t>13</w:t>
      </w:r>
      <w:r w:rsidRPr="005675B0">
        <w:rPr>
          <w:noProof/>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Division 2—Applications</w:t>
      </w:r>
      <w:r w:rsidRPr="005675B0">
        <w:rPr>
          <w:b w:val="0"/>
          <w:noProof/>
          <w:sz w:val="18"/>
        </w:rPr>
        <w:tab/>
      </w:r>
      <w:r w:rsidRPr="005675B0">
        <w:rPr>
          <w:b w:val="0"/>
          <w:noProof/>
          <w:sz w:val="18"/>
        </w:rPr>
        <w:fldChar w:fldCharType="begin"/>
      </w:r>
      <w:r w:rsidRPr="005675B0">
        <w:rPr>
          <w:b w:val="0"/>
          <w:noProof/>
          <w:sz w:val="18"/>
        </w:rPr>
        <w:instrText xml:space="preserve"> PAGEREF _Toc46238164 \h </w:instrText>
      </w:r>
      <w:r w:rsidRPr="005675B0">
        <w:rPr>
          <w:b w:val="0"/>
          <w:noProof/>
          <w:sz w:val="18"/>
        </w:rPr>
      </w:r>
      <w:r w:rsidRPr="005675B0">
        <w:rPr>
          <w:b w:val="0"/>
          <w:noProof/>
          <w:sz w:val="18"/>
        </w:rPr>
        <w:fldChar w:fldCharType="separate"/>
      </w:r>
      <w:r w:rsidR="00174663">
        <w:rPr>
          <w:b w:val="0"/>
          <w:noProof/>
          <w:sz w:val="18"/>
        </w:rPr>
        <w:t>15</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18</w:t>
      </w:r>
      <w:r>
        <w:rPr>
          <w:noProof/>
        </w:rPr>
        <w:tab/>
        <w:t>Reference of matters to the Commission by the Panel</w:t>
      </w:r>
      <w:r w:rsidRPr="005675B0">
        <w:rPr>
          <w:noProof/>
        </w:rPr>
        <w:tab/>
      </w:r>
      <w:r w:rsidRPr="005675B0">
        <w:rPr>
          <w:noProof/>
        </w:rPr>
        <w:fldChar w:fldCharType="begin"/>
      </w:r>
      <w:r w:rsidRPr="005675B0">
        <w:rPr>
          <w:noProof/>
        </w:rPr>
        <w:instrText xml:space="preserve"> PAGEREF _Toc46238165 \h </w:instrText>
      </w:r>
      <w:r w:rsidRPr="005675B0">
        <w:rPr>
          <w:noProof/>
        </w:rPr>
      </w:r>
      <w:r w:rsidRPr="005675B0">
        <w:rPr>
          <w:noProof/>
        </w:rPr>
        <w:fldChar w:fldCharType="separate"/>
      </w:r>
      <w:r w:rsidR="00174663">
        <w:rPr>
          <w:noProof/>
        </w:rPr>
        <w:t>15</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19</w:t>
      </w:r>
      <w:r>
        <w:rPr>
          <w:noProof/>
        </w:rPr>
        <w:tab/>
        <w:t>Making of applications</w:t>
      </w:r>
      <w:r w:rsidRPr="005675B0">
        <w:rPr>
          <w:noProof/>
        </w:rPr>
        <w:tab/>
      </w:r>
      <w:r w:rsidRPr="005675B0">
        <w:rPr>
          <w:noProof/>
        </w:rPr>
        <w:fldChar w:fldCharType="begin"/>
      </w:r>
      <w:r w:rsidRPr="005675B0">
        <w:rPr>
          <w:noProof/>
        </w:rPr>
        <w:instrText xml:space="preserve"> PAGEREF _Toc46238166 \h </w:instrText>
      </w:r>
      <w:r w:rsidRPr="005675B0">
        <w:rPr>
          <w:noProof/>
        </w:rPr>
      </w:r>
      <w:r w:rsidRPr="005675B0">
        <w:rPr>
          <w:noProof/>
        </w:rPr>
        <w:fldChar w:fldCharType="separate"/>
      </w:r>
      <w:r w:rsidR="00174663">
        <w:rPr>
          <w:noProof/>
        </w:rPr>
        <w:t>15</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lastRenderedPageBreak/>
        <w:t>20</w:t>
      </w:r>
      <w:r>
        <w:rPr>
          <w:noProof/>
        </w:rPr>
        <w:tab/>
        <w:t>Consideration of applications</w:t>
      </w:r>
      <w:r w:rsidRPr="005675B0">
        <w:rPr>
          <w:noProof/>
        </w:rPr>
        <w:tab/>
      </w:r>
      <w:r w:rsidRPr="005675B0">
        <w:rPr>
          <w:noProof/>
        </w:rPr>
        <w:fldChar w:fldCharType="begin"/>
      </w:r>
      <w:r w:rsidRPr="005675B0">
        <w:rPr>
          <w:noProof/>
        </w:rPr>
        <w:instrText xml:space="preserve"> PAGEREF _Toc46238167 \h </w:instrText>
      </w:r>
      <w:r w:rsidRPr="005675B0">
        <w:rPr>
          <w:noProof/>
        </w:rPr>
      </w:r>
      <w:r w:rsidRPr="005675B0">
        <w:rPr>
          <w:noProof/>
        </w:rPr>
        <w:fldChar w:fldCharType="separate"/>
      </w:r>
      <w:r w:rsidR="00174663">
        <w:rPr>
          <w:noProof/>
        </w:rPr>
        <w:t>15</w:t>
      </w:r>
      <w:r w:rsidRPr="005675B0">
        <w:rPr>
          <w:noProof/>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Division 3—Decisions to conduct proceedings</w:t>
      </w:r>
      <w:r w:rsidRPr="005675B0">
        <w:rPr>
          <w:b w:val="0"/>
          <w:noProof/>
          <w:sz w:val="18"/>
        </w:rPr>
        <w:tab/>
      </w:r>
      <w:r w:rsidRPr="005675B0">
        <w:rPr>
          <w:b w:val="0"/>
          <w:noProof/>
          <w:sz w:val="18"/>
        </w:rPr>
        <w:fldChar w:fldCharType="begin"/>
      </w:r>
      <w:r w:rsidRPr="005675B0">
        <w:rPr>
          <w:b w:val="0"/>
          <w:noProof/>
          <w:sz w:val="18"/>
        </w:rPr>
        <w:instrText xml:space="preserve"> PAGEREF _Toc46238168 \h </w:instrText>
      </w:r>
      <w:r w:rsidRPr="005675B0">
        <w:rPr>
          <w:b w:val="0"/>
          <w:noProof/>
          <w:sz w:val="18"/>
        </w:rPr>
      </w:r>
      <w:r w:rsidRPr="005675B0">
        <w:rPr>
          <w:b w:val="0"/>
          <w:noProof/>
          <w:sz w:val="18"/>
        </w:rPr>
        <w:fldChar w:fldCharType="separate"/>
      </w:r>
      <w:r w:rsidR="00174663">
        <w:rPr>
          <w:b w:val="0"/>
          <w:noProof/>
          <w:sz w:val="18"/>
        </w:rPr>
        <w:t>16</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21</w:t>
      </w:r>
      <w:r>
        <w:rPr>
          <w:noProof/>
        </w:rPr>
        <w:tab/>
        <w:t>Notice of decision</w:t>
      </w:r>
      <w:r w:rsidRPr="005675B0">
        <w:rPr>
          <w:noProof/>
        </w:rPr>
        <w:tab/>
      </w:r>
      <w:r w:rsidRPr="005675B0">
        <w:rPr>
          <w:noProof/>
        </w:rPr>
        <w:fldChar w:fldCharType="begin"/>
      </w:r>
      <w:r w:rsidRPr="005675B0">
        <w:rPr>
          <w:noProof/>
        </w:rPr>
        <w:instrText xml:space="preserve"> PAGEREF _Toc46238169 \h </w:instrText>
      </w:r>
      <w:r w:rsidRPr="005675B0">
        <w:rPr>
          <w:noProof/>
        </w:rPr>
      </w:r>
      <w:r w:rsidRPr="005675B0">
        <w:rPr>
          <w:noProof/>
        </w:rPr>
        <w:fldChar w:fldCharType="separate"/>
      </w:r>
      <w:r w:rsidR="00174663">
        <w:rPr>
          <w:noProof/>
        </w:rPr>
        <w:t>16</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22</w:t>
      </w:r>
      <w:r>
        <w:rPr>
          <w:noProof/>
        </w:rPr>
        <w:tab/>
        <w:t>Decision to hold inquiry</w:t>
      </w:r>
      <w:r w:rsidRPr="005675B0">
        <w:rPr>
          <w:noProof/>
        </w:rPr>
        <w:tab/>
      </w:r>
      <w:r w:rsidRPr="005675B0">
        <w:rPr>
          <w:noProof/>
        </w:rPr>
        <w:fldChar w:fldCharType="begin"/>
      </w:r>
      <w:r w:rsidRPr="005675B0">
        <w:rPr>
          <w:noProof/>
        </w:rPr>
        <w:instrText xml:space="preserve"> PAGEREF _Toc46238170 \h </w:instrText>
      </w:r>
      <w:r w:rsidRPr="005675B0">
        <w:rPr>
          <w:noProof/>
        </w:rPr>
      </w:r>
      <w:r w:rsidRPr="005675B0">
        <w:rPr>
          <w:noProof/>
        </w:rPr>
        <w:fldChar w:fldCharType="separate"/>
      </w:r>
      <w:r w:rsidR="00174663">
        <w:rPr>
          <w:noProof/>
        </w:rPr>
        <w:t>16</w:t>
      </w:r>
      <w:r w:rsidRPr="005675B0">
        <w:rPr>
          <w:noProof/>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Division 4—Submissions</w:t>
      </w:r>
      <w:r w:rsidRPr="005675B0">
        <w:rPr>
          <w:b w:val="0"/>
          <w:noProof/>
          <w:sz w:val="18"/>
        </w:rPr>
        <w:tab/>
      </w:r>
      <w:r w:rsidRPr="005675B0">
        <w:rPr>
          <w:b w:val="0"/>
          <w:noProof/>
          <w:sz w:val="18"/>
        </w:rPr>
        <w:fldChar w:fldCharType="begin"/>
      </w:r>
      <w:r w:rsidRPr="005675B0">
        <w:rPr>
          <w:b w:val="0"/>
          <w:noProof/>
          <w:sz w:val="18"/>
        </w:rPr>
        <w:instrText xml:space="preserve"> PAGEREF _Toc46238171 \h </w:instrText>
      </w:r>
      <w:r w:rsidRPr="005675B0">
        <w:rPr>
          <w:b w:val="0"/>
          <w:noProof/>
          <w:sz w:val="18"/>
        </w:rPr>
      </w:r>
      <w:r w:rsidRPr="005675B0">
        <w:rPr>
          <w:b w:val="0"/>
          <w:noProof/>
          <w:sz w:val="18"/>
        </w:rPr>
        <w:fldChar w:fldCharType="separate"/>
      </w:r>
      <w:r w:rsidR="00174663">
        <w:rPr>
          <w:b w:val="0"/>
          <w:noProof/>
          <w:sz w:val="18"/>
        </w:rPr>
        <w:t>17</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23</w:t>
      </w:r>
      <w:r>
        <w:rPr>
          <w:noProof/>
        </w:rPr>
        <w:tab/>
        <w:t>Expressions of interest by non</w:t>
      </w:r>
      <w:r>
        <w:rPr>
          <w:noProof/>
        </w:rPr>
        <w:noBreakHyphen/>
        <w:t>parties</w:t>
      </w:r>
      <w:r w:rsidRPr="005675B0">
        <w:rPr>
          <w:noProof/>
        </w:rPr>
        <w:tab/>
      </w:r>
      <w:r w:rsidRPr="005675B0">
        <w:rPr>
          <w:noProof/>
        </w:rPr>
        <w:fldChar w:fldCharType="begin"/>
      </w:r>
      <w:r w:rsidRPr="005675B0">
        <w:rPr>
          <w:noProof/>
        </w:rPr>
        <w:instrText xml:space="preserve"> PAGEREF _Toc46238172 \h </w:instrText>
      </w:r>
      <w:r w:rsidRPr="005675B0">
        <w:rPr>
          <w:noProof/>
        </w:rPr>
      </w:r>
      <w:r w:rsidRPr="005675B0">
        <w:rPr>
          <w:noProof/>
        </w:rPr>
        <w:fldChar w:fldCharType="separate"/>
      </w:r>
      <w:r w:rsidR="00174663">
        <w:rPr>
          <w:noProof/>
        </w:rPr>
        <w:t>17</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24</w:t>
      </w:r>
      <w:r>
        <w:rPr>
          <w:noProof/>
        </w:rPr>
        <w:tab/>
        <w:t>Panel may accept submissions from persons expressing interest</w:t>
      </w:r>
      <w:r w:rsidRPr="005675B0">
        <w:rPr>
          <w:noProof/>
        </w:rPr>
        <w:tab/>
      </w:r>
      <w:r w:rsidRPr="005675B0">
        <w:rPr>
          <w:noProof/>
        </w:rPr>
        <w:fldChar w:fldCharType="begin"/>
      </w:r>
      <w:r w:rsidRPr="005675B0">
        <w:rPr>
          <w:noProof/>
        </w:rPr>
        <w:instrText xml:space="preserve"> PAGEREF _Toc46238173 \h </w:instrText>
      </w:r>
      <w:r w:rsidRPr="005675B0">
        <w:rPr>
          <w:noProof/>
        </w:rPr>
      </w:r>
      <w:r w:rsidRPr="005675B0">
        <w:rPr>
          <w:noProof/>
        </w:rPr>
        <w:fldChar w:fldCharType="separate"/>
      </w:r>
      <w:r w:rsidR="00174663">
        <w:rPr>
          <w:noProof/>
        </w:rPr>
        <w:t>17</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25</w:t>
      </w:r>
      <w:r>
        <w:rPr>
          <w:noProof/>
        </w:rPr>
        <w:tab/>
        <w:t>Submissions</w:t>
      </w:r>
      <w:r w:rsidRPr="005675B0">
        <w:rPr>
          <w:noProof/>
        </w:rPr>
        <w:tab/>
      </w:r>
      <w:r w:rsidRPr="005675B0">
        <w:rPr>
          <w:noProof/>
        </w:rPr>
        <w:fldChar w:fldCharType="begin"/>
      </w:r>
      <w:r w:rsidRPr="005675B0">
        <w:rPr>
          <w:noProof/>
        </w:rPr>
        <w:instrText xml:space="preserve"> PAGEREF _Toc46238174 \h </w:instrText>
      </w:r>
      <w:r w:rsidRPr="005675B0">
        <w:rPr>
          <w:noProof/>
        </w:rPr>
      </w:r>
      <w:r w:rsidRPr="005675B0">
        <w:rPr>
          <w:noProof/>
        </w:rPr>
        <w:fldChar w:fldCharType="separate"/>
      </w:r>
      <w:r w:rsidR="00174663">
        <w:rPr>
          <w:noProof/>
        </w:rPr>
        <w:t>17</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26</w:t>
      </w:r>
      <w:r>
        <w:rPr>
          <w:noProof/>
        </w:rPr>
        <w:tab/>
        <w:t>Disregard of certain submissions</w:t>
      </w:r>
      <w:r w:rsidRPr="005675B0">
        <w:rPr>
          <w:noProof/>
        </w:rPr>
        <w:tab/>
      </w:r>
      <w:r w:rsidRPr="005675B0">
        <w:rPr>
          <w:noProof/>
        </w:rPr>
        <w:fldChar w:fldCharType="begin"/>
      </w:r>
      <w:r w:rsidRPr="005675B0">
        <w:rPr>
          <w:noProof/>
        </w:rPr>
        <w:instrText xml:space="preserve"> PAGEREF _Toc46238175 \h </w:instrText>
      </w:r>
      <w:r w:rsidRPr="005675B0">
        <w:rPr>
          <w:noProof/>
        </w:rPr>
      </w:r>
      <w:r w:rsidRPr="005675B0">
        <w:rPr>
          <w:noProof/>
        </w:rPr>
        <w:fldChar w:fldCharType="separate"/>
      </w:r>
      <w:r w:rsidR="00174663">
        <w:rPr>
          <w:noProof/>
        </w:rPr>
        <w:t>17</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27</w:t>
      </w:r>
      <w:r>
        <w:rPr>
          <w:noProof/>
        </w:rPr>
        <w:tab/>
        <w:t>Abuse of Panel procedures to be noted</w:t>
      </w:r>
      <w:r w:rsidRPr="005675B0">
        <w:rPr>
          <w:noProof/>
        </w:rPr>
        <w:tab/>
      </w:r>
      <w:r w:rsidRPr="005675B0">
        <w:rPr>
          <w:noProof/>
        </w:rPr>
        <w:fldChar w:fldCharType="begin"/>
      </w:r>
      <w:r w:rsidRPr="005675B0">
        <w:rPr>
          <w:noProof/>
        </w:rPr>
        <w:instrText xml:space="preserve"> PAGEREF _Toc46238176 \h </w:instrText>
      </w:r>
      <w:r w:rsidRPr="005675B0">
        <w:rPr>
          <w:noProof/>
        </w:rPr>
      </w:r>
      <w:r w:rsidRPr="005675B0">
        <w:rPr>
          <w:noProof/>
        </w:rPr>
        <w:fldChar w:fldCharType="separate"/>
      </w:r>
      <w:r w:rsidR="00174663">
        <w:rPr>
          <w:noProof/>
        </w:rPr>
        <w:t>18</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28</w:t>
      </w:r>
      <w:r>
        <w:rPr>
          <w:noProof/>
        </w:rPr>
        <w:tab/>
        <w:t>Lodgment and distribution of submissions</w:t>
      </w:r>
      <w:r w:rsidRPr="005675B0">
        <w:rPr>
          <w:noProof/>
        </w:rPr>
        <w:tab/>
      </w:r>
      <w:r w:rsidRPr="005675B0">
        <w:rPr>
          <w:noProof/>
        </w:rPr>
        <w:fldChar w:fldCharType="begin"/>
      </w:r>
      <w:r w:rsidRPr="005675B0">
        <w:rPr>
          <w:noProof/>
        </w:rPr>
        <w:instrText xml:space="preserve"> PAGEREF _Toc46238177 \h </w:instrText>
      </w:r>
      <w:r w:rsidRPr="005675B0">
        <w:rPr>
          <w:noProof/>
        </w:rPr>
      </w:r>
      <w:r w:rsidRPr="005675B0">
        <w:rPr>
          <w:noProof/>
        </w:rPr>
        <w:fldChar w:fldCharType="separate"/>
      </w:r>
      <w:r w:rsidR="00174663">
        <w:rPr>
          <w:noProof/>
        </w:rPr>
        <w:t>18</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30</w:t>
      </w:r>
      <w:r>
        <w:rPr>
          <w:noProof/>
        </w:rPr>
        <w:tab/>
        <w:t>Panel may invite further submissions</w:t>
      </w:r>
      <w:r w:rsidRPr="005675B0">
        <w:rPr>
          <w:noProof/>
        </w:rPr>
        <w:tab/>
      </w:r>
      <w:r w:rsidRPr="005675B0">
        <w:rPr>
          <w:noProof/>
        </w:rPr>
        <w:fldChar w:fldCharType="begin"/>
      </w:r>
      <w:r w:rsidRPr="005675B0">
        <w:rPr>
          <w:noProof/>
        </w:rPr>
        <w:instrText xml:space="preserve"> PAGEREF _Toc46238178 \h </w:instrText>
      </w:r>
      <w:r w:rsidRPr="005675B0">
        <w:rPr>
          <w:noProof/>
        </w:rPr>
      </w:r>
      <w:r w:rsidRPr="005675B0">
        <w:rPr>
          <w:noProof/>
        </w:rPr>
        <w:fldChar w:fldCharType="separate"/>
      </w:r>
      <w:r w:rsidR="00174663">
        <w:rPr>
          <w:noProof/>
        </w:rPr>
        <w:t>18</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34</w:t>
      </w:r>
      <w:r>
        <w:rPr>
          <w:noProof/>
        </w:rPr>
        <w:tab/>
        <w:t>Submissions that are not lodged in time</w:t>
      </w:r>
      <w:r w:rsidRPr="005675B0">
        <w:rPr>
          <w:noProof/>
        </w:rPr>
        <w:tab/>
      </w:r>
      <w:r w:rsidRPr="005675B0">
        <w:rPr>
          <w:noProof/>
        </w:rPr>
        <w:fldChar w:fldCharType="begin"/>
      </w:r>
      <w:r w:rsidRPr="005675B0">
        <w:rPr>
          <w:noProof/>
        </w:rPr>
        <w:instrText xml:space="preserve"> PAGEREF _Toc46238179 \h </w:instrText>
      </w:r>
      <w:r w:rsidRPr="005675B0">
        <w:rPr>
          <w:noProof/>
        </w:rPr>
      </w:r>
      <w:r w:rsidRPr="005675B0">
        <w:rPr>
          <w:noProof/>
        </w:rPr>
        <w:fldChar w:fldCharType="separate"/>
      </w:r>
      <w:r w:rsidR="00174663">
        <w:rPr>
          <w:noProof/>
        </w:rPr>
        <w:t>18</w:t>
      </w:r>
      <w:r w:rsidRPr="005675B0">
        <w:rPr>
          <w:noProof/>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Division 5—Conferences</w:t>
      </w:r>
      <w:r w:rsidRPr="005675B0">
        <w:rPr>
          <w:b w:val="0"/>
          <w:noProof/>
          <w:sz w:val="18"/>
        </w:rPr>
        <w:tab/>
      </w:r>
      <w:r w:rsidRPr="005675B0">
        <w:rPr>
          <w:b w:val="0"/>
          <w:noProof/>
          <w:sz w:val="18"/>
        </w:rPr>
        <w:fldChar w:fldCharType="begin"/>
      </w:r>
      <w:r w:rsidRPr="005675B0">
        <w:rPr>
          <w:b w:val="0"/>
          <w:noProof/>
          <w:sz w:val="18"/>
        </w:rPr>
        <w:instrText xml:space="preserve"> PAGEREF _Toc46238180 \h </w:instrText>
      </w:r>
      <w:r w:rsidRPr="005675B0">
        <w:rPr>
          <w:b w:val="0"/>
          <w:noProof/>
          <w:sz w:val="18"/>
        </w:rPr>
      </w:r>
      <w:r w:rsidRPr="005675B0">
        <w:rPr>
          <w:b w:val="0"/>
          <w:noProof/>
          <w:sz w:val="18"/>
        </w:rPr>
        <w:fldChar w:fldCharType="separate"/>
      </w:r>
      <w:r w:rsidR="00174663">
        <w:rPr>
          <w:b w:val="0"/>
          <w:noProof/>
          <w:sz w:val="18"/>
        </w:rPr>
        <w:t>19</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35</w:t>
      </w:r>
      <w:r>
        <w:rPr>
          <w:noProof/>
        </w:rPr>
        <w:tab/>
        <w:t>Purpose of conferences</w:t>
      </w:r>
      <w:r w:rsidRPr="005675B0">
        <w:rPr>
          <w:noProof/>
        </w:rPr>
        <w:tab/>
      </w:r>
      <w:r w:rsidRPr="005675B0">
        <w:rPr>
          <w:noProof/>
        </w:rPr>
        <w:fldChar w:fldCharType="begin"/>
      </w:r>
      <w:r w:rsidRPr="005675B0">
        <w:rPr>
          <w:noProof/>
        </w:rPr>
        <w:instrText xml:space="preserve"> PAGEREF _Toc46238181 \h </w:instrText>
      </w:r>
      <w:r w:rsidRPr="005675B0">
        <w:rPr>
          <w:noProof/>
        </w:rPr>
      </w:r>
      <w:r w:rsidRPr="005675B0">
        <w:rPr>
          <w:noProof/>
        </w:rPr>
        <w:fldChar w:fldCharType="separate"/>
      </w:r>
      <w:r w:rsidR="00174663">
        <w:rPr>
          <w:noProof/>
        </w:rPr>
        <w:t>19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37</w:t>
      </w:r>
      <w:r>
        <w:rPr>
          <w:noProof/>
        </w:rPr>
        <w:tab/>
        <w:t>Conduct of conferences</w:t>
      </w:r>
      <w:r w:rsidRPr="005675B0">
        <w:rPr>
          <w:noProof/>
        </w:rPr>
        <w:tab/>
      </w:r>
      <w:r w:rsidRPr="005675B0">
        <w:rPr>
          <w:noProof/>
        </w:rPr>
        <w:fldChar w:fldCharType="begin"/>
      </w:r>
      <w:r w:rsidRPr="005675B0">
        <w:rPr>
          <w:noProof/>
        </w:rPr>
        <w:instrText xml:space="preserve"> PAGEREF _Toc46238182 \h </w:instrText>
      </w:r>
      <w:r w:rsidRPr="005675B0">
        <w:rPr>
          <w:noProof/>
        </w:rPr>
      </w:r>
      <w:r w:rsidRPr="005675B0">
        <w:rPr>
          <w:noProof/>
        </w:rPr>
        <w:fldChar w:fldCharType="separate"/>
      </w:r>
      <w:r w:rsidR="00174663">
        <w:rPr>
          <w:noProof/>
        </w:rPr>
        <w:t>19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38</w:t>
      </w:r>
      <w:r>
        <w:rPr>
          <w:noProof/>
        </w:rPr>
        <w:tab/>
        <w:t>Procedures at conferences</w:t>
      </w:r>
      <w:r w:rsidRPr="005675B0">
        <w:rPr>
          <w:noProof/>
        </w:rPr>
        <w:tab/>
      </w:r>
      <w:r w:rsidRPr="005675B0">
        <w:rPr>
          <w:noProof/>
        </w:rPr>
        <w:fldChar w:fldCharType="begin"/>
      </w:r>
      <w:r w:rsidRPr="005675B0">
        <w:rPr>
          <w:noProof/>
        </w:rPr>
        <w:instrText xml:space="preserve"> PAGEREF _Toc46238183 \h </w:instrText>
      </w:r>
      <w:r w:rsidRPr="005675B0">
        <w:rPr>
          <w:noProof/>
        </w:rPr>
      </w:r>
      <w:r w:rsidRPr="005675B0">
        <w:rPr>
          <w:noProof/>
        </w:rPr>
        <w:fldChar w:fldCharType="separate"/>
      </w:r>
      <w:r w:rsidR="00174663">
        <w:rPr>
          <w:noProof/>
        </w:rPr>
        <w:t>19</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39</w:t>
      </w:r>
      <w:r>
        <w:rPr>
          <w:noProof/>
        </w:rPr>
        <w:tab/>
        <w:t>Addresses to the Panel at conferences</w:t>
      </w:r>
      <w:r w:rsidRPr="005675B0">
        <w:rPr>
          <w:noProof/>
        </w:rPr>
        <w:tab/>
      </w:r>
      <w:r w:rsidRPr="005675B0">
        <w:rPr>
          <w:noProof/>
        </w:rPr>
        <w:fldChar w:fldCharType="begin"/>
      </w:r>
      <w:r w:rsidRPr="005675B0">
        <w:rPr>
          <w:noProof/>
        </w:rPr>
        <w:instrText xml:space="preserve"> PAGEREF _Toc46238184 \h </w:instrText>
      </w:r>
      <w:r w:rsidRPr="005675B0">
        <w:rPr>
          <w:noProof/>
        </w:rPr>
      </w:r>
      <w:r w:rsidRPr="005675B0">
        <w:rPr>
          <w:noProof/>
        </w:rPr>
        <w:fldChar w:fldCharType="separate"/>
      </w:r>
      <w:r w:rsidR="00174663">
        <w:rPr>
          <w:noProof/>
        </w:rPr>
        <w:t>20</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40</w:t>
      </w:r>
      <w:r>
        <w:rPr>
          <w:noProof/>
        </w:rPr>
        <w:tab/>
        <w:t>Witnesses</w:t>
      </w:r>
      <w:r w:rsidRPr="005675B0">
        <w:rPr>
          <w:noProof/>
        </w:rPr>
        <w:tab/>
      </w:r>
      <w:r w:rsidRPr="005675B0">
        <w:rPr>
          <w:noProof/>
        </w:rPr>
        <w:fldChar w:fldCharType="begin"/>
      </w:r>
      <w:r w:rsidRPr="005675B0">
        <w:rPr>
          <w:noProof/>
        </w:rPr>
        <w:instrText xml:space="preserve"> PAGEREF _Toc46238185 \h </w:instrText>
      </w:r>
      <w:r w:rsidRPr="005675B0">
        <w:rPr>
          <w:noProof/>
        </w:rPr>
      </w:r>
      <w:r w:rsidRPr="005675B0">
        <w:rPr>
          <w:noProof/>
        </w:rPr>
        <w:fldChar w:fldCharType="separate"/>
      </w:r>
      <w:r w:rsidR="00174663">
        <w:rPr>
          <w:noProof/>
        </w:rPr>
        <w:t>20</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41</w:t>
      </w:r>
      <w:r>
        <w:rPr>
          <w:noProof/>
        </w:rPr>
        <w:tab/>
        <w:t>Misbehaviour at conferences</w:t>
      </w:r>
      <w:r w:rsidRPr="005675B0">
        <w:rPr>
          <w:noProof/>
        </w:rPr>
        <w:tab/>
      </w:r>
      <w:r w:rsidRPr="005675B0">
        <w:rPr>
          <w:noProof/>
        </w:rPr>
        <w:fldChar w:fldCharType="begin"/>
      </w:r>
      <w:r w:rsidRPr="005675B0">
        <w:rPr>
          <w:noProof/>
        </w:rPr>
        <w:instrText xml:space="preserve"> PAGEREF _Toc46238186 \h </w:instrText>
      </w:r>
      <w:r w:rsidRPr="005675B0">
        <w:rPr>
          <w:noProof/>
        </w:rPr>
      </w:r>
      <w:r w:rsidRPr="005675B0">
        <w:rPr>
          <w:noProof/>
        </w:rPr>
        <w:fldChar w:fldCharType="separate"/>
      </w:r>
      <w:r w:rsidR="00174663">
        <w:rPr>
          <w:noProof/>
        </w:rPr>
        <w:t>20</w:t>
      </w:r>
      <w:r w:rsidRPr="005675B0">
        <w:rPr>
          <w:noProof/>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Division 6—Other matters</w:t>
      </w:r>
      <w:r w:rsidRPr="005675B0">
        <w:rPr>
          <w:b w:val="0"/>
          <w:noProof/>
          <w:sz w:val="18"/>
        </w:rPr>
        <w:tab/>
      </w:r>
      <w:r w:rsidRPr="005675B0">
        <w:rPr>
          <w:b w:val="0"/>
          <w:noProof/>
          <w:sz w:val="18"/>
        </w:rPr>
        <w:fldChar w:fldCharType="begin"/>
      </w:r>
      <w:r w:rsidRPr="005675B0">
        <w:rPr>
          <w:b w:val="0"/>
          <w:noProof/>
          <w:sz w:val="18"/>
        </w:rPr>
        <w:instrText xml:space="preserve"> PAGEREF _Toc46238187 \h </w:instrText>
      </w:r>
      <w:r w:rsidRPr="005675B0">
        <w:rPr>
          <w:b w:val="0"/>
          <w:noProof/>
          <w:sz w:val="18"/>
        </w:rPr>
      </w:r>
      <w:r w:rsidRPr="005675B0">
        <w:rPr>
          <w:b w:val="0"/>
          <w:noProof/>
          <w:sz w:val="18"/>
        </w:rPr>
        <w:fldChar w:fldCharType="separate"/>
      </w:r>
      <w:r w:rsidR="00174663">
        <w:rPr>
          <w:b w:val="0"/>
          <w:noProof/>
          <w:sz w:val="18"/>
        </w:rPr>
        <w:t>21</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42</w:t>
      </w:r>
      <w:r>
        <w:rPr>
          <w:noProof/>
        </w:rPr>
        <w:tab/>
        <w:t>Summons to witnesses by the Panel</w:t>
      </w:r>
      <w:r w:rsidRPr="005675B0">
        <w:rPr>
          <w:noProof/>
        </w:rPr>
        <w:tab/>
      </w:r>
      <w:r w:rsidRPr="005675B0">
        <w:rPr>
          <w:noProof/>
        </w:rPr>
        <w:fldChar w:fldCharType="begin"/>
      </w:r>
      <w:r w:rsidRPr="005675B0">
        <w:rPr>
          <w:noProof/>
        </w:rPr>
        <w:instrText xml:space="preserve"> PAGEREF _Toc46238188 \h </w:instrText>
      </w:r>
      <w:r w:rsidRPr="005675B0">
        <w:rPr>
          <w:noProof/>
        </w:rPr>
      </w:r>
      <w:r w:rsidRPr="005675B0">
        <w:rPr>
          <w:noProof/>
        </w:rPr>
        <w:fldChar w:fldCharType="separate"/>
      </w:r>
      <w:r w:rsidR="00174663">
        <w:rPr>
          <w:noProof/>
        </w:rPr>
        <w:t>21</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43</w:t>
      </w:r>
      <w:r>
        <w:rPr>
          <w:noProof/>
        </w:rPr>
        <w:tab/>
        <w:t>Allowances and expenses payable for attendances</w:t>
      </w:r>
      <w:r w:rsidRPr="005675B0">
        <w:rPr>
          <w:noProof/>
        </w:rPr>
        <w:tab/>
      </w:r>
      <w:r w:rsidRPr="005675B0">
        <w:rPr>
          <w:noProof/>
        </w:rPr>
        <w:fldChar w:fldCharType="begin"/>
      </w:r>
      <w:r w:rsidRPr="005675B0">
        <w:rPr>
          <w:noProof/>
        </w:rPr>
        <w:instrText xml:space="preserve"> PAGEREF _Toc46238189 \h </w:instrText>
      </w:r>
      <w:r w:rsidRPr="005675B0">
        <w:rPr>
          <w:noProof/>
        </w:rPr>
      </w:r>
      <w:r w:rsidRPr="005675B0">
        <w:rPr>
          <w:noProof/>
        </w:rPr>
        <w:fldChar w:fldCharType="separate"/>
      </w:r>
      <w:r w:rsidR="00174663">
        <w:rPr>
          <w:noProof/>
        </w:rPr>
        <w:t>21</w:t>
      </w:r>
      <w:r w:rsidRPr="005675B0">
        <w:rPr>
          <w:noProof/>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Part 5—Clearing and settlement facilities</w:t>
      </w:r>
      <w:r w:rsidRPr="005675B0">
        <w:rPr>
          <w:b w:val="0"/>
          <w:noProof/>
          <w:sz w:val="18"/>
        </w:rPr>
        <w:tab/>
      </w:r>
      <w:r w:rsidRPr="005675B0">
        <w:rPr>
          <w:b w:val="0"/>
          <w:noProof/>
          <w:sz w:val="18"/>
        </w:rPr>
        <w:fldChar w:fldCharType="begin"/>
      </w:r>
      <w:r w:rsidRPr="005675B0">
        <w:rPr>
          <w:b w:val="0"/>
          <w:noProof/>
          <w:sz w:val="18"/>
        </w:rPr>
        <w:instrText xml:space="preserve"> PAGEREF _Toc46238190 \h </w:instrText>
      </w:r>
      <w:r w:rsidRPr="005675B0">
        <w:rPr>
          <w:b w:val="0"/>
          <w:noProof/>
          <w:sz w:val="18"/>
        </w:rPr>
      </w:r>
      <w:r w:rsidRPr="005675B0">
        <w:rPr>
          <w:b w:val="0"/>
          <w:noProof/>
          <w:sz w:val="18"/>
        </w:rPr>
        <w:fldChar w:fldCharType="separate"/>
      </w:r>
      <w:r w:rsidR="00174663">
        <w:rPr>
          <w:b w:val="0"/>
          <w:noProof/>
          <w:sz w:val="18"/>
        </w:rPr>
        <w:t>22</w:t>
      </w:r>
      <w:r w:rsidRPr="005675B0">
        <w:rPr>
          <w:b w:val="0"/>
          <w:noProof/>
          <w:sz w:val="18"/>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45</w:t>
      </w:r>
      <w:r>
        <w:rPr>
          <w:noProof/>
        </w:rPr>
        <w:tab/>
        <w:t xml:space="preserve">Meaning of </w:t>
      </w:r>
      <w:r w:rsidRPr="009D2BC3">
        <w:rPr>
          <w:i/>
          <w:noProof/>
        </w:rPr>
        <w:t>clearing and settlement facility</w:t>
      </w:r>
      <w:r w:rsidRPr="005675B0">
        <w:rPr>
          <w:noProof/>
        </w:rPr>
        <w:tab/>
      </w:r>
      <w:r w:rsidRPr="005675B0">
        <w:rPr>
          <w:noProof/>
        </w:rPr>
        <w:fldChar w:fldCharType="begin"/>
      </w:r>
      <w:r w:rsidRPr="005675B0">
        <w:rPr>
          <w:noProof/>
        </w:rPr>
        <w:instrText xml:space="preserve"> PAGEREF _Toc46238191 \h </w:instrText>
      </w:r>
      <w:r w:rsidRPr="005675B0">
        <w:rPr>
          <w:noProof/>
        </w:rPr>
      </w:r>
      <w:r w:rsidRPr="005675B0">
        <w:rPr>
          <w:noProof/>
        </w:rPr>
        <w:fldChar w:fldCharType="separate"/>
      </w:r>
      <w:r w:rsidR="00174663">
        <w:rPr>
          <w:noProof/>
        </w:rPr>
        <w:t>22</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46</w:t>
      </w:r>
      <w:r>
        <w:rPr>
          <w:noProof/>
        </w:rPr>
        <w:tab/>
        <w:t>Conduct that does not constitute operating a clearing and settlement facility</w:t>
      </w:r>
      <w:r w:rsidRPr="005675B0">
        <w:rPr>
          <w:noProof/>
        </w:rPr>
        <w:tab/>
      </w:r>
      <w:r w:rsidRPr="005675B0">
        <w:rPr>
          <w:noProof/>
        </w:rPr>
        <w:fldChar w:fldCharType="begin"/>
      </w:r>
      <w:r w:rsidRPr="005675B0">
        <w:rPr>
          <w:noProof/>
        </w:rPr>
        <w:instrText xml:space="preserve"> PAGEREF _Toc46238192 \h </w:instrText>
      </w:r>
      <w:r w:rsidRPr="005675B0">
        <w:rPr>
          <w:noProof/>
        </w:rPr>
      </w:r>
      <w:r w:rsidRPr="005675B0">
        <w:rPr>
          <w:noProof/>
        </w:rPr>
        <w:fldChar w:fldCharType="separate"/>
      </w:r>
      <w:r w:rsidR="00174663">
        <w:rPr>
          <w:noProof/>
        </w:rPr>
        <w:t>22</w:t>
      </w:r>
      <w:r w:rsidRPr="005675B0">
        <w:rPr>
          <w:noProof/>
        </w:rPr>
        <w:fldChar w:fldCharType="end"/>
      </w:r>
    </w:p>
    <w:p w:rsidR="005675B0" w:rsidRDefault="005675B0" w:rsidP="005675B0">
      <w:pPr>
        <w:pStyle w:val="TOC5"/>
        <w:ind w:right="1792"/>
        <w:rPr>
          <w:rFonts w:asciiTheme="minorHAnsi" w:eastAsiaTheme="minorEastAsia" w:hAnsiTheme="minorHAnsi" w:cstheme="minorBidi"/>
          <w:noProof/>
          <w:kern w:val="0"/>
          <w:sz w:val="22"/>
          <w:szCs w:val="22"/>
        </w:rPr>
      </w:pPr>
      <w:r>
        <w:rPr>
          <w:noProof/>
        </w:rPr>
        <w:t>47</w:t>
      </w:r>
      <w:r>
        <w:rPr>
          <w:noProof/>
        </w:rPr>
        <w:tab/>
        <w:t>Financial transaction reports</w:t>
      </w:r>
      <w:r w:rsidRPr="005675B0">
        <w:rPr>
          <w:noProof/>
        </w:rPr>
        <w:tab/>
      </w:r>
      <w:r w:rsidRPr="005675B0">
        <w:rPr>
          <w:noProof/>
        </w:rPr>
        <w:fldChar w:fldCharType="begin"/>
      </w:r>
      <w:r w:rsidRPr="005675B0">
        <w:rPr>
          <w:noProof/>
        </w:rPr>
        <w:instrText xml:space="preserve"> PAGEREF _Toc46238193 \h </w:instrText>
      </w:r>
      <w:r w:rsidRPr="005675B0">
        <w:rPr>
          <w:noProof/>
        </w:rPr>
      </w:r>
      <w:r w:rsidRPr="005675B0">
        <w:rPr>
          <w:noProof/>
        </w:rPr>
        <w:fldChar w:fldCharType="separate"/>
      </w:r>
      <w:r w:rsidR="00174663">
        <w:rPr>
          <w:noProof/>
        </w:rPr>
        <w:t>23</w:t>
      </w:r>
      <w:r w:rsidRPr="005675B0">
        <w:rPr>
          <w:noProof/>
        </w:rPr>
        <w:fldChar w:fldCharType="end"/>
      </w:r>
    </w:p>
    <w:p w:rsidR="005675B0" w:rsidRDefault="005675B0" w:rsidP="005675B0">
      <w:pPr>
        <w:pStyle w:val="TOC1"/>
        <w:keepNext w:val="0"/>
        <w:ind w:right="1792"/>
        <w:rPr>
          <w:rFonts w:asciiTheme="minorHAnsi" w:eastAsiaTheme="minorEastAsia" w:hAnsiTheme="minorHAnsi" w:cstheme="minorBidi"/>
          <w:b w:val="0"/>
          <w:noProof/>
          <w:kern w:val="0"/>
          <w:sz w:val="22"/>
          <w:szCs w:val="22"/>
        </w:rPr>
      </w:pPr>
      <w:r>
        <w:rPr>
          <w:noProof/>
        </w:rPr>
        <w:t>Schedule 1—Forms</w:t>
      </w:r>
      <w:r w:rsidRPr="005675B0">
        <w:rPr>
          <w:b w:val="0"/>
          <w:noProof/>
          <w:sz w:val="18"/>
        </w:rPr>
        <w:tab/>
      </w:r>
      <w:r w:rsidRPr="005675B0">
        <w:rPr>
          <w:b w:val="0"/>
          <w:noProof/>
          <w:sz w:val="18"/>
        </w:rPr>
        <w:fldChar w:fldCharType="begin"/>
      </w:r>
      <w:r w:rsidRPr="005675B0">
        <w:rPr>
          <w:b w:val="0"/>
          <w:noProof/>
          <w:sz w:val="18"/>
        </w:rPr>
        <w:instrText xml:space="preserve"> PAGEREF _Toc46238194 \h </w:instrText>
      </w:r>
      <w:r w:rsidRPr="005675B0">
        <w:rPr>
          <w:b w:val="0"/>
          <w:noProof/>
          <w:sz w:val="18"/>
        </w:rPr>
      </w:r>
      <w:r w:rsidRPr="005675B0">
        <w:rPr>
          <w:b w:val="0"/>
          <w:noProof/>
          <w:sz w:val="18"/>
        </w:rPr>
        <w:fldChar w:fldCharType="separate"/>
      </w:r>
      <w:r w:rsidR="00174663">
        <w:rPr>
          <w:b w:val="0"/>
          <w:noProof/>
          <w:sz w:val="18"/>
        </w:rPr>
        <w:t>24</w:t>
      </w:r>
      <w:r w:rsidRPr="005675B0">
        <w:rPr>
          <w:b w:val="0"/>
          <w:noProof/>
          <w:sz w:val="18"/>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Form 1—Notice requiring appearance at an examination or reasonable assistance in connection with an investigation</w:t>
      </w:r>
      <w:r w:rsidRPr="005675B0">
        <w:rPr>
          <w:b w:val="0"/>
          <w:noProof/>
          <w:sz w:val="18"/>
        </w:rPr>
        <w:tab/>
      </w:r>
      <w:r w:rsidRPr="005675B0">
        <w:rPr>
          <w:b w:val="0"/>
          <w:noProof/>
          <w:sz w:val="18"/>
        </w:rPr>
        <w:fldChar w:fldCharType="begin"/>
      </w:r>
      <w:r w:rsidRPr="005675B0">
        <w:rPr>
          <w:b w:val="0"/>
          <w:noProof/>
          <w:sz w:val="18"/>
        </w:rPr>
        <w:instrText xml:space="preserve"> PAGEREF _Toc46238195 \h </w:instrText>
      </w:r>
      <w:r w:rsidRPr="005675B0">
        <w:rPr>
          <w:b w:val="0"/>
          <w:noProof/>
          <w:sz w:val="18"/>
        </w:rPr>
      </w:r>
      <w:r w:rsidRPr="005675B0">
        <w:rPr>
          <w:b w:val="0"/>
          <w:noProof/>
          <w:sz w:val="18"/>
        </w:rPr>
        <w:fldChar w:fldCharType="separate"/>
      </w:r>
      <w:r w:rsidR="00174663">
        <w:rPr>
          <w:b w:val="0"/>
          <w:noProof/>
          <w:sz w:val="18"/>
        </w:rPr>
        <w:t>24</w:t>
      </w:r>
      <w:r w:rsidRPr="005675B0">
        <w:rPr>
          <w:b w:val="0"/>
          <w:noProof/>
          <w:sz w:val="18"/>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Form 2—Notice requiring the production of books</w:t>
      </w:r>
      <w:r w:rsidRPr="005675B0">
        <w:rPr>
          <w:b w:val="0"/>
          <w:noProof/>
          <w:sz w:val="18"/>
        </w:rPr>
        <w:tab/>
      </w:r>
      <w:r w:rsidRPr="005675B0">
        <w:rPr>
          <w:b w:val="0"/>
          <w:noProof/>
          <w:sz w:val="18"/>
        </w:rPr>
        <w:fldChar w:fldCharType="begin"/>
      </w:r>
      <w:r w:rsidRPr="005675B0">
        <w:rPr>
          <w:b w:val="0"/>
          <w:noProof/>
          <w:sz w:val="18"/>
        </w:rPr>
        <w:instrText xml:space="preserve"> PAGEREF _Toc46238196 \h </w:instrText>
      </w:r>
      <w:r w:rsidRPr="005675B0">
        <w:rPr>
          <w:b w:val="0"/>
          <w:noProof/>
          <w:sz w:val="18"/>
        </w:rPr>
      </w:r>
      <w:r w:rsidRPr="005675B0">
        <w:rPr>
          <w:b w:val="0"/>
          <w:noProof/>
          <w:sz w:val="18"/>
        </w:rPr>
        <w:fldChar w:fldCharType="separate"/>
      </w:r>
      <w:r w:rsidR="00174663">
        <w:rPr>
          <w:b w:val="0"/>
          <w:noProof/>
          <w:sz w:val="18"/>
        </w:rPr>
        <w:t>26</w:t>
      </w:r>
      <w:r w:rsidRPr="005675B0">
        <w:rPr>
          <w:b w:val="0"/>
          <w:noProof/>
          <w:sz w:val="18"/>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Form 3—Summons to witness</w:t>
      </w:r>
      <w:r w:rsidRPr="005675B0">
        <w:rPr>
          <w:b w:val="0"/>
          <w:noProof/>
          <w:sz w:val="18"/>
        </w:rPr>
        <w:tab/>
      </w:r>
      <w:r w:rsidRPr="005675B0">
        <w:rPr>
          <w:b w:val="0"/>
          <w:noProof/>
          <w:sz w:val="18"/>
        </w:rPr>
        <w:fldChar w:fldCharType="begin"/>
      </w:r>
      <w:r w:rsidRPr="005675B0">
        <w:rPr>
          <w:b w:val="0"/>
          <w:noProof/>
          <w:sz w:val="18"/>
        </w:rPr>
        <w:instrText xml:space="preserve"> PAGEREF _Toc46238197 \h </w:instrText>
      </w:r>
      <w:r w:rsidRPr="005675B0">
        <w:rPr>
          <w:b w:val="0"/>
          <w:noProof/>
          <w:sz w:val="18"/>
        </w:rPr>
      </w:r>
      <w:r w:rsidRPr="005675B0">
        <w:rPr>
          <w:b w:val="0"/>
          <w:noProof/>
          <w:sz w:val="18"/>
        </w:rPr>
        <w:fldChar w:fldCharType="separate"/>
      </w:r>
      <w:r w:rsidR="00174663">
        <w:rPr>
          <w:b w:val="0"/>
          <w:noProof/>
          <w:sz w:val="18"/>
        </w:rPr>
        <w:t>27</w:t>
      </w:r>
      <w:r w:rsidRPr="005675B0">
        <w:rPr>
          <w:b w:val="0"/>
          <w:noProof/>
          <w:sz w:val="18"/>
        </w:rPr>
        <w:fldChar w:fldCharType="end"/>
      </w:r>
    </w:p>
    <w:p w:rsidR="005675B0" w:rsidRDefault="005675B0" w:rsidP="005675B0">
      <w:pPr>
        <w:pStyle w:val="TOC1"/>
        <w:keepNext w:val="0"/>
        <w:ind w:right="1792"/>
        <w:rPr>
          <w:rFonts w:asciiTheme="minorHAnsi" w:eastAsiaTheme="minorEastAsia" w:hAnsiTheme="minorHAnsi" w:cstheme="minorBidi"/>
          <w:b w:val="0"/>
          <w:noProof/>
          <w:kern w:val="0"/>
          <w:sz w:val="22"/>
          <w:szCs w:val="22"/>
        </w:rPr>
      </w:pPr>
      <w:r>
        <w:rPr>
          <w:noProof/>
        </w:rPr>
        <w:t>Schedule 2—Witnesses fees and allowances for expenses</w:t>
      </w:r>
      <w:r w:rsidRPr="005675B0">
        <w:rPr>
          <w:b w:val="0"/>
          <w:noProof/>
          <w:sz w:val="18"/>
        </w:rPr>
        <w:tab/>
      </w:r>
      <w:r w:rsidRPr="005675B0">
        <w:rPr>
          <w:b w:val="0"/>
          <w:noProof/>
          <w:sz w:val="18"/>
        </w:rPr>
        <w:fldChar w:fldCharType="begin"/>
      </w:r>
      <w:r w:rsidRPr="005675B0">
        <w:rPr>
          <w:b w:val="0"/>
          <w:noProof/>
          <w:sz w:val="18"/>
        </w:rPr>
        <w:instrText xml:space="preserve"> PAGEREF _Toc46238198 \h </w:instrText>
      </w:r>
      <w:r w:rsidRPr="005675B0">
        <w:rPr>
          <w:b w:val="0"/>
          <w:noProof/>
          <w:sz w:val="18"/>
        </w:rPr>
      </w:r>
      <w:r w:rsidRPr="005675B0">
        <w:rPr>
          <w:b w:val="0"/>
          <w:noProof/>
          <w:sz w:val="18"/>
        </w:rPr>
        <w:fldChar w:fldCharType="separate"/>
      </w:r>
      <w:r w:rsidR="00174663">
        <w:rPr>
          <w:b w:val="0"/>
          <w:noProof/>
          <w:sz w:val="18"/>
        </w:rPr>
        <w:t>28</w:t>
      </w:r>
      <w:r w:rsidRPr="005675B0">
        <w:rPr>
          <w:b w:val="0"/>
          <w:noProof/>
          <w:sz w:val="18"/>
        </w:rPr>
        <w:fldChar w:fldCharType="end"/>
      </w:r>
    </w:p>
    <w:p w:rsidR="005675B0" w:rsidRDefault="005675B0" w:rsidP="005675B0">
      <w:pPr>
        <w:pStyle w:val="TOC1"/>
        <w:keepNext w:val="0"/>
        <w:ind w:right="1792"/>
        <w:rPr>
          <w:rFonts w:asciiTheme="minorHAnsi" w:eastAsiaTheme="minorEastAsia" w:hAnsiTheme="minorHAnsi" w:cstheme="minorBidi"/>
          <w:b w:val="0"/>
          <w:noProof/>
          <w:kern w:val="0"/>
          <w:sz w:val="22"/>
          <w:szCs w:val="22"/>
        </w:rPr>
      </w:pPr>
      <w:r>
        <w:rPr>
          <w:noProof/>
        </w:rPr>
        <w:t>Schedule 3—Bodies corporate to which information may be disclosed</w:t>
      </w:r>
      <w:r w:rsidRPr="005675B0">
        <w:rPr>
          <w:b w:val="0"/>
          <w:noProof/>
          <w:sz w:val="18"/>
        </w:rPr>
        <w:tab/>
      </w:r>
      <w:r w:rsidRPr="005675B0">
        <w:rPr>
          <w:b w:val="0"/>
          <w:noProof/>
          <w:sz w:val="18"/>
        </w:rPr>
        <w:fldChar w:fldCharType="begin"/>
      </w:r>
      <w:r w:rsidRPr="005675B0">
        <w:rPr>
          <w:b w:val="0"/>
          <w:noProof/>
          <w:sz w:val="18"/>
        </w:rPr>
        <w:instrText xml:space="preserve"> PAGEREF _Toc46238199 \h </w:instrText>
      </w:r>
      <w:r w:rsidRPr="005675B0">
        <w:rPr>
          <w:b w:val="0"/>
          <w:noProof/>
          <w:sz w:val="18"/>
        </w:rPr>
      </w:r>
      <w:r w:rsidRPr="005675B0">
        <w:rPr>
          <w:b w:val="0"/>
          <w:noProof/>
          <w:sz w:val="18"/>
        </w:rPr>
        <w:fldChar w:fldCharType="separate"/>
      </w:r>
      <w:r w:rsidR="00174663">
        <w:rPr>
          <w:b w:val="0"/>
          <w:noProof/>
          <w:sz w:val="18"/>
        </w:rPr>
        <w:t>29</w:t>
      </w:r>
      <w:r w:rsidRPr="005675B0">
        <w:rPr>
          <w:b w:val="0"/>
          <w:noProof/>
          <w:sz w:val="18"/>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Part 1—Australian bodies corporate</w:t>
      </w:r>
      <w:r w:rsidRPr="005675B0">
        <w:rPr>
          <w:b w:val="0"/>
          <w:noProof/>
          <w:sz w:val="18"/>
        </w:rPr>
        <w:tab/>
      </w:r>
      <w:r w:rsidRPr="005675B0">
        <w:rPr>
          <w:b w:val="0"/>
          <w:noProof/>
          <w:sz w:val="18"/>
        </w:rPr>
        <w:fldChar w:fldCharType="begin"/>
      </w:r>
      <w:r w:rsidRPr="005675B0">
        <w:rPr>
          <w:b w:val="0"/>
          <w:noProof/>
          <w:sz w:val="18"/>
        </w:rPr>
        <w:instrText xml:space="preserve"> PAGEREF _Toc46238200 \h </w:instrText>
      </w:r>
      <w:r w:rsidRPr="005675B0">
        <w:rPr>
          <w:b w:val="0"/>
          <w:noProof/>
          <w:sz w:val="18"/>
        </w:rPr>
      </w:r>
      <w:r w:rsidRPr="005675B0">
        <w:rPr>
          <w:b w:val="0"/>
          <w:noProof/>
          <w:sz w:val="18"/>
        </w:rPr>
        <w:fldChar w:fldCharType="separate"/>
      </w:r>
      <w:r w:rsidR="00174663">
        <w:rPr>
          <w:b w:val="0"/>
          <w:noProof/>
          <w:sz w:val="18"/>
        </w:rPr>
        <w:t>29</w:t>
      </w:r>
      <w:r w:rsidRPr="005675B0">
        <w:rPr>
          <w:b w:val="0"/>
          <w:noProof/>
          <w:sz w:val="18"/>
        </w:rPr>
        <w:fldChar w:fldCharType="end"/>
      </w:r>
    </w:p>
    <w:p w:rsidR="005675B0" w:rsidRDefault="005675B0" w:rsidP="005675B0">
      <w:pPr>
        <w:pStyle w:val="TOC2"/>
        <w:keepNext w:val="0"/>
        <w:ind w:right="1792"/>
        <w:rPr>
          <w:rFonts w:asciiTheme="minorHAnsi" w:eastAsiaTheme="minorEastAsia" w:hAnsiTheme="minorHAnsi" w:cstheme="minorBidi"/>
          <w:b w:val="0"/>
          <w:noProof/>
          <w:kern w:val="0"/>
          <w:sz w:val="22"/>
          <w:szCs w:val="22"/>
        </w:rPr>
      </w:pPr>
      <w:r>
        <w:rPr>
          <w:noProof/>
        </w:rPr>
        <w:t>Part 2—Foreign bodies corporate</w:t>
      </w:r>
      <w:r w:rsidRPr="005675B0">
        <w:rPr>
          <w:b w:val="0"/>
          <w:noProof/>
          <w:sz w:val="18"/>
        </w:rPr>
        <w:tab/>
      </w:r>
      <w:r w:rsidRPr="005675B0">
        <w:rPr>
          <w:b w:val="0"/>
          <w:noProof/>
          <w:sz w:val="18"/>
        </w:rPr>
        <w:fldChar w:fldCharType="begin"/>
      </w:r>
      <w:r w:rsidRPr="005675B0">
        <w:rPr>
          <w:b w:val="0"/>
          <w:noProof/>
          <w:sz w:val="18"/>
        </w:rPr>
        <w:instrText xml:space="preserve"> PAGEREF _Toc46238201 \h </w:instrText>
      </w:r>
      <w:r w:rsidRPr="005675B0">
        <w:rPr>
          <w:b w:val="0"/>
          <w:noProof/>
          <w:sz w:val="18"/>
        </w:rPr>
      </w:r>
      <w:r w:rsidRPr="005675B0">
        <w:rPr>
          <w:b w:val="0"/>
          <w:noProof/>
          <w:sz w:val="18"/>
        </w:rPr>
        <w:fldChar w:fldCharType="separate"/>
      </w:r>
      <w:r w:rsidR="00174663">
        <w:rPr>
          <w:b w:val="0"/>
          <w:noProof/>
          <w:sz w:val="18"/>
        </w:rPr>
        <w:t>30</w:t>
      </w:r>
      <w:r w:rsidRPr="005675B0">
        <w:rPr>
          <w:b w:val="0"/>
          <w:noProof/>
          <w:sz w:val="18"/>
        </w:rPr>
        <w:fldChar w:fldCharType="end"/>
      </w:r>
    </w:p>
    <w:p w:rsidR="005675B0" w:rsidRDefault="005675B0" w:rsidP="005675B0">
      <w:pPr>
        <w:pStyle w:val="TOC2"/>
        <w:ind w:right="1792"/>
        <w:rPr>
          <w:rFonts w:asciiTheme="minorHAnsi" w:eastAsiaTheme="minorEastAsia" w:hAnsiTheme="minorHAnsi" w:cstheme="minorBidi"/>
          <w:b w:val="0"/>
          <w:noProof/>
          <w:kern w:val="0"/>
          <w:sz w:val="22"/>
          <w:szCs w:val="22"/>
        </w:rPr>
      </w:pPr>
      <w:r>
        <w:rPr>
          <w:noProof/>
        </w:rPr>
        <w:lastRenderedPageBreak/>
        <w:t>Endnotes</w:t>
      </w:r>
      <w:r w:rsidRPr="005675B0">
        <w:rPr>
          <w:b w:val="0"/>
          <w:noProof/>
          <w:sz w:val="18"/>
        </w:rPr>
        <w:tab/>
      </w:r>
      <w:r w:rsidRPr="005675B0">
        <w:rPr>
          <w:b w:val="0"/>
          <w:noProof/>
          <w:sz w:val="18"/>
        </w:rPr>
        <w:fldChar w:fldCharType="begin"/>
      </w:r>
      <w:r w:rsidRPr="005675B0">
        <w:rPr>
          <w:b w:val="0"/>
          <w:noProof/>
          <w:sz w:val="18"/>
        </w:rPr>
        <w:instrText xml:space="preserve"> PAGEREF _Toc46238202 \h </w:instrText>
      </w:r>
      <w:r w:rsidRPr="005675B0">
        <w:rPr>
          <w:b w:val="0"/>
          <w:noProof/>
          <w:sz w:val="18"/>
        </w:rPr>
      </w:r>
      <w:r w:rsidRPr="005675B0">
        <w:rPr>
          <w:b w:val="0"/>
          <w:noProof/>
          <w:sz w:val="18"/>
        </w:rPr>
        <w:fldChar w:fldCharType="separate"/>
      </w:r>
      <w:r w:rsidR="00174663">
        <w:rPr>
          <w:b w:val="0"/>
          <w:noProof/>
          <w:sz w:val="18"/>
        </w:rPr>
        <w:t>33</w:t>
      </w:r>
      <w:r w:rsidRPr="005675B0">
        <w:rPr>
          <w:b w:val="0"/>
          <w:noProof/>
          <w:sz w:val="18"/>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Endnote 1—About the endnotes</w:t>
      </w:r>
      <w:r w:rsidRPr="005675B0">
        <w:rPr>
          <w:b w:val="0"/>
          <w:noProof/>
          <w:sz w:val="18"/>
        </w:rPr>
        <w:tab/>
      </w:r>
      <w:r w:rsidRPr="005675B0">
        <w:rPr>
          <w:b w:val="0"/>
          <w:noProof/>
          <w:sz w:val="18"/>
        </w:rPr>
        <w:fldChar w:fldCharType="begin"/>
      </w:r>
      <w:r w:rsidRPr="005675B0">
        <w:rPr>
          <w:b w:val="0"/>
          <w:noProof/>
          <w:sz w:val="18"/>
        </w:rPr>
        <w:instrText xml:space="preserve"> PAGEREF _Toc46238203 \h </w:instrText>
      </w:r>
      <w:r w:rsidRPr="005675B0">
        <w:rPr>
          <w:b w:val="0"/>
          <w:noProof/>
          <w:sz w:val="18"/>
        </w:rPr>
      </w:r>
      <w:r w:rsidRPr="005675B0">
        <w:rPr>
          <w:b w:val="0"/>
          <w:noProof/>
          <w:sz w:val="18"/>
        </w:rPr>
        <w:fldChar w:fldCharType="separate"/>
      </w:r>
      <w:r w:rsidR="00174663">
        <w:rPr>
          <w:b w:val="0"/>
          <w:noProof/>
          <w:sz w:val="18"/>
        </w:rPr>
        <w:t>33</w:t>
      </w:r>
      <w:r w:rsidRPr="005675B0">
        <w:rPr>
          <w:b w:val="0"/>
          <w:noProof/>
          <w:sz w:val="18"/>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Endnote 2—Abbreviation key</w:t>
      </w:r>
      <w:r w:rsidRPr="005675B0">
        <w:rPr>
          <w:b w:val="0"/>
          <w:noProof/>
          <w:sz w:val="18"/>
        </w:rPr>
        <w:tab/>
      </w:r>
      <w:r w:rsidRPr="005675B0">
        <w:rPr>
          <w:b w:val="0"/>
          <w:noProof/>
          <w:sz w:val="18"/>
        </w:rPr>
        <w:fldChar w:fldCharType="begin"/>
      </w:r>
      <w:r w:rsidRPr="005675B0">
        <w:rPr>
          <w:b w:val="0"/>
          <w:noProof/>
          <w:sz w:val="18"/>
        </w:rPr>
        <w:instrText xml:space="preserve"> PAGEREF _Toc46238204 \h </w:instrText>
      </w:r>
      <w:r w:rsidRPr="005675B0">
        <w:rPr>
          <w:b w:val="0"/>
          <w:noProof/>
          <w:sz w:val="18"/>
        </w:rPr>
      </w:r>
      <w:r w:rsidRPr="005675B0">
        <w:rPr>
          <w:b w:val="0"/>
          <w:noProof/>
          <w:sz w:val="18"/>
        </w:rPr>
        <w:fldChar w:fldCharType="separate"/>
      </w:r>
      <w:r w:rsidR="00174663">
        <w:rPr>
          <w:b w:val="0"/>
          <w:noProof/>
          <w:sz w:val="18"/>
        </w:rPr>
        <w:t>34</w:t>
      </w:r>
      <w:r w:rsidRPr="005675B0">
        <w:rPr>
          <w:b w:val="0"/>
          <w:noProof/>
          <w:sz w:val="18"/>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Endnote 3—Legislation history</w:t>
      </w:r>
      <w:r w:rsidRPr="005675B0">
        <w:rPr>
          <w:b w:val="0"/>
          <w:noProof/>
          <w:sz w:val="18"/>
        </w:rPr>
        <w:tab/>
      </w:r>
      <w:r w:rsidRPr="005675B0">
        <w:rPr>
          <w:b w:val="0"/>
          <w:noProof/>
          <w:sz w:val="18"/>
        </w:rPr>
        <w:fldChar w:fldCharType="begin"/>
      </w:r>
      <w:r w:rsidRPr="005675B0">
        <w:rPr>
          <w:b w:val="0"/>
          <w:noProof/>
          <w:sz w:val="18"/>
        </w:rPr>
        <w:instrText xml:space="preserve"> PAGEREF _Toc46238205 \h </w:instrText>
      </w:r>
      <w:r w:rsidRPr="005675B0">
        <w:rPr>
          <w:b w:val="0"/>
          <w:noProof/>
          <w:sz w:val="18"/>
        </w:rPr>
      </w:r>
      <w:r w:rsidRPr="005675B0">
        <w:rPr>
          <w:b w:val="0"/>
          <w:noProof/>
          <w:sz w:val="18"/>
        </w:rPr>
        <w:fldChar w:fldCharType="separate"/>
      </w:r>
      <w:r w:rsidR="00174663">
        <w:rPr>
          <w:b w:val="0"/>
          <w:noProof/>
          <w:sz w:val="18"/>
        </w:rPr>
        <w:t>35</w:t>
      </w:r>
      <w:r w:rsidRPr="005675B0">
        <w:rPr>
          <w:b w:val="0"/>
          <w:noProof/>
          <w:sz w:val="18"/>
        </w:rPr>
        <w:fldChar w:fldCharType="end"/>
      </w:r>
    </w:p>
    <w:p w:rsidR="005675B0" w:rsidRDefault="005675B0" w:rsidP="005675B0">
      <w:pPr>
        <w:pStyle w:val="TOC3"/>
        <w:keepNext w:val="0"/>
        <w:ind w:right="1792"/>
        <w:rPr>
          <w:rFonts w:asciiTheme="minorHAnsi" w:eastAsiaTheme="minorEastAsia" w:hAnsiTheme="minorHAnsi" w:cstheme="minorBidi"/>
          <w:b w:val="0"/>
          <w:noProof/>
          <w:kern w:val="0"/>
          <w:szCs w:val="22"/>
        </w:rPr>
      </w:pPr>
      <w:r>
        <w:rPr>
          <w:noProof/>
        </w:rPr>
        <w:t>Endnote 4—Amendment history</w:t>
      </w:r>
      <w:r w:rsidRPr="005675B0">
        <w:rPr>
          <w:b w:val="0"/>
          <w:noProof/>
          <w:sz w:val="18"/>
        </w:rPr>
        <w:tab/>
      </w:r>
      <w:r w:rsidRPr="005675B0">
        <w:rPr>
          <w:b w:val="0"/>
          <w:noProof/>
          <w:sz w:val="18"/>
        </w:rPr>
        <w:fldChar w:fldCharType="begin"/>
      </w:r>
      <w:r w:rsidRPr="005675B0">
        <w:rPr>
          <w:b w:val="0"/>
          <w:noProof/>
          <w:sz w:val="18"/>
        </w:rPr>
        <w:instrText xml:space="preserve"> PAGEREF _Toc46238206 \h </w:instrText>
      </w:r>
      <w:r w:rsidRPr="005675B0">
        <w:rPr>
          <w:b w:val="0"/>
          <w:noProof/>
          <w:sz w:val="18"/>
        </w:rPr>
      </w:r>
      <w:r w:rsidRPr="005675B0">
        <w:rPr>
          <w:b w:val="0"/>
          <w:noProof/>
          <w:sz w:val="18"/>
        </w:rPr>
        <w:fldChar w:fldCharType="separate"/>
      </w:r>
      <w:r w:rsidR="00174663">
        <w:rPr>
          <w:b w:val="0"/>
          <w:noProof/>
          <w:sz w:val="18"/>
        </w:rPr>
        <w:t>38</w:t>
      </w:r>
      <w:r w:rsidRPr="005675B0">
        <w:rPr>
          <w:b w:val="0"/>
          <w:noProof/>
          <w:sz w:val="18"/>
        </w:rPr>
        <w:fldChar w:fldCharType="end"/>
      </w:r>
    </w:p>
    <w:p w:rsidR="004644D0" w:rsidRPr="005675B0" w:rsidRDefault="00C02731" w:rsidP="005675B0">
      <w:pPr>
        <w:keepLines/>
        <w:tabs>
          <w:tab w:val="left" w:pos="6521"/>
        </w:tabs>
        <w:ind w:right="1792"/>
        <w:sectPr w:rsidR="004644D0" w:rsidRPr="005675B0" w:rsidSect="0020514D">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5675B0">
        <w:rPr>
          <w:rFonts w:cs="Times New Roman"/>
          <w:sz w:val="18"/>
        </w:rPr>
        <w:fldChar w:fldCharType="end"/>
      </w:r>
    </w:p>
    <w:p w:rsidR="00F66E20" w:rsidRPr="005675B0" w:rsidRDefault="00970EC1" w:rsidP="00970EC1">
      <w:pPr>
        <w:pStyle w:val="ActHead2"/>
      </w:pPr>
      <w:bookmarkStart w:id="2" w:name="_Toc46238130"/>
      <w:r w:rsidRPr="005675B0">
        <w:rPr>
          <w:rStyle w:val="CharPartNo"/>
        </w:rPr>
        <w:lastRenderedPageBreak/>
        <w:t>Part</w:t>
      </w:r>
      <w:r w:rsidR="005675B0" w:rsidRPr="005675B0">
        <w:rPr>
          <w:rStyle w:val="CharPartNo"/>
        </w:rPr>
        <w:t> </w:t>
      </w:r>
      <w:r w:rsidR="00F66E20" w:rsidRPr="005675B0">
        <w:rPr>
          <w:rStyle w:val="CharPartNo"/>
        </w:rPr>
        <w:t>1</w:t>
      </w:r>
      <w:r w:rsidRPr="005675B0">
        <w:t>—</w:t>
      </w:r>
      <w:r w:rsidR="00F66E20" w:rsidRPr="005675B0">
        <w:rPr>
          <w:rStyle w:val="CharPartText"/>
        </w:rPr>
        <w:t>Preliminary</w:t>
      </w:r>
      <w:bookmarkEnd w:id="2"/>
    </w:p>
    <w:p w:rsidR="00F66E20" w:rsidRPr="005675B0" w:rsidRDefault="00DE27A5" w:rsidP="00F66E20">
      <w:pPr>
        <w:pStyle w:val="Header"/>
      </w:pPr>
      <w:r w:rsidRPr="005675B0">
        <w:rPr>
          <w:rStyle w:val="CharDivNo"/>
        </w:rPr>
        <w:t xml:space="preserve"> </w:t>
      </w:r>
      <w:r w:rsidRPr="005675B0">
        <w:rPr>
          <w:rStyle w:val="CharDivText"/>
        </w:rPr>
        <w:t xml:space="preserve"> </w:t>
      </w:r>
    </w:p>
    <w:p w:rsidR="00F66E20" w:rsidRPr="005675B0" w:rsidRDefault="00F66E20" w:rsidP="00970EC1">
      <w:pPr>
        <w:pStyle w:val="ActHead5"/>
      </w:pPr>
      <w:bookmarkStart w:id="3" w:name="_Toc46238131"/>
      <w:r w:rsidRPr="005675B0">
        <w:rPr>
          <w:rStyle w:val="CharSectno"/>
        </w:rPr>
        <w:t>1</w:t>
      </w:r>
      <w:r w:rsidR="00970EC1" w:rsidRPr="005675B0">
        <w:t xml:space="preserve">  </w:t>
      </w:r>
      <w:r w:rsidRPr="005675B0">
        <w:t>Name of Regulations</w:t>
      </w:r>
      <w:bookmarkEnd w:id="3"/>
    </w:p>
    <w:p w:rsidR="00F66E20" w:rsidRPr="005675B0" w:rsidRDefault="00F66E20" w:rsidP="00970EC1">
      <w:pPr>
        <w:pStyle w:val="subsection"/>
      </w:pPr>
      <w:r w:rsidRPr="005675B0">
        <w:tab/>
      </w:r>
      <w:r w:rsidRPr="005675B0">
        <w:tab/>
        <w:t xml:space="preserve">These Regulations are the </w:t>
      </w:r>
      <w:r w:rsidRPr="005675B0">
        <w:rPr>
          <w:i/>
        </w:rPr>
        <w:t>Australian Securities and Investments Commission Regulations</w:t>
      </w:r>
      <w:r w:rsidR="005675B0">
        <w:rPr>
          <w:i/>
        </w:rPr>
        <w:t> </w:t>
      </w:r>
      <w:r w:rsidRPr="005675B0">
        <w:rPr>
          <w:i/>
        </w:rPr>
        <w:t>2001</w:t>
      </w:r>
      <w:r w:rsidRPr="005675B0">
        <w:t>.</w:t>
      </w:r>
    </w:p>
    <w:p w:rsidR="00F66E20" w:rsidRPr="005675B0" w:rsidRDefault="00F66E20" w:rsidP="00970EC1">
      <w:pPr>
        <w:pStyle w:val="ActHead5"/>
      </w:pPr>
      <w:bookmarkStart w:id="4" w:name="_Toc46238132"/>
      <w:r w:rsidRPr="005675B0">
        <w:rPr>
          <w:rStyle w:val="CharSectno"/>
        </w:rPr>
        <w:t>2</w:t>
      </w:r>
      <w:r w:rsidR="00970EC1" w:rsidRPr="005675B0">
        <w:t xml:space="preserve">  </w:t>
      </w:r>
      <w:r w:rsidRPr="005675B0">
        <w:t>Definitions</w:t>
      </w:r>
      <w:bookmarkEnd w:id="4"/>
    </w:p>
    <w:p w:rsidR="00F66E20" w:rsidRPr="005675B0" w:rsidRDefault="00F66E20" w:rsidP="00970EC1">
      <w:pPr>
        <w:pStyle w:val="subsection"/>
      </w:pPr>
      <w:r w:rsidRPr="005675B0">
        <w:tab/>
      </w:r>
      <w:r w:rsidRPr="005675B0">
        <w:tab/>
        <w:t>In these Regulations, unless the contrary intention appears:</w:t>
      </w:r>
    </w:p>
    <w:p w:rsidR="00F66E20" w:rsidRPr="005675B0" w:rsidRDefault="00F66E20" w:rsidP="00970EC1">
      <w:pPr>
        <w:pStyle w:val="Definition"/>
      </w:pPr>
      <w:r w:rsidRPr="005675B0">
        <w:rPr>
          <w:b/>
          <w:i/>
        </w:rPr>
        <w:t>Act</w:t>
      </w:r>
      <w:r w:rsidRPr="005675B0">
        <w:t xml:space="preserve"> means the </w:t>
      </w:r>
      <w:r w:rsidRPr="005675B0">
        <w:rPr>
          <w:i/>
        </w:rPr>
        <w:t>Australian Securities and Investments Commission Act 2001</w:t>
      </w:r>
      <w:r w:rsidRPr="005675B0">
        <w:t>.</w:t>
      </w:r>
    </w:p>
    <w:p w:rsidR="00D55C02" w:rsidRPr="005675B0" w:rsidRDefault="00D55C02" w:rsidP="00970EC1">
      <w:pPr>
        <w:pStyle w:val="Definition"/>
      </w:pPr>
      <w:r w:rsidRPr="005675B0">
        <w:rPr>
          <w:b/>
          <w:i/>
        </w:rPr>
        <w:t>Australian carbon credit unit</w:t>
      </w:r>
      <w:r w:rsidRPr="005675B0">
        <w:t xml:space="preserve"> has the same meaning as in the </w:t>
      </w:r>
      <w:r w:rsidRPr="005675B0">
        <w:rPr>
          <w:i/>
        </w:rPr>
        <w:t>Carbon Credits (Carbon Farming Initiative) Act 2011</w:t>
      </w:r>
      <w:r w:rsidRPr="005675B0">
        <w:t>.</w:t>
      </w:r>
    </w:p>
    <w:p w:rsidR="00D55C02" w:rsidRPr="005675B0" w:rsidRDefault="00D55C02" w:rsidP="00970EC1">
      <w:pPr>
        <w:pStyle w:val="Definition"/>
      </w:pPr>
      <w:r w:rsidRPr="005675B0">
        <w:rPr>
          <w:b/>
          <w:i/>
        </w:rPr>
        <w:t>carbon unit</w:t>
      </w:r>
      <w:r w:rsidRPr="005675B0">
        <w:t xml:space="preserve"> has the same meaning as in the </w:t>
      </w:r>
      <w:r w:rsidRPr="005675B0">
        <w:rPr>
          <w:i/>
        </w:rPr>
        <w:t>Clean Energy Act</w:t>
      </w:r>
      <w:r w:rsidR="002B1B6B" w:rsidRPr="005675B0">
        <w:rPr>
          <w:i/>
        </w:rPr>
        <w:t xml:space="preserve"> </w:t>
      </w:r>
      <w:r w:rsidRPr="005675B0">
        <w:rPr>
          <w:i/>
        </w:rPr>
        <w:t>2011</w:t>
      </w:r>
      <w:r w:rsidRPr="005675B0">
        <w:t>.</w:t>
      </w:r>
    </w:p>
    <w:p w:rsidR="00D55C02" w:rsidRPr="005675B0" w:rsidRDefault="00D55C02" w:rsidP="00970EC1">
      <w:pPr>
        <w:pStyle w:val="Definition"/>
      </w:pPr>
      <w:r w:rsidRPr="005675B0">
        <w:rPr>
          <w:b/>
          <w:i/>
        </w:rPr>
        <w:t>eligible international emissions unit</w:t>
      </w:r>
      <w:r w:rsidRPr="005675B0">
        <w:t xml:space="preserve"> has the same meaning as in the </w:t>
      </w:r>
      <w:r w:rsidRPr="005675B0">
        <w:rPr>
          <w:i/>
        </w:rPr>
        <w:t>Australian National Registry of Emissions Units Act</w:t>
      </w:r>
      <w:r w:rsidR="002B1B6B" w:rsidRPr="005675B0">
        <w:rPr>
          <w:i/>
        </w:rPr>
        <w:t xml:space="preserve"> </w:t>
      </w:r>
      <w:r w:rsidRPr="005675B0">
        <w:rPr>
          <w:i/>
        </w:rPr>
        <w:t>2011</w:t>
      </w:r>
      <w:r w:rsidRPr="005675B0">
        <w:t>.</w:t>
      </w:r>
    </w:p>
    <w:p w:rsidR="00F66E20" w:rsidRPr="005675B0" w:rsidRDefault="00970EC1" w:rsidP="00970EC1">
      <w:pPr>
        <w:pStyle w:val="Definition"/>
      </w:pPr>
      <w:r w:rsidRPr="005675B0">
        <w:rPr>
          <w:b/>
          <w:i/>
        </w:rPr>
        <w:t>Form</w:t>
      </w:r>
      <w:r w:rsidR="002B1B6B" w:rsidRPr="005675B0">
        <w:rPr>
          <w:b/>
          <w:i/>
        </w:rPr>
        <w:t xml:space="preserve"> </w:t>
      </w:r>
      <w:r w:rsidR="00F66E20" w:rsidRPr="005675B0">
        <w:t xml:space="preserve">means a form set out in </w:t>
      </w:r>
      <w:r w:rsidRPr="005675B0">
        <w:t>Schedule</w:t>
      </w:r>
      <w:r w:rsidR="005675B0">
        <w:t> </w:t>
      </w:r>
      <w:r w:rsidR="00F66E20" w:rsidRPr="005675B0">
        <w:t>1.</w:t>
      </w:r>
    </w:p>
    <w:p w:rsidR="00F66E20" w:rsidRPr="005675B0" w:rsidRDefault="00F66E20" w:rsidP="00970EC1">
      <w:pPr>
        <w:pStyle w:val="ActHead5"/>
      </w:pPr>
      <w:bookmarkStart w:id="5" w:name="_Toc46238133"/>
      <w:r w:rsidRPr="005675B0">
        <w:rPr>
          <w:rStyle w:val="CharSectno"/>
        </w:rPr>
        <w:t>2A</w:t>
      </w:r>
      <w:r w:rsidR="00970EC1" w:rsidRPr="005675B0">
        <w:t xml:space="preserve">  </w:t>
      </w:r>
      <w:r w:rsidRPr="005675B0">
        <w:t>Territorial application of Act</w:t>
      </w:r>
      <w:bookmarkEnd w:id="5"/>
    </w:p>
    <w:p w:rsidR="00F66E20" w:rsidRPr="005675B0" w:rsidRDefault="00F66E20" w:rsidP="00970EC1">
      <w:pPr>
        <w:pStyle w:val="subsection"/>
      </w:pPr>
      <w:r w:rsidRPr="005675B0">
        <w:tab/>
        <w:t>(1)</w:t>
      </w:r>
      <w:r w:rsidRPr="005675B0">
        <w:tab/>
        <w:t>For subsection</w:t>
      </w:r>
      <w:r w:rsidR="005675B0">
        <w:t> </w:t>
      </w:r>
      <w:r w:rsidRPr="005675B0">
        <w:t>4(2) of the Act, the Act applies in each external Territory in accordance with this regulation.</w:t>
      </w:r>
    </w:p>
    <w:p w:rsidR="00F66E20" w:rsidRPr="005675B0" w:rsidRDefault="00F66E20" w:rsidP="00970EC1">
      <w:pPr>
        <w:pStyle w:val="subsection"/>
      </w:pPr>
      <w:r w:rsidRPr="005675B0">
        <w:tab/>
        <w:t>(2)</w:t>
      </w:r>
      <w:r w:rsidRPr="005675B0">
        <w:tab/>
        <w:t>For the Territory of Christmas Island and the Territory of Cocos (Keeling) Islands:</w:t>
      </w:r>
    </w:p>
    <w:p w:rsidR="00F66E20" w:rsidRPr="005675B0" w:rsidRDefault="00F66E20" w:rsidP="00970EC1">
      <w:pPr>
        <w:pStyle w:val="paragraph"/>
      </w:pPr>
      <w:r w:rsidRPr="005675B0">
        <w:tab/>
        <w:t>(a)</w:t>
      </w:r>
      <w:r w:rsidRPr="005675B0">
        <w:tab/>
      </w:r>
      <w:r w:rsidR="00970EC1" w:rsidRPr="005675B0">
        <w:t>Division</w:t>
      </w:r>
      <w:r w:rsidR="005675B0">
        <w:t> </w:t>
      </w:r>
      <w:r w:rsidRPr="005675B0">
        <w:t xml:space="preserve">2 of </w:t>
      </w:r>
      <w:r w:rsidR="00970EC1" w:rsidRPr="005675B0">
        <w:t>Part</w:t>
      </w:r>
      <w:r w:rsidR="005675B0">
        <w:t> </w:t>
      </w:r>
      <w:r w:rsidRPr="005675B0">
        <w:t>2 of the Act applies in relation to:</w:t>
      </w:r>
    </w:p>
    <w:p w:rsidR="00F66E20" w:rsidRPr="005675B0" w:rsidRDefault="00F66E20" w:rsidP="00970EC1">
      <w:pPr>
        <w:pStyle w:val="paragraphsub"/>
      </w:pPr>
      <w:r w:rsidRPr="005675B0">
        <w:tab/>
        <w:t>(i)</w:t>
      </w:r>
      <w:r w:rsidRPr="005675B0">
        <w:tab/>
        <w:t>a financial product; and</w:t>
      </w:r>
    </w:p>
    <w:p w:rsidR="00F66E20" w:rsidRPr="005675B0" w:rsidRDefault="00F66E20" w:rsidP="00970EC1">
      <w:pPr>
        <w:pStyle w:val="paragraphsub"/>
      </w:pPr>
      <w:r w:rsidRPr="005675B0">
        <w:tab/>
        <w:t>(ii)</w:t>
      </w:r>
      <w:r w:rsidRPr="005675B0">
        <w:tab/>
        <w:t>a financial service; and</w:t>
      </w:r>
    </w:p>
    <w:p w:rsidR="00F66E20" w:rsidRPr="005675B0" w:rsidRDefault="00F66E20" w:rsidP="00970EC1">
      <w:pPr>
        <w:pStyle w:val="paragraph"/>
      </w:pPr>
      <w:r w:rsidRPr="005675B0">
        <w:tab/>
        <w:t>(b)</w:t>
      </w:r>
      <w:r w:rsidRPr="005675B0">
        <w:tab/>
        <w:t>the remainder of the Act applies in relation to:</w:t>
      </w:r>
    </w:p>
    <w:p w:rsidR="00F66E20" w:rsidRPr="005675B0" w:rsidRDefault="00F66E20" w:rsidP="00970EC1">
      <w:pPr>
        <w:pStyle w:val="paragraphsub"/>
      </w:pPr>
      <w:r w:rsidRPr="005675B0">
        <w:tab/>
        <w:t>(i)</w:t>
      </w:r>
      <w:r w:rsidRPr="005675B0">
        <w:tab/>
        <w:t>a superannuation product within the meaning of section</w:t>
      </w:r>
      <w:r w:rsidR="005675B0">
        <w:t> </w:t>
      </w:r>
      <w:r w:rsidRPr="005675B0">
        <w:t>761A of the Corporations Act; and</w:t>
      </w:r>
    </w:p>
    <w:p w:rsidR="00F66E20" w:rsidRPr="005675B0" w:rsidRDefault="00F66E20" w:rsidP="00970EC1">
      <w:pPr>
        <w:pStyle w:val="paragraphsub"/>
      </w:pPr>
      <w:r w:rsidRPr="005675B0">
        <w:tab/>
        <w:t>(ii)</w:t>
      </w:r>
      <w:r w:rsidRPr="005675B0">
        <w:tab/>
        <w:t>an RSA product within the meaning of section</w:t>
      </w:r>
      <w:r w:rsidR="005675B0">
        <w:t> </w:t>
      </w:r>
      <w:r w:rsidRPr="005675B0">
        <w:t>761A of the Corporations Act; and</w:t>
      </w:r>
    </w:p>
    <w:p w:rsidR="00F66E20" w:rsidRPr="005675B0" w:rsidRDefault="00F66E20" w:rsidP="00970EC1">
      <w:pPr>
        <w:pStyle w:val="paragraphsub"/>
      </w:pPr>
      <w:r w:rsidRPr="005675B0">
        <w:tab/>
        <w:t>(iii)</w:t>
      </w:r>
      <w:r w:rsidRPr="005675B0">
        <w:tab/>
        <w:t>a financial service that relates to a superannuation product within the meaning of section</w:t>
      </w:r>
      <w:r w:rsidR="005675B0">
        <w:t> </w:t>
      </w:r>
      <w:r w:rsidRPr="005675B0">
        <w:t>761A of the Corporations Act; and</w:t>
      </w:r>
    </w:p>
    <w:p w:rsidR="00F66E20" w:rsidRPr="005675B0" w:rsidRDefault="00F66E20" w:rsidP="00970EC1">
      <w:pPr>
        <w:pStyle w:val="paragraphsub"/>
      </w:pPr>
      <w:r w:rsidRPr="005675B0">
        <w:tab/>
        <w:t>(iv)</w:t>
      </w:r>
      <w:r w:rsidRPr="005675B0">
        <w:tab/>
        <w:t>a financial service that relates to an RSA product within the meaning of section</w:t>
      </w:r>
      <w:r w:rsidR="005675B0">
        <w:t> </w:t>
      </w:r>
      <w:r w:rsidRPr="005675B0">
        <w:t>761A of the Corporations Act.</w:t>
      </w:r>
    </w:p>
    <w:p w:rsidR="00F66E20" w:rsidRPr="005675B0" w:rsidRDefault="00F66E20" w:rsidP="00970EC1">
      <w:pPr>
        <w:pStyle w:val="subsection"/>
      </w:pPr>
      <w:r w:rsidRPr="005675B0">
        <w:tab/>
        <w:t>(3)</w:t>
      </w:r>
      <w:r w:rsidRPr="005675B0">
        <w:tab/>
        <w:t>For an external Territory other than the Territory of Christmas Island and the Territory of Cocos (Keeling) Islands, the Act applies in relation to:</w:t>
      </w:r>
    </w:p>
    <w:p w:rsidR="00F66E20" w:rsidRPr="005675B0" w:rsidRDefault="00F66E20" w:rsidP="00970EC1">
      <w:pPr>
        <w:pStyle w:val="paragraph"/>
      </w:pPr>
      <w:r w:rsidRPr="005675B0">
        <w:tab/>
        <w:t>(a)</w:t>
      </w:r>
      <w:r w:rsidRPr="005675B0">
        <w:tab/>
        <w:t>a superannuation product within the meaning of section</w:t>
      </w:r>
      <w:r w:rsidR="005675B0">
        <w:t> </w:t>
      </w:r>
      <w:r w:rsidRPr="005675B0">
        <w:t>761A of the Corporations Act; and</w:t>
      </w:r>
    </w:p>
    <w:p w:rsidR="00F66E20" w:rsidRPr="005675B0" w:rsidRDefault="00F66E20" w:rsidP="00970EC1">
      <w:pPr>
        <w:pStyle w:val="paragraph"/>
      </w:pPr>
      <w:r w:rsidRPr="005675B0">
        <w:lastRenderedPageBreak/>
        <w:tab/>
        <w:t>(b)</w:t>
      </w:r>
      <w:r w:rsidRPr="005675B0">
        <w:tab/>
        <w:t>an RSA product within the meaning of section</w:t>
      </w:r>
      <w:r w:rsidR="005675B0">
        <w:t> </w:t>
      </w:r>
      <w:r w:rsidRPr="005675B0">
        <w:t>761A of the Corporations Act; and</w:t>
      </w:r>
    </w:p>
    <w:p w:rsidR="00F66E20" w:rsidRPr="005675B0" w:rsidRDefault="00F66E20" w:rsidP="00970EC1">
      <w:pPr>
        <w:pStyle w:val="paragraph"/>
      </w:pPr>
      <w:r w:rsidRPr="005675B0">
        <w:tab/>
        <w:t>(c)</w:t>
      </w:r>
      <w:r w:rsidRPr="005675B0">
        <w:tab/>
        <w:t>a financial service that relates to a superannuation product within the meaning of section</w:t>
      </w:r>
      <w:r w:rsidR="005675B0">
        <w:t> </w:t>
      </w:r>
      <w:r w:rsidRPr="005675B0">
        <w:t>761A of the Corporations Act; and</w:t>
      </w:r>
    </w:p>
    <w:p w:rsidR="00F66E20" w:rsidRPr="005675B0" w:rsidRDefault="00F66E20" w:rsidP="00970EC1">
      <w:pPr>
        <w:pStyle w:val="paragraph"/>
      </w:pPr>
      <w:r w:rsidRPr="005675B0">
        <w:tab/>
        <w:t>(d)</w:t>
      </w:r>
      <w:r w:rsidRPr="005675B0">
        <w:tab/>
        <w:t>a financial service that relates to an RSA product within the meaning of section</w:t>
      </w:r>
      <w:r w:rsidR="005675B0">
        <w:t> </w:t>
      </w:r>
      <w:r w:rsidRPr="005675B0">
        <w:t>761A of the Corporations Act.</w:t>
      </w:r>
    </w:p>
    <w:p w:rsidR="00F66E20" w:rsidRPr="005675B0" w:rsidRDefault="00F66E20" w:rsidP="00970EC1">
      <w:pPr>
        <w:pStyle w:val="ActHead5"/>
      </w:pPr>
      <w:bookmarkStart w:id="6" w:name="_Toc46238134"/>
      <w:r w:rsidRPr="005675B0">
        <w:rPr>
          <w:rStyle w:val="CharSectno"/>
        </w:rPr>
        <w:t>2AC</w:t>
      </w:r>
      <w:r w:rsidR="00970EC1" w:rsidRPr="005675B0">
        <w:t xml:space="preserve">  </w:t>
      </w:r>
      <w:r w:rsidRPr="005675B0">
        <w:t>Professional accounting bodies</w:t>
      </w:r>
      <w:bookmarkEnd w:id="6"/>
    </w:p>
    <w:p w:rsidR="00F66E20" w:rsidRPr="005675B0" w:rsidRDefault="00F66E20" w:rsidP="00970EC1">
      <w:pPr>
        <w:pStyle w:val="subsection"/>
      </w:pPr>
      <w:r w:rsidRPr="005675B0">
        <w:tab/>
      </w:r>
      <w:r w:rsidRPr="005675B0">
        <w:tab/>
        <w:t xml:space="preserve">For the definition of </w:t>
      </w:r>
      <w:r w:rsidRPr="005675B0">
        <w:rPr>
          <w:b/>
          <w:i/>
        </w:rPr>
        <w:t>professional accounting body</w:t>
      </w:r>
      <w:r w:rsidRPr="005675B0">
        <w:t xml:space="preserve"> in subsection</w:t>
      </w:r>
      <w:r w:rsidR="005675B0">
        <w:t> </w:t>
      </w:r>
      <w:r w:rsidRPr="005675B0">
        <w:t>5(1) of the Act, the following bodies are prescribed:</w:t>
      </w:r>
    </w:p>
    <w:p w:rsidR="00F66E20" w:rsidRPr="005675B0" w:rsidRDefault="00F66E20" w:rsidP="00970EC1">
      <w:pPr>
        <w:pStyle w:val="paragraph"/>
      </w:pPr>
      <w:r w:rsidRPr="005675B0">
        <w:tab/>
        <w:t>(a)</w:t>
      </w:r>
      <w:r w:rsidRPr="005675B0">
        <w:tab/>
        <w:t>CPA</w:t>
      </w:r>
      <w:r w:rsidR="002B1B6B" w:rsidRPr="005675B0">
        <w:t xml:space="preserve"> </w:t>
      </w:r>
      <w:r w:rsidRPr="005675B0">
        <w:t>Australia;</w:t>
      </w:r>
    </w:p>
    <w:p w:rsidR="00F66E20" w:rsidRPr="005675B0" w:rsidRDefault="00F66E20" w:rsidP="00970EC1">
      <w:pPr>
        <w:pStyle w:val="paragraph"/>
      </w:pPr>
      <w:r w:rsidRPr="005675B0">
        <w:tab/>
        <w:t>(b)</w:t>
      </w:r>
      <w:r w:rsidRPr="005675B0">
        <w:tab/>
        <w:t>The Institute of Chartered Accountants in Australia;</w:t>
      </w:r>
    </w:p>
    <w:p w:rsidR="00D3792A" w:rsidRPr="005675B0" w:rsidRDefault="00D3792A" w:rsidP="00D3792A">
      <w:pPr>
        <w:pStyle w:val="paragraph"/>
      </w:pPr>
      <w:r w:rsidRPr="005675B0">
        <w:tab/>
        <w:t>(c)</w:t>
      </w:r>
      <w:r w:rsidRPr="005675B0">
        <w:tab/>
        <w:t>Institute of Public Accountants.</w:t>
      </w:r>
    </w:p>
    <w:p w:rsidR="00F66E20" w:rsidRPr="005675B0" w:rsidRDefault="00F66E20" w:rsidP="00970EC1">
      <w:pPr>
        <w:pStyle w:val="ActHead5"/>
      </w:pPr>
      <w:bookmarkStart w:id="7" w:name="_Toc46238135"/>
      <w:r w:rsidRPr="005675B0">
        <w:rPr>
          <w:rStyle w:val="CharSectno"/>
        </w:rPr>
        <w:t>2B</w:t>
      </w:r>
      <w:r w:rsidR="00970EC1" w:rsidRPr="005675B0">
        <w:t xml:space="preserve">  </w:t>
      </w:r>
      <w:r w:rsidRPr="005675B0">
        <w:t>Financial products: credit facility</w:t>
      </w:r>
      <w:bookmarkEnd w:id="7"/>
    </w:p>
    <w:p w:rsidR="00F66E20" w:rsidRPr="005675B0" w:rsidRDefault="00F66E20" w:rsidP="00970EC1">
      <w:pPr>
        <w:pStyle w:val="subsection"/>
      </w:pPr>
      <w:r w:rsidRPr="005675B0">
        <w:tab/>
        <w:t>(1)</w:t>
      </w:r>
      <w:r w:rsidRPr="005675B0">
        <w:tab/>
        <w:t>For paragraph</w:t>
      </w:r>
      <w:r w:rsidR="005675B0">
        <w:t> </w:t>
      </w:r>
      <w:r w:rsidRPr="005675B0">
        <w:t>12BAA(7</w:t>
      </w:r>
      <w:r w:rsidR="00970EC1" w:rsidRPr="005675B0">
        <w:t>)(</w:t>
      </w:r>
      <w:r w:rsidRPr="005675B0">
        <w:t xml:space="preserve">k) of the Act, each of the following is a </w:t>
      </w:r>
      <w:r w:rsidRPr="005675B0">
        <w:rPr>
          <w:b/>
          <w:i/>
        </w:rPr>
        <w:t>credit facility</w:t>
      </w:r>
      <w:r w:rsidRPr="005675B0">
        <w:t>:</w:t>
      </w:r>
    </w:p>
    <w:p w:rsidR="00F66E20" w:rsidRPr="005675B0" w:rsidRDefault="00F66E20" w:rsidP="00970EC1">
      <w:pPr>
        <w:pStyle w:val="paragraph"/>
      </w:pPr>
      <w:r w:rsidRPr="005675B0">
        <w:tab/>
        <w:t>(a)</w:t>
      </w:r>
      <w:r w:rsidRPr="005675B0">
        <w:tab/>
        <w:t>the provision of credit:</w:t>
      </w:r>
    </w:p>
    <w:p w:rsidR="00F66E20" w:rsidRPr="005675B0" w:rsidRDefault="00F66E20" w:rsidP="00970EC1">
      <w:pPr>
        <w:pStyle w:val="paragraphsub"/>
      </w:pPr>
      <w:r w:rsidRPr="005675B0">
        <w:tab/>
        <w:t>(i)</w:t>
      </w:r>
      <w:r w:rsidRPr="005675B0">
        <w:tab/>
        <w:t>for any period; and</w:t>
      </w:r>
    </w:p>
    <w:p w:rsidR="00F66E20" w:rsidRPr="005675B0" w:rsidRDefault="00F66E20" w:rsidP="00970EC1">
      <w:pPr>
        <w:pStyle w:val="paragraphsub"/>
      </w:pPr>
      <w:r w:rsidRPr="005675B0">
        <w:tab/>
        <w:t>(ii)</w:t>
      </w:r>
      <w:r w:rsidRPr="005675B0">
        <w:tab/>
        <w:t>with or without prior agreement between the credit provider and the debtor; and</w:t>
      </w:r>
    </w:p>
    <w:p w:rsidR="00F66E20" w:rsidRPr="005675B0" w:rsidRDefault="00F66E20" w:rsidP="00970EC1">
      <w:pPr>
        <w:pStyle w:val="paragraphsub"/>
      </w:pPr>
      <w:r w:rsidRPr="005675B0">
        <w:tab/>
        <w:t>(iii)</w:t>
      </w:r>
      <w:r w:rsidRPr="005675B0">
        <w:tab/>
        <w:t>whether or not both credit and debit facilities are available;</w:t>
      </w:r>
    </w:p>
    <w:p w:rsidR="00F66E20" w:rsidRPr="005675B0" w:rsidRDefault="00F66E20" w:rsidP="00970EC1">
      <w:pPr>
        <w:pStyle w:val="paragraph"/>
      </w:pPr>
      <w:r w:rsidRPr="005675B0">
        <w:tab/>
        <w:t>(b)</w:t>
      </w:r>
      <w:r w:rsidRPr="005675B0">
        <w:tab/>
        <w:t>a facility:</w:t>
      </w:r>
    </w:p>
    <w:p w:rsidR="00F66E20" w:rsidRPr="005675B0" w:rsidRDefault="00F66E20" w:rsidP="00970EC1">
      <w:pPr>
        <w:pStyle w:val="paragraphsub"/>
      </w:pPr>
      <w:r w:rsidRPr="005675B0">
        <w:tab/>
        <w:t>(i)</w:t>
      </w:r>
      <w:r w:rsidRPr="005675B0">
        <w:tab/>
        <w:t>known as a bill facility; and</w:t>
      </w:r>
    </w:p>
    <w:p w:rsidR="00F66E20" w:rsidRPr="005675B0" w:rsidRDefault="00F66E20" w:rsidP="00970EC1">
      <w:pPr>
        <w:pStyle w:val="paragraphsub"/>
      </w:pPr>
      <w:r w:rsidRPr="005675B0">
        <w:tab/>
        <w:t>(ii)</w:t>
      </w:r>
      <w:r w:rsidRPr="005675B0">
        <w:tab/>
        <w:t>under which a credit provider provides credit by accepting, drawing, discounting or indorsing a bill of exchange or promissory note;</w:t>
      </w:r>
    </w:p>
    <w:p w:rsidR="00F66E20" w:rsidRPr="005675B0" w:rsidRDefault="00F66E20" w:rsidP="00970EC1">
      <w:pPr>
        <w:pStyle w:val="paragraph"/>
      </w:pPr>
      <w:r w:rsidRPr="005675B0">
        <w:tab/>
        <w:t>(c)</w:t>
      </w:r>
      <w:r w:rsidRPr="005675B0">
        <w:tab/>
        <w:t>the provision of credit by a pawnbroker in the ordinary course of a pawnbroker’s business (being a business which is being lawfully conducted by the pawnbroker);</w:t>
      </w:r>
    </w:p>
    <w:p w:rsidR="00F66E20" w:rsidRPr="005675B0" w:rsidRDefault="00F66E20" w:rsidP="00970EC1">
      <w:pPr>
        <w:pStyle w:val="paragraph"/>
      </w:pPr>
      <w:r w:rsidRPr="005675B0">
        <w:tab/>
        <w:t>(d)</w:t>
      </w:r>
      <w:r w:rsidRPr="005675B0">
        <w:tab/>
        <w:t>the provision of credit by the trustee of the estate of a deceased person by way of an advance to a beneficiary or prospective beneficiary of the estate;</w:t>
      </w:r>
    </w:p>
    <w:p w:rsidR="00F66E20" w:rsidRPr="005675B0" w:rsidRDefault="00F66E20" w:rsidP="00970EC1">
      <w:pPr>
        <w:pStyle w:val="paragraph"/>
      </w:pPr>
      <w:r w:rsidRPr="005675B0">
        <w:tab/>
        <w:t>(e)</w:t>
      </w:r>
      <w:r w:rsidRPr="005675B0">
        <w:tab/>
        <w:t>the provision of credit by an employer, or a related body corporate of an employer, to an employee or former employee (whether or not it is provided to the employee or former employee with another person);</w:t>
      </w:r>
    </w:p>
    <w:p w:rsidR="00F66E20" w:rsidRPr="005675B0" w:rsidRDefault="00F66E20" w:rsidP="00970EC1">
      <w:pPr>
        <w:pStyle w:val="paragraph"/>
      </w:pPr>
      <w:r w:rsidRPr="005675B0">
        <w:tab/>
        <w:t>(f)</w:t>
      </w:r>
      <w:r w:rsidRPr="005675B0">
        <w:tab/>
        <w:t>the provision of a mortgage that secures obligations under a credit contract (other than a lien or charge arising by operation of any law or by custom);</w:t>
      </w:r>
    </w:p>
    <w:p w:rsidR="00F66E20" w:rsidRPr="005675B0" w:rsidRDefault="00F66E20" w:rsidP="00970EC1">
      <w:pPr>
        <w:pStyle w:val="paragraph"/>
      </w:pPr>
      <w:r w:rsidRPr="005675B0">
        <w:tab/>
        <w:t>(g)</w:t>
      </w:r>
      <w:r w:rsidRPr="005675B0">
        <w:tab/>
        <w:t xml:space="preserve">a guarantee related to a mortgage mentioned in </w:t>
      </w:r>
      <w:r w:rsidR="005675B0">
        <w:t>paragraph (</w:t>
      </w:r>
      <w:r w:rsidRPr="005675B0">
        <w:t>f);</w:t>
      </w:r>
    </w:p>
    <w:p w:rsidR="00F66E20" w:rsidRPr="005675B0" w:rsidRDefault="00F66E20" w:rsidP="00970EC1">
      <w:pPr>
        <w:pStyle w:val="paragraph"/>
      </w:pPr>
      <w:r w:rsidRPr="005675B0">
        <w:tab/>
        <w:t>(h)</w:t>
      </w:r>
      <w:r w:rsidRPr="005675B0">
        <w:tab/>
        <w:t>a guarantee of obligations under a credit contract;</w:t>
      </w:r>
    </w:p>
    <w:p w:rsidR="00F66E20" w:rsidRPr="005675B0" w:rsidRDefault="00F66E20" w:rsidP="00970EC1">
      <w:pPr>
        <w:pStyle w:val="paragraph"/>
      </w:pPr>
      <w:r w:rsidRPr="005675B0">
        <w:tab/>
        <w:t>(i)</w:t>
      </w:r>
      <w:r w:rsidRPr="005675B0">
        <w:tab/>
        <w:t>a facility for making non</w:t>
      </w:r>
      <w:r w:rsidR="005675B0">
        <w:noBreakHyphen/>
      </w:r>
      <w:r w:rsidRPr="005675B0">
        <w:t>cash payments (within the meaning of section</w:t>
      </w:r>
      <w:r w:rsidR="005675B0">
        <w:t> </w:t>
      </w:r>
      <w:r w:rsidRPr="005675B0">
        <w:t xml:space="preserve">763D of the Corporations Act) if payments made using the facility will all be debited to a facility mentioned in </w:t>
      </w:r>
      <w:r w:rsidR="005675B0">
        <w:t>paragraphs (</w:t>
      </w:r>
      <w:r w:rsidRPr="005675B0">
        <w:t>a) to (h).</w:t>
      </w:r>
    </w:p>
    <w:p w:rsidR="00F66E20" w:rsidRPr="005675B0" w:rsidRDefault="00F66E20" w:rsidP="00970EC1">
      <w:pPr>
        <w:pStyle w:val="subsection"/>
      </w:pPr>
      <w:r w:rsidRPr="005675B0">
        <w:tab/>
        <w:t>(2)</w:t>
      </w:r>
      <w:r w:rsidRPr="005675B0">
        <w:tab/>
        <w:t xml:space="preserve">The provision of consumer credit insurance that includes a contract of general insurance for the </w:t>
      </w:r>
      <w:r w:rsidRPr="005675B0">
        <w:rPr>
          <w:i/>
        </w:rPr>
        <w:t>Insurance Contracts Act 1984</w:t>
      </w:r>
      <w:r w:rsidRPr="005675B0">
        <w:t xml:space="preserve"> is not a credit facility.</w:t>
      </w:r>
    </w:p>
    <w:p w:rsidR="00F66E20" w:rsidRPr="005675B0" w:rsidRDefault="00F66E20" w:rsidP="00970EC1">
      <w:pPr>
        <w:pStyle w:val="subsection"/>
      </w:pPr>
      <w:r w:rsidRPr="005675B0">
        <w:tab/>
        <w:t>(3)</w:t>
      </w:r>
      <w:r w:rsidRPr="005675B0">
        <w:tab/>
        <w:t>In this regulation:</w:t>
      </w:r>
    </w:p>
    <w:p w:rsidR="00F66E20" w:rsidRPr="005675B0" w:rsidRDefault="00F66E20" w:rsidP="00970EC1">
      <w:pPr>
        <w:pStyle w:val="Definition"/>
      </w:pPr>
      <w:r w:rsidRPr="005675B0">
        <w:rPr>
          <w:b/>
          <w:i/>
        </w:rPr>
        <w:lastRenderedPageBreak/>
        <w:t>credit</w:t>
      </w:r>
      <w:r w:rsidRPr="005675B0">
        <w:t xml:space="preserve"> means a contract, arrangement or understanding:</w:t>
      </w:r>
    </w:p>
    <w:p w:rsidR="00F66E20" w:rsidRPr="005675B0" w:rsidRDefault="00F66E20" w:rsidP="00970EC1">
      <w:pPr>
        <w:pStyle w:val="paragraph"/>
      </w:pPr>
      <w:r w:rsidRPr="005675B0">
        <w:tab/>
        <w:t>(a)</w:t>
      </w:r>
      <w:r w:rsidRPr="005675B0">
        <w:tab/>
        <w:t>under which:</w:t>
      </w:r>
    </w:p>
    <w:p w:rsidR="00F66E20" w:rsidRPr="005675B0" w:rsidRDefault="00F66E20" w:rsidP="00970EC1">
      <w:pPr>
        <w:pStyle w:val="paragraphsub"/>
      </w:pPr>
      <w:r w:rsidRPr="005675B0">
        <w:tab/>
        <w:t>(i)</w:t>
      </w:r>
      <w:r w:rsidRPr="005675B0">
        <w:tab/>
        <w:t xml:space="preserve">payment of a debt owed by one person (a </w:t>
      </w:r>
      <w:r w:rsidRPr="005675B0">
        <w:rPr>
          <w:b/>
          <w:i/>
        </w:rPr>
        <w:t>debtor</w:t>
      </w:r>
      <w:r w:rsidRPr="005675B0">
        <w:t xml:space="preserve">) to another person (a </w:t>
      </w:r>
      <w:r w:rsidRPr="005675B0">
        <w:rPr>
          <w:b/>
          <w:i/>
        </w:rPr>
        <w:t>credit provider</w:t>
      </w:r>
      <w:r w:rsidRPr="005675B0">
        <w:t>) is deferred; or</w:t>
      </w:r>
    </w:p>
    <w:p w:rsidR="00F66E20" w:rsidRPr="005675B0" w:rsidRDefault="00F66E20" w:rsidP="00970EC1">
      <w:pPr>
        <w:pStyle w:val="paragraphsub"/>
      </w:pPr>
      <w:r w:rsidRPr="005675B0">
        <w:tab/>
        <w:t>(ii)</w:t>
      </w:r>
      <w:r w:rsidRPr="005675B0">
        <w:tab/>
        <w:t xml:space="preserve">one person (a </w:t>
      </w:r>
      <w:r w:rsidRPr="005675B0">
        <w:rPr>
          <w:b/>
          <w:i/>
        </w:rPr>
        <w:t>debtor</w:t>
      </w:r>
      <w:r w:rsidRPr="005675B0">
        <w:t xml:space="preserve">) incurs a deferred debt to another person (a </w:t>
      </w:r>
      <w:r w:rsidRPr="005675B0">
        <w:rPr>
          <w:b/>
          <w:i/>
        </w:rPr>
        <w:t>credit provider</w:t>
      </w:r>
      <w:r w:rsidRPr="005675B0">
        <w:t>); and</w:t>
      </w:r>
    </w:p>
    <w:p w:rsidR="00F66E20" w:rsidRPr="005675B0" w:rsidRDefault="00F66E20" w:rsidP="00970EC1">
      <w:pPr>
        <w:pStyle w:val="paragraph"/>
      </w:pPr>
      <w:r w:rsidRPr="005675B0">
        <w:tab/>
        <w:t>(b)</w:t>
      </w:r>
      <w:r w:rsidRPr="005675B0">
        <w:tab/>
        <w:t>including any of the following:</w:t>
      </w:r>
    </w:p>
    <w:p w:rsidR="00F66E20" w:rsidRPr="005675B0" w:rsidRDefault="00F66E20" w:rsidP="00970EC1">
      <w:pPr>
        <w:pStyle w:val="paragraphsub"/>
      </w:pPr>
      <w:r w:rsidRPr="005675B0">
        <w:tab/>
        <w:t>(i)</w:t>
      </w:r>
      <w:r w:rsidRPr="005675B0">
        <w:tab/>
        <w:t>any form of financial accommodation;</w:t>
      </w:r>
    </w:p>
    <w:p w:rsidR="00F66E20" w:rsidRPr="005675B0" w:rsidRDefault="00F66E20" w:rsidP="00970EC1">
      <w:pPr>
        <w:pStyle w:val="paragraphsub"/>
      </w:pPr>
      <w:r w:rsidRPr="005675B0">
        <w:tab/>
        <w:t>(ii)</w:t>
      </w:r>
      <w:r w:rsidRPr="005675B0">
        <w:tab/>
        <w:t>a hire purchase agreement;</w:t>
      </w:r>
    </w:p>
    <w:p w:rsidR="00F66E20" w:rsidRPr="005675B0" w:rsidRDefault="00F66E20" w:rsidP="00970EC1">
      <w:pPr>
        <w:pStyle w:val="paragraphsub"/>
      </w:pPr>
      <w:r w:rsidRPr="005675B0">
        <w:tab/>
        <w:t>(iii)</w:t>
      </w:r>
      <w:r w:rsidRPr="005675B0">
        <w:tab/>
        <w:t>credit provided for the purchase of goods or services;</w:t>
      </w:r>
    </w:p>
    <w:p w:rsidR="00F66E20" w:rsidRPr="005675B0" w:rsidRDefault="00F66E20" w:rsidP="00970EC1">
      <w:pPr>
        <w:pStyle w:val="paragraphsub"/>
      </w:pPr>
      <w:r w:rsidRPr="005675B0">
        <w:tab/>
        <w:t>(iv)</w:t>
      </w:r>
      <w:r w:rsidRPr="005675B0">
        <w:tab/>
        <w:t>a contract, arrangement or understanding for the hire, lease or rental of goods or services, other than a contract, arrangement or understanding under which:</w:t>
      </w:r>
    </w:p>
    <w:p w:rsidR="00F66E20" w:rsidRPr="005675B0" w:rsidRDefault="00F66E20" w:rsidP="00970EC1">
      <w:pPr>
        <w:pStyle w:val="paragraphsub-sub"/>
      </w:pPr>
      <w:r w:rsidRPr="005675B0">
        <w:tab/>
        <w:t>(A)</w:t>
      </w:r>
      <w:r w:rsidRPr="005675B0">
        <w:tab/>
        <w:t>full payment is made before or when the goods or services are provided; and</w:t>
      </w:r>
    </w:p>
    <w:p w:rsidR="00F66E20" w:rsidRPr="005675B0" w:rsidRDefault="00F66E20" w:rsidP="00970EC1">
      <w:pPr>
        <w:pStyle w:val="paragraphsub-sub"/>
      </w:pPr>
      <w:r w:rsidRPr="005675B0">
        <w:tab/>
        <w:t>(B)</w:t>
      </w:r>
      <w:r w:rsidRPr="005675B0">
        <w:tab/>
        <w:t>for the hire, lease or rental of goods</w:t>
      </w:r>
      <w:r w:rsidR="00970EC1" w:rsidRPr="005675B0">
        <w:t>—</w:t>
      </w:r>
      <w:r w:rsidRPr="005675B0">
        <w:t>an amount at least equal to the value of the goods is paid as a deposit in relation to the return of the goods;</w:t>
      </w:r>
    </w:p>
    <w:p w:rsidR="00F66E20" w:rsidRPr="005675B0" w:rsidRDefault="00F66E20" w:rsidP="00970EC1">
      <w:pPr>
        <w:pStyle w:val="paragraphsub"/>
      </w:pPr>
      <w:r w:rsidRPr="005675B0">
        <w:tab/>
        <w:t>(v)</w:t>
      </w:r>
      <w:r w:rsidRPr="005675B0">
        <w:tab/>
        <w:t>an article known as a credit card or charge card;</w:t>
      </w:r>
    </w:p>
    <w:p w:rsidR="00F66E20" w:rsidRPr="005675B0" w:rsidRDefault="00F66E20" w:rsidP="00970EC1">
      <w:pPr>
        <w:pStyle w:val="paragraphsub"/>
      </w:pPr>
      <w:r w:rsidRPr="005675B0">
        <w:tab/>
        <w:t>(vi)</w:t>
      </w:r>
      <w:r w:rsidRPr="005675B0">
        <w:tab/>
        <w:t>an article, other than a credit card or a charge card, intended to be used to obtain cash, goods or services;</w:t>
      </w:r>
    </w:p>
    <w:p w:rsidR="00F66E20" w:rsidRPr="005675B0" w:rsidRDefault="00F66E20" w:rsidP="00970EC1">
      <w:pPr>
        <w:pStyle w:val="paragraphsub"/>
      </w:pPr>
      <w:r w:rsidRPr="005675B0">
        <w:tab/>
        <w:t>(vii)</w:t>
      </w:r>
      <w:r w:rsidRPr="005675B0">
        <w:tab/>
        <w:t>an article, other than a credit card or a charge card, commonly issued to customers or prospective customers by persons who carry on business for the purpose of obtaining goods or services from those persons by way of a loan;</w:t>
      </w:r>
    </w:p>
    <w:p w:rsidR="00F66E20" w:rsidRPr="005675B0" w:rsidRDefault="00F66E20" w:rsidP="00970EC1">
      <w:pPr>
        <w:pStyle w:val="paragraphsub"/>
      </w:pPr>
      <w:r w:rsidRPr="005675B0">
        <w:tab/>
        <w:t>(viii)</w:t>
      </w:r>
      <w:r w:rsidRPr="005675B0">
        <w:tab/>
        <w:t>a liability in respect of redeemable preference shares;</w:t>
      </w:r>
    </w:p>
    <w:p w:rsidR="00F66E20" w:rsidRPr="005675B0" w:rsidRDefault="00F66E20" w:rsidP="00970EC1">
      <w:pPr>
        <w:pStyle w:val="paragraphsub"/>
      </w:pPr>
      <w:r w:rsidRPr="005675B0">
        <w:tab/>
        <w:t>(ix)</w:t>
      </w:r>
      <w:r w:rsidRPr="005675B0">
        <w:tab/>
        <w:t xml:space="preserve">a financial benefit arising from or as a result of a loan; </w:t>
      </w:r>
    </w:p>
    <w:p w:rsidR="00F66E20" w:rsidRPr="005675B0" w:rsidRDefault="00F66E20" w:rsidP="00970EC1">
      <w:pPr>
        <w:pStyle w:val="paragraphsub"/>
      </w:pPr>
      <w:r w:rsidRPr="005675B0">
        <w:tab/>
        <w:t>(x)</w:t>
      </w:r>
      <w:r w:rsidRPr="005675B0">
        <w:tab/>
        <w:t>assistance in obtaining a financial benefit arising from or as a result of a loan;</w:t>
      </w:r>
    </w:p>
    <w:p w:rsidR="00F66E20" w:rsidRPr="005675B0" w:rsidRDefault="00F66E20" w:rsidP="00970EC1">
      <w:pPr>
        <w:pStyle w:val="paragraphsub"/>
      </w:pPr>
      <w:r w:rsidRPr="005675B0">
        <w:tab/>
        <w:t>(xi)</w:t>
      </w:r>
      <w:r w:rsidRPr="005675B0">
        <w:tab/>
        <w:t>issuing, indorsing or otherwise dealing in a promissory note;</w:t>
      </w:r>
    </w:p>
    <w:p w:rsidR="00F66E20" w:rsidRPr="005675B0" w:rsidRDefault="00F66E20" w:rsidP="00970EC1">
      <w:pPr>
        <w:pStyle w:val="paragraphsub"/>
      </w:pPr>
      <w:r w:rsidRPr="005675B0">
        <w:tab/>
        <w:t>(xii)</w:t>
      </w:r>
      <w:r w:rsidRPr="005675B0">
        <w:tab/>
        <w:t>drawing, accepting, indorsing or otherwise dealing in a negotiable instrument (including a bill of exchange);</w:t>
      </w:r>
    </w:p>
    <w:p w:rsidR="00F66E20" w:rsidRPr="005675B0" w:rsidRDefault="00F66E20" w:rsidP="00970EC1">
      <w:pPr>
        <w:pStyle w:val="paragraphsub"/>
      </w:pPr>
      <w:r w:rsidRPr="005675B0">
        <w:tab/>
        <w:t>(xiii)</w:t>
      </w:r>
      <w:r w:rsidRPr="005675B0">
        <w:tab/>
        <w:t>granting or taking a lease over real or personal property;</w:t>
      </w:r>
    </w:p>
    <w:p w:rsidR="00F66E20" w:rsidRPr="005675B0" w:rsidRDefault="00F66E20" w:rsidP="00970EC1">
      <w:pPr>
        <w:pStyle w:val="paragraphsub"/>
      </w:pPr>
      <w:r w:rsidRPr="005675B0">
        <w:tab/>
        <w:t>(xiv)</w:t>
      </w:r>
      <w:r w:rsidRPr="005675B0">
        <w:tab/>
        <w:t>a letter of credit.</w:t>
      </w:r>
    </w:p>
    <w:p w:rsidR="00E442E6" w:rsidRPr="005675B0" w:rsidRDefault="00E442E6" w:rsidP="00970EC1">
      <w:pPr>
        <w:pStyle w:val="ActHead5"/>
      </w:pPr>
      <w:bookmarkStart w:id="8" w:name="_Toc46238136"/>
      <w:r w:rsidRPr="005675B0">
        <w:rPr>
          <w:rStyle w:val="CharSectno"/>
        </w:rPr>
        <w:t>2BA</w:t>
      </w:r>
      <w:r w:rsidR="00970EC1" w:rsidRPr="005675B0">
        <w:t xml:space="preserve">  </w:t>
      </w:r>
      <w:r w:rsidRPr="005675B0">
        <w:t>Declared financial product</w:t>
      </w:r>
      <w:bookmarkEnd w:id="8"/>
    </w:p>
    <w:p w:rsidR="00E442E6" w:rsidRPr="005675B0" w:rsidRDefault="00E442E6" w:rsidP="00970EC1">
      <w:pPr>
        <w:pStyle w:val="subsection"/>
      </w:pPr>
      <w:r w:rsidRPr="005675B0">
        <w:tab/>
      </w:r>
      <w:r w:rsidRPr="005675B0">
        <w:tab/>
        <w:t>For paragraph</w:t>
      </w:r>
      <w:r w:rsidR="005675B0">
        <w:t> </w:t>
      </w:r>
      <w:r w:rsidRPr="005675B0">
        <w:t>12BAA(7</w:t>
      </w:r>
      <w:r w:rsidR="00970EC1" w:rsidRPr="005675B0">
        <w:t>)(</w:t>
      </w:r>
      <w:r w:rsidRPr="005675B0">
        <w:t>m) of the Act, a margin lending facility (within the meaning given by section</w:t>
      </w:r>
      <w:r w:rsidR="005675B0">
        <w:t> </w:t>
      </w:r>
      <w:r w:rsidRPr="005675B0">
        <w:t>761EA of the Corporations Act) is declared to be a financial product for the purposes of subsection</w:t>
      </w:r>
      <w:r w:rsidR="005675B0">
        <w:t> </w:t>
      </w:r>
      <w:r w:rsidRPr="005675B0">
        <w:t>12BAA(7) of the Act.</w:t>
      </w:r>
    </w:p>
    <w:p w:rsidR="00D55C02" w:rsidRPr="005675B0" w:rsidRDefault="00D55C02" w:rsidP="00970EC1">
      <w:pPr>
        <w:pStyle w:val="ActHead5"/>
      </w:pPr>
      <w:bookmarkStart w:id="9" w:name="_Toc46238137"/>
      <w:r w:rsidRPr="005675B0">
        <w:rPr>
          <w:rStyle w:val="CharSectno"/>
        </w:rPr>
        <w:t>2BB</w:t>
      </w:r>
      <w:r w:rsidR="00970EC1" w:rsidRPr="005675B0">
        <w:t xml:space="preserve">  </w:t>
      </w:r>
      <w:r w:rsidRPr="005675B0">
        <w:t>Specific things that are not financial products—Australian carbon credit units and eligible international emissions units</w:t>
      </w:r>
      <w:bookmarkEnd w:id="9"/>
    </w:p>
    <w:p w:rsidR="00D55C02" w:rsidRPr="005675B0" w:rsidRDefault="00D55C02" w:rsidP="00970EC1">
      <w:pPr>
        <w:pStyle w:val="subsection"/>
      </w:pPr>
      <w:r w:rsidRPr="005675B0">
        <w:tab/>
        <w:t>(1)</w:t>
      </w:r>
      <w:r w:rsidRPr="005675B0">
        <w:tab/>
        <w:t>For paragraph</w:t>
      </w:r>
      <w:r w:rsidR="005675B0">
        <w:t> </w:t>
      </w:r>
      <w:r w:rsidRPr="005675B0">
        <w:t>12BAA(8</w:t>
      </w:r>
      <w:r w:rsidR="00970EC1" w:rsidRPr="005675B0">
        <w:t>)(</w:t>
      </w:r>
      <w:r w:rsidRPr="005675B0">
        <w:t>p) of the Act:</w:t>
      </w:r>
    </w:p>
    <w:p w:rsidR="00D55C02" w:rsidRPr="005675B0" w:rsidRDefault="00D55C02" w:rsidP="00970EC1">
      <w:pPr>
        <w:pStyle w:val="paragraph"/>
      </w:pPr>
      <w:r w:rsidRPr="005675B0">
        <w:tab/>
        <w:t>(a)</w:t>
      </w:r>
      <w:r w:rsidRPr="005675B0">
        <w:tab/>
        <w:t>an Australian carbon credit unit is not a financial product; and</w:t>
      </w:r>
    </w:p>
    <w:p w:rsidR="00D55C02" w:rsidRPr="005675B0" w:rsidRDefault="00D55C02" w:rsidP="00970EC1">
      <w:pPr>
        <w:pStyle w:val="paragraph"/>
      </w:pPr>
      <w:r w:rsidRPr="005675B0">
        <w:lastRenderedPageBreak/>
        <w:tab/>
        <w:t>(b)</w:t>
      </w:r>
      <w:r w:rsidRPr="005675B0">
        <w:tab/>
        <w:t>an eligible international emissions unit is not a financial product.</w:t>
      </w:r>
    </w:p>
    <w:p w:rsidR="00D55C02" w:rsidRPr="005675B0" w:rsidRDefault="00D55C02" w:rsidP="00970EC1">
      <w:pPr>
        <w:pStyle w:val="subsection"/>
      </w:pPr>
      <w:r w:rsidRPr="005675B0">
        <w:tab/>
        <w:t>(2)</w:t>
      </w:r>
      <w:r w:rsidRPr="005675B0">
        <w:tab/>
        <w:t>On 1</w:t>
      </w:r>
      <w:r w:rsidR="005675B0">
        <w:t> </w:t>
      </w:r>
      <w:r w:rsidRPr="005675B0">
        <w:t>July 2012:</w:t>
      </w:r>
    </w:p>
    <w:p w:rsidR="00D55C02" w:rsidRPr="005675B0" w:rsidRDefault="00D55C02" w:rsidP="00970EC1">
      <w:pPr>
        <w:pStyle w:val="paragraph"/>
      </w:pPr>
      <w:r w:rsidRPr="005675B0">
        <w:tab/>
        <w:t>(a)</w:t>
      </w:r>
      <w:r w:rsidRPr="005675B0">
        <w:tab/>
        <w:t>subregulation</w:t>
      </w:r>
      <w:r w:rsidR="00091A5B" w:rsidRPr="005675B0">
        <w:t> </w:t>
      </w:r>
      <w:r w:rsidRPr="005675B0">
        <w:t>(1) ceases to apply; and</w:t>
      </w:r>
    </w:p>
    <w:p w:rsidR="00D55C02" w:rsidRPr="005675B0" w:rsidRDefault="00D55C02" w:rsidP="00970EC1">
      <w:pPr>
        <w:pStyle w:val="paragraph"/>
      </w:pPr>
      <w:r w:rsidRPr="005675B0">
        <w:tab/>
        <w:t>(b)</w:t>
      </w:r>
      <w:r w:rsidRPr="005675B0">
        <w:tab/>
        <w:t>Australian carbon credit units and eligible international emissions units become financial products.</w:t>
      </w:r>
    </w:p>
    <w:p w:rsidR="00F0641B" w:rsidRPr="005675B0" w:rsidRDefault="00F0641B" w:rsidP="00F0641B">
      <w:pPr>
        <w:pStyle w:val="ActHead5"/>
      </w:pPr>
      <w:bookmarkStart w:id="10" w:name="_Toc46238138"/>
      <w:r w:rsidRPr="005675B0">
        <w:rPr>
          <w:rStyle w:val="CharSectno"/>
        </w:rPr>
        <w:t>2BC</w:t>
      </w:r>
      <w:r w:rsidRPr="005675B0">
        <w:t xml:space="preserve">  Specific things that are not financial products—certain tradeable water rights</w:t>
      </w:r>
      <w:bookmarkEnd w:id="10"/>
    </w:p>
    <w:p w:rsidR="00F0641B" w:rsidRPr="005675B0" w:rsidRDefault="00F0641B" w:rsidP="00F0641B">
      <w:pPr>
        <w:pStyle w:val="subsection"/>
      </w:pPr>
      <w:r w:rsidRPr="005675B0">
        <w:tab/>
        <w:t>(1)</w:t>
      </w:r>
      <w:r w:rsidRPr="005675B0">
        <w:tab/>
        <w:t>For paragraph</w:t>
      </w:r>
      <w:r w:rsidR="005675B0">
        <w:t> </w:t>
      </w:r>
      <w:r w:rsidRPr="005675B0">
        <w:t>12BAA(8)(p) of the Act, each of the following is not a financial product:</w:t>
      </w:r>
    </w:p>
    <w:p w:rsidR="00F0641B" w:rsidRPr="005675B0" w:rsidRDefault="00F0641B" w:rsidP="00F0641B">
      <w:pPr>
        <w:pStyle w:val="paragraph"/>
      </w:pPr>
      <w:r w:rsidRPr="005675B0">
        <w:tab/>
        <w:t>(a)</w:t>
      </w:r>
      <w:r w:rsidRPr="005675B0">
        <w:tab/>
        <w:t>tradeable water rights;</w:t>
      </w:r>
    </w:p>
    <w:p w:rsidR="00F0641B" w:rsidRPr="005675B0" w:rsidRDefault="00F0641B" w:rsidP="00F0641B">
      <w:pPr>
        <w:pStyle w:val="paragraph"/>
      </w:pPr>
      <w:r w:rsidRPr="005675B0">
        <w:tab/>
        <w:t>(b)</w:t>
      </w:r>
      <w:r w:rsidRPr="005675B0">
        <w:tab/>
        <w:t>an arrangement:</w:t>
      </w:r>
    </w:p>
    <w:p w:rsidR="00F0641B" w:rsidRPr="005675B0" w:rsidRDefault="00F0641B" w:rsidP="00F0641B">
      <w:pPr>
        <w:pStyle w:val="paragraphsub"/>
      </w:pPr>
      <w:r w:rsidRPr="005675B0">
        <w:tab/>
        <w:t>(i)</w:t>
      </w:r>
      <w:r w:rsidRPr="005675B0">
        <w:tab/>
        <w:t xml:space="preserve">under which a person (the </w:t>
      </w:r>
      <w:r w:rsidRPr="005675B0">
        <w:rPr>
          <w:b/>
          <w:i/>
        </w:rPr>
        <w:t>seller</w:t>
      </w:r>
      <w:r w:rsidRPr="005675B0">
        <w:t>) has, or may have, an obligation to sell tradeable water rights at a future date; and</w:t>
      </w:r>
    </w:p>
    <w:p w:rsidR="00F0641B" w:rsidRPr="005675B0" w:rsidRDefault="00F0641B" w:rsidP="00F0641B">
      <w:pPr>
        <w:pStyle w:val="paragraphsub"/>
      </w:pPr>
      <w:r w:rsidRPr="005675B0">
        <w:tab/>
        <w:t>(ii)</w:t>
      </w:r>
      <w:r w:rsidRPr="005675B0">
        <w:tab/>
        <w:t xml:space="preserve">under which another person (the </w:t>
      </w:r>
      <w:r w:rsidRPr="005675B0">
        <w:rPr>
          <w:b/>
          <w:i/>
        </w:rPr>
        <w:t>buyer</w:t>
      </w:r>
      <w:r w:rsidRPr="005675B0">
        <w:t>) has, or may have, an obligation to buy the tradeable water rights, or replacement water rights, at a future date; and</w:t>
      </w:r>
    </w:p>
    <w:p w:rsidR="00F0641B" w:rsidRPr="005675B0" w:rsidRDefault="00F0641B" w:rsidP="00F0641B">
      <w:pPr>
        <w:pStyle w:val="paragraphsub"/>
      </w:pPr>
      <w:r w:rsidRPr="005675B0">
        <w:tab/>
        <w:t>(iii)</w:t>
      </w:r>
      <w:r w:rsidRPr="005675B0">
        <w:tab/>
        <w:t>that does not permit the seller’s obligations to be wholly settled by cash, or by set</w:t>
      </w:r>
      <w:r w:rsidR="005675B0">
        <w:noBreakHyphen/>
      </w:r>
      <w:r w:rsidRPr="005675B0">
        <w:t>off between the seller and the buyer, rather than by transfer of ownership of the tradeable water rights or replacement water rights; and</w:t>
      </w:r>
    </w:p>
    <w:p w:rsidR="00F0641B" w:rsidRPr="005675B0" w:rsidRDefault="00F0641B" w:rsidP="00F0641B">
      <w:pPr>
        <w:pStyle w:val="paragraphsub"/>
      </w:pPr>
      <w:r w:rsidRPr="005675B0">
        <w:tab/>
        <w:t>(iv)</w:t>
      </w:r>
      <w:r w:rsidRPr="005675B0">
        <w:tab/>
        <w:t>in relation to which neither usual market practice, nor the rules, allow the seller’s obligations to be closed out by matching up the arrangement with another arrangement of the same kind under which the seller has offsetting obligations to buy</w:t>
      </w:r>
      <w:r w:rsidRPr="005675B0">
        <w:rPr>
          <w:b/>
        </w:rPr>
        <w:t xml:space="preserve"> </w:t>
      </w:r>
      <w:r w:rsidRPr="005675B0">
        <w:t>the tradeable water rights or replacement water rights.</w:t>
      </w:r>
    </w:p>
    <w:p w:rsidR="00F0641B" w:rsidRPr="005675B0" w:rsidRDefault="00F0641B" w:rsidP="00F85236">
      <w:pPr>
        <w:pStyle w:val="subsection"/>
        <w:keepNext/>
        <w:keepLines/>
      </w:pPr>
      <w:r w:rsidRPr="005675B0">
        <w:tab/>
        <w:t>(2)</w:t>
      </w:r>
      <w:r w:rsidRPr="005675B0">
        <w:tab/>
        <w:t>In subregulation (1):</w:t>
      </w:r>
    </w:p>
    <w:p w:rsidR="00F0641B" w:rsidRPr="005675B0" w:rsidRDefault="00F0641B" w:rsidP="00F0641B">
      <w:pPr>
        <w:pStyle w:val="Definition"/>
      </w:pPr>
      <w:r w:rsidRPr="005675B0">
        <w:rPr>
          <w:b/>
          <w:i/>
        </w:rPr>
        <w:t>replacement water rights</w:t>
      </w:r>
      <w:r w:rsidRPr="005675B0">
        <w:t xml:space="preserve"> means tradeable water rights that are granted, issued or authorised as a replacement for the seller’s tradeable water rights, including as a result of transformation arrangements mentioned in subsection</w:t>
      </w:r>
      <w:r w:rsidR="005675B0">
        <w:t> </w:t>
      </w:r>
      <w:r w:rsidRPr="005675B0">
        <w:t xml:space="preserve">97(1) of the </w:t>
      </w:r>
      <w:r w:rsidRPr="005675B0">
        <w:rPr>
          <w:i/>
        </w:rPr>
        <w:t>Water Act 2007</w:t>
      </w:r>
      <w:r w:rsidRPr="005675B0">
        <w:t>.</w:t>
      </w:r>
    </w:p>
    <w:p w:rsidR="00F0641B" w:rsidRPr="005675B0" w:rsidRDefault="00F0641B" w:rsidP="00F0641B">
      <w:pPr>
        <w:pStyle w:val="Definition"/>
      </w:pPr>
      <w:r w:rsidRPr="005675B0">
        <w:rPr>
          <w:b/>
          <w:i/>
        </w:rPr>
        <w:t>rules</w:t>
      </w:r>
      <w:r w:rsidRPr="005675B0">
        <w:t xml:space="preserve"> means the rules of:</w:t>
      </w:r>
    </w:p>
    <w:p w:rsidR="00F0641B" w:rsidRPr="005675B0" w:rsidRDefault="00F0641B" w:rsidP="00F0641B">
      <w:pPr>
        <w:pStyle w:val="paragraph"/>
      </w:pPr>
      <w:r w:rsidRPr="005675B0">
        <w:tab/>
        <w:t>(a)</w:t>
      </w:r>
      <w:r w:rsidRPr="005675B0">
        <w:tab/>
        <w:t>a licensed market (as defined in section</w:t>
      </w:r>
      <w:r w:rsidR="005675B0">
        <w:t> </w:t>
      </w:r>
      <w:r w:rsidRPr="005675B0">
        <w:t>761A of the Corporations Act); or</w:t>
      </w:r>
    </w:p>
    <w:p w:rsidR="00F0641B" w:rsidRPr="005675B0" w:rsidRDefault="00F0641B" w:rsidP="00F0641B">
      <w:pPr>
        <w:pStyle w:val="paragraph"/>
      </w:pPr>
      <w:r w:rsidRPr="005675B0">
        <w:tab/>
        <w:t>(b)</w:t>
      </w:r>
      <w:r w:rsidRPr="005675B0">
        <w:tab/>
        <w:t>a licensed CS facility (as defined in section</w:t>
      </w:r>
      <w:r w:rsidR="005675B0">
        <w:t> </w:t>
      </w:r>
      <w:r w:rsidRPr="005675B0">
        <w:t>761A of the Corporations Act).</w:t>
      </w:r>
    </w:p>
    <w:p w:rsidR="00F0641B" w:rsidRPr="005675B0" w:rsidRDefault="00F0641B" w:rsidP="00F0641B">
      <w:pPr>
        <w:pStyle w:val="Definition"/>
      </w:pPr>
      <w:r w:rsidRPr="005675B0">
        <w:rPr>
          <w:b/>
          <w:i/>
        </w:rPr>
        <w:t>tradeable water rights</w:t>
      </w:r>
      <w:r w:rsidRPr="005675B0">
        <w:t xml:space="preserve"> has the same meaning as in the </w:t>
      </w:r>
      <w:r w:rsidRPr="005675B0">
        <w:rPr>
          <w:i/>
        </w:rPr>
        <w:t>Water Act 2007</w:t>
      </w:r>
      <w:r w:rsidRPr="005675B0">
        <w:t>.</w:t>
      </w:r>
    </w:p>
    <w:p w:rsidR="006D4D82" w:rsidRPr="005675B0" w:rsidRDefault="006D4D82" w:rsidP="006D4D82">
      <w:pPr>
        <w:pStyle w:val="ActHead5"/>
      </w:pPr>
      <w:bookmarkStart w:id="11" w:name="_Toc46238139"/>
      <w:r w:rsidRPr="005675B0">
        <w:rPr>
          <w:rStyle w:val="CharSectno"/>
        </w:rPr>
        <w:t>2BD</w:t>
      </w:r>
      <w:r w:rsidRPr="005675B0">
        <w:t xml:space="preserve">  Specific things that are not financial products—guarantees issued by the NHFIC</w:t>
      </w:r>
      <w:bookmarkEnd w:id="11"/>
    </w:p>
    <w:p w:rsidR="006D4D82" w:rsidRPr="005675B0" w:rsidRDefault="006D4D82" w:rsidP="006D4D82">
      <w:pPr>
        <w:pStyle w:val="subsection"/>
      </w:pPr>
      <w:r w:rsidRPr="005675B0">
        <w:tab/>
      </w:r>
      <w:r w:rsidRPr="005675B0">
        <w:tab/>
        <w:t>For paragraph</w:t>
      </w:r>
      <w:r w:rsidR="005675B0">
        <w:t> </w:t>
      </w:r>
      <w:r w:rsidRPr="005675B0">
        <w:t>12BAA(8)(p) of the Act, a guarantee the National Housing Finance and Investment Corporation has issued in the performance of its function under paragraph</w:t>
      </w:r>
      <w:r w:rsidR="005675B0">
        <w:t> </w:t>
      </w:r>
      <w:r w:rsidRPr="005675B0">
        <w:t xml:space="preserve">8(1)(ca) of the </w:t>
      </w:r>
      <w:r w:rsidRPr="005675B0">
        <w:rPr>
          <w:i/>
        </w:rPr>
        <w:t>National Housing Finance and Investment Corporation Act 2018</w:t>
      </w:r>
      <w:r w:rsidRPr="005675B0">
        <w:t xml:space="preserve"> is not a financial product.</w:t>
      </w:r>
    </w:p>
    <w:p w:rsidR="008B325F" w:rsidRPr="005675B0" w:rsidRDefault="008B325F" w:rsidP="00970EC1">
      <w:pPr>
        <w:pStyle w:val="ActHead5"/>
      </w:pPr>
      <w:bookmarkStart w:id="12" w:name="_Toc46238140"/>
      <w:r w:rsidRPr="005675B0">
        <w:rPr>
          <w:rStyle w:val="CharSectno"/>
        </w:rPr>
        <w:lastRenderedPageBreak/>
        <w:t>2C</w:t>
      </w:r>
      <w:r w:rsidR="00970EC1" w:rsidRPr="005675B0">
        <w:t xml:space="preserve">  </w:t>
      </w:r>
      <w:r w:rsidRPr="005675B0">
        <w:t xml:space="preserve">Meaning of </w:t>
      </w:r>
      <w:r w:rsidRPr="005675B0">
        <w:rPr>
          <w:i/>
        </w:rPr>
        <w:t>financial service</w:t>
      </w:r>
      <w:r w:rsidR="00970EC1" w:rsidRPr="005675B0">
        <w:rPr>
          <w:i/>
        </w:rPr>
        <w:t>—</w:t>
      </w:r>
      <w:r w:rsidRPr="005675B0">
        <w:t>off</w:t>
      </w:r>
      <w:r w:rsidR="005675B0">
        <w:noBreakHyphen/>
      </w:r>
      <w:r w:rsidRPr="005675B0">
        <w:t>market offers for financial products</w:t>
      </w:r>
      <w:bookmarkEnd w:id="12"/>
    </w:p>
    <w:p w:rsidR="008B325F" w:rsidRPr="005675B0" w:rsidRDefault="008B325F" w:rsidP="00970EC1">
      <w:pPr>
        <w:pStyle w:val="subsection"/>
      </w:pPr>
      <w:r w:rsidRPr="005675B0">
        <w:tab/>
      </w:r>
      <w:r w:rsidRPr="005675B0">
        <w:tab/>
        <w:t>For paragraph</w:t>
      </w:r>
      <w:r w:rsidR="005675B0">
        <w:t> </w:t>
      </w:r>
      <w:r w:rsidRPr="005675B0">
        <w:t>12BAB(1</w:t>
      </w:r>
      <w:r w:rsidR="00970EC1" w:rsidRPr="005675B0">
        <w:t>)(</w:t>
      </w:r>
      <w:r w:rsidRPr="005675B0">
        <w:t>h) of the Act, a person provides a financial service if:</w:t>
      </w:r>
    </w:p>
    <w:p w:rsidR="008B325F" w:rsidRPr="005675B0" w:rsidRDefault="008B325F" w:rsidP="00970EC1">
      <w:pPr>
        <w:pStyle w:val="paragraph"/>
      </w:pPr>
      <w:r w:rsidRPr="005675B0">
        <w:tab/>
        <w:t>(a)</w:t>
      </w:r>
      <w:r w:rsidRPr="005675B0">
        <w:tab/>
        <w:t>the person makes an unsolicited offer to purchase a financial product from another person otherwise than through a licensed financial market; and</w:t>
      </w:r>
    </w:p>
    <w:p w:rsidR="008B325F" w:rsidRPr="005675B0" w:rsidRDefault="008B325F" w:rsidP="00970EC1">
      <w:pPr>
        <w:pStyle w:val="paragraph"/>
      </w:pPr>
      <w:r w:rsidRPr="005675B0">
        <w:tab/>
        <w:t>(b)</w:t>
      </w:r>
      <w:r w:rsidRPr="005675B0">
        <w:tab/>
        <w:t>the other person acquired the financial product as a retail client.</w:t>
      </w:r>
    </w:p>
    <w:p w:rsidR="00F66E20" w:rsidRPr="005675B0" w:rsidRDefault="00F66E20" w:rsidP="00970EC1">
      <w:pPr>
        <w:pStyle w:val="ActHead5"/>
      </w:pPr>
      <w:bookmarkStart w:id="13" w:name="_Toc46238141"/>
      <w:r w:rsidRPr="005675B0">
        <w:rPr>
          <w:rStyle w:val="CharSectno"/>
        </w:rPr>
        <w:t>2D</w:t>
      </w:r>
      <w:r w:rsidR="00970EC1" w:rsidRPr="005675B0">
        <w:t xml:space="preserve">  </w:t>
      </w:r>
      <w:r w:rsidRPr="005675B0">
        <w:t>Circumstances in which a person is taken to be provided a traditional trustee company service</w:t>
      </w:r>
      <w:bookmarkEnd w:id="13"/>
    </w:p>
    <w:p w:rsidR="00F66E20" w:rsidRPr="005675B0" w:rsidRDefault="00F66E20" w:rsidP="00970EC1">
      <w:pPr>
        <w:pStyle w:val="subsection"/>
      </w:pPr>
      <w:r w:rsidRPr="005675B0">
        <w:tab/>
      </w:r>
      <w:r w:rsidRPr="005675B0">
        <w:tab/>
        <w:t>For subsection</w:t>
      </w:r>
      <w:r w:rsidR="005675B0">
        <w:t> </w:t>
      </w:r>
      <w:r w:rsidRPr="005675B0">
        <w:t>12BAB(1B) of the Act, a person who is one of the following:</w:t>
      </w:r>
    </w:p>
    <w:p w:rsidR="00F66E20" w:rsidRPr="005675B0" w:rsidRDefault="00F66E20" w:rsidP="00970EC1">
      <w:pPr>
        <w:pStyle w:val="paragraph"/>
      </w:pPr>
      <w:r w:rsidRPr="005675B0">
        <w:tab/>
        <w:t>(a)</w:t>
      </w:r>
      <w:r w:rsidRPr="005675B0">
        <w:tab/>
        <w:t>a person who may request an annual information return under subregulation</w:t>
      </w:r>
      <w:r w:rsidR="005675B0">
        <w:t> </w:t>
      </w:r>
      <w:r w:rsidRPr="005675B0">
        <w:t xml:space="preserve">5D.2.01(3) of the </w:t>
      </w:r>
      <w:r w:rsidRPr="005675B0">
        <w:rPr>
          <w:i/>
        </w:rPr>
        <w:t>Corporations Regulations</w:t>
      </w:r>
      <w:r w:rsidR="005675B0">
        <w:rPr>
          <w:i/>
        </w:rPr>
        <w:t> </w:t>
      </w:r>
      <w:r w:rsidRPr="005675B0">
        <w:rPr>
          <w:i/>
        </w:rPr>
        <w:t>2001</w:t>
      </w:r>
      <w:r w:rsidRPr="005675B0">
        <w:t>;</w:t>
      </w:r>
    </w:p>
    <w:p w:rsidR="00F66E20" w:rsidRPr="005675B0" w:rsidRDefault="00F66E20" w:rsidP="00970EC1">
      <w:pPr>
        <w:pStyle w:val="paragraph"/>
      </w:pPr>
      <w:r w:rsidRPr="005675B0">
        <w:tab/>
        <w:t>(b)</w:t>
      </w:r>
      <w:r w:rsidRPr="005675B0">
        <w:tab/>
        <w:t>a person who requests the preparation of a will, a trust instrument, a power of attorney or an agency arrangement;</w:t>
      </w:r>
    </w:p>
    <w:p w:rsidR="00F66E20" w:rsidRPr="005675B0" w:rsidRDefault="00F66E20" w:rsidP="00970EC1">
      <w:pPr>
        <w:pStyle w:val="subsection2"/>
      </w:pPr>
      <w:r w:rsidRPr="005675B0">
        <w:t xml:space="preserve">is, in relation to an estate management function, prescribed as the person to whom the service is taken to be provided for the purpose of </w:t>
      </w:r>
      <w:r w:rsidR="00970EC1" w:rsidRPr="005675B0">
        <w:t>Division</w:t>
      </w:r>
      <w:r w:rsidR="005675B0">
        <w:t> </w:t>
      </w:r>
      <w:r w:rsidRPr="005675B0">
        <w:t xml:space="preserve">2 of </w:t>
      </w:r>
      <w:r w:rsidR="00970EC1" w:rsidRPr="005675B0">
        <w:t>Part</w:t>
      </w:r>
      <w:r w:rsidR="005675B0">
        <w:t> </w:t>
      </w:r>
      <w:r w:rsidRPr="005675B0">
        <w:t>2 of the Act.</w:t>
      </w:r>
    </w:p>
    <w:p w:rsidR="00562B1F" w:rsidRPr="005675B0" w:rsidRDefault="00562B1F" w:rsidP="00970EC1">
      <w:pPr>
        <w:pStyle w:val="ActHead5"/>
        <w:rPr>
          <w:i/>
        </w:rPr>
      </w:pPr>
      <w:bookmarkStart w:id="14" w:name="_Toc46238142"/>
      <w:r w:rsidRPr="005675B0">
        <w:rPr>
          <w:rStyle w:val="CharSectno"/>
        </w:rPr>
        <w:t>2E</w:t>
      </w:r>
      <w:r w:rsidR="00970EC1" w:rsidRPr="005675B0">
        <w:t xml:space="preserve">  </w:t>
      </w:r>
      <w:r w:rsidRPr="005675B0">
        <w:t xml:space="preserve">Prescribed requirements for definition of </w:t>
      </w:r>
      <w:r w:rsidRPr="005675B0">
        <w:rPr>
          <w:i/>
        </w:rPr>
        <w:t>assert a right to payment</w:t>
      </w:r>
      <w:bookmarkEnd w:id="14"/>
    </w:p>
    <w:p w:rsidR="00562B1F" w:rsidRPr="005675B0" w:rsidRDefault="00562B1F" w:rsidP="00970EC1">
      <w:pPr>
        <w:pStyle w:val="subsection"/>
      </w:pPr>
      <w:r w:rsidRPr="005675B0">
        <w:tab/>
      </w:r>
      <w:r w:rsidRPr="005675B0">
        <w:tab/>
        <w:t>For paragraph</w:t>
      </w:r>
      <w:r w:rsidR="005675B0">
        <w:t> </w:t>
      </w:r>
      <w:r w:rsidRPr="005675B0">
        <w:t>12BEA(1</w:t>
      </w:r>
      <w:r w:rsidR="00970EC1" w:rsidRPr="005675B0">
        <w:t>)(</w:t>
      </w:r>
      <w:r w:rsidRPr="005675B0">
        <w:t>e) of the Act, the following requirements are prescribed:</w:t>
      </w:r>
    </w:p>
    <w:p w:rsidR="00562B1F" w:rsidRPr="005675B0" w:rsidRDefault="00562B1F" w:rsidP="00970EC1">
      <w:pPr>
        <w:pStyle w:val="paragraph"/>
      </w:pPr>
      <w:r w:rsidRPr="005675B0">
        <w:tab/>
        <w:t>(a)</w:t>
      </w:r>
      <w:r w:rsidRPr="005675B0">
        <w:tab/>
        <w:t xml:space="preserve">the statement must include the text ‘This is not a bill. You are not required to pay any money.’; </w:t>
      </w:r>
    </w:p>
    <w:p w:rsidR="00562B1F" w:rsidRPr="005675B0" w:rsidRDefault="00562B1F" w:rsidP="00970EC1">
      <w:pPr>
        <w:pStyle w:val="paragraph"/>
      </w:pPr>
      <w:r w:rsidRPr="005675B0">
        <w:tab/>
        <w:t>(b)</w:t>
      </w:r>
      <w:r w:rsidRPr="005675B0">
        <w:tab/>
        <w:t>the text must be the most prominent text in the document.</w:t>
      </w:r>
    </w:p>
    <w:p w:rsidR="00562B1F" w:rsidRPr="005675B0" w:rsidRDefault="00562B1F" w:rsidP="00970EC1">
      <w:pPr>
        <w:pStyle w:val="ActHead5"/>
      </w:pPr>
      <w:bookmarkStart w:id="15" w:name="_Toc46238143"/>
      <w:r w:rsidRPr="005675B0">
        <w:rPr>
          <w:rStyle w:val="CharSectno"/>
        </w:rPr>
        <w:t>2F</w:t>
      </w:r>
      <w:r w:rsidR="00970EC1" w:rsidRPr="005675B0">
        <w:t xml:space="preserve">  </w:t>
      </w:r>
      <w:r w:rsidRPr="005675B0">
        <w:t>Prescribed requirements for warning statements</w:t>
      </w:r>
      <w:bookmarkEnd w:id="15"/>
    </w:p>
    <w:p w:rsidR="00562B1F" w:rsidRPr="005675B0" w:rsidRDefault="00562B1F" w:rsidP="00970EC1">
      <w:pPr>
        <w:pStyle w:val="subsection"/>
      </w:pPr>
      <w:r w:rsidRPr="005675B0">
        <w:tab/>
      </w:r>
      <w:r w:rsidRPr="005675B0">
        <w:tab/>
        <w:t>For paragraphs 12DM(1AA</w:t>
      </w:r>
      <w:r w:rsidR="00970EC1" w:rsidRPr="005675B0">
        <w:t>)(</w:t>
      </w:r>
      <w:r w:rsidRPr="005675B0">
        <w:t>b) and 12DMB(2</w:t>
      </w:r>
      <w:r w:rsidR="00970EC1" w:rsidRPr="005675B0">
        <w:t>)(</w:t>
      </w:r>
      <w:r w:rsidRPr="005675B0">
        <w:t>b) of the Act, the following requirements are prescribed:</w:t>
      </w:r>
    </w:p>
    <w:p w:rsidR="00562B1F" w:rsidRPr="005675B0" w:rsidRDefault="00562B1F" w:rsidP="00970EC1">
      <w:pPr>
        <w:pStyle w:val="paragraph"/>
      </w:pPr>
      <w:r w:rsidRPr="005675B0">
        <w:tab/>
        <w:t>(a)</w:t>
      </w:r>
      <w:r w:rsidRPr="005675B0">
        <w:tab/>
        <w:t>the warning statement must include the text ‘This is not a bill. You are not required to pay any money.’; and</w:t>
      </w:r>
    </w:p>
    <w:p w:rsidR="00562B1F" w:rsidRPr="005675B0" w:rsidRDefault="00562B1F" w:rsidP="00970EC1">
      <w:pPr>
        <w:pStyle w:val="paragraph"/>
      </w:pPr>
      <w:r w:rsidRPr="005675B0">
        <w:tab/>
        <w:t>(b)</w:t>
      </w:r>
      <w:r w:rsidRPr="005675B0">
        <w:tab/>
        <w:t>the text must be the most prominent text in the document.</w:t>
      </w:r>
    </w:p>
    <w:p w:rsidR="00F66E20" w:rsidRPr="005675B0" w:rsidRDefault="00970EC1" w:rsidP="00DE27A5">
      <w:pPr>
        <w:pStyle w:val="ActHead2"/>
        <w:pageBreakBefore/>
      </w:pPr>
      <w:bookmarkStart w:id="16" w:name="_Toc46238144"/>
      <w:r w:rsidRPr="005675B0">
        <w:rPr>
          <w:rStyle w:val="CharPartNo"/>
        </w:rPr>
        <w:lastRenderedPageBreak/>
        <w:t>Part</w:t>
      </w:r>
      <w:r w:rsidR="005675B0" w:rsidRPr="005675B0">
        <w:rPr>
          <w:rStyle w:val="CharPartNo"/>
        </w:rPr>
        <w:t> </w:t>
      </w:r>
      <w:r w:rsidR="00F66E20" w:rsidRPr="005675B0">
        <w:rPr>
          <w:rStyle w:val="CharPartNo"/>
        </w:rPr>
        <w:t>2</w:t>
      </w:r>
      <w:r w:rsidRPr="005675B0">
        <w:t>—</w:t>
      </w:r>
      <w:r w:rsidR="00F66E20" w:rsidRPr="005675B0">
        <w:rPr>
          <w:rStyle w:val="CharPartText"/>
        </w:rPr>
        <w:t>General</w:t>
      </w:r>
      <w:bookmarkEnd w:id="16"/>
    </w:p>
    <w:p w:rsidR="00F66E20" w:rsidRPr="005675B0" w:rsidRDefault="00DE27A5" w:rsidP="00F66E20">
      <w:pPr>
        <w:pStyle w:val="Header"/>
      </w:pPr>
      <w:r w:rsidRPr="005675B0">
        <w:rPr>
          <w:rStyle w:val="CharDivNo"/>
        </w:rPr>
        <w:t xml:space="preserve"> </w:t>
      </w:r>
      <w:r w:rsidRPr="005675B0">
        <w:rPr>
          <w:rStyle w:val="CharDivText"/>
        </w:rPr>
        <w:t xml:space="preserve"> </w:t>
      </w:r>
    </w:p>
    <w:p w:rsidR="00A91F60" w:rsidRPr="005675B0" w:rsidRDefault="00A91F60" w:rsidP="00A91F60">
      <w:pPr>
        <w:pStyle w:val="ActHead5"/>
      </w:pPr>
      <w:bookmarkStart w:id="17" w:name="_Toc46238145"/>
      <w:r w:rsidRPr="005675B0">
        <w:rPr>
          <w:rStyle w:val="CharSectno"/>
        </w:rPr>
        <w:t>3A</w:t>
      </w:r>
      <w:r w:rsidRPr="005675B0">
        <w:t xml:space="preserve">  Professional standards schemes</w:t>
      </w:r>
      <w:bookmarkEnd w:id="17"/>
    </w:p>
    <w:p w:rsidR="00A91F60" w:rsidRPr="005675B0" w:rsidRDefault="00A91F60" w:rsidP="00A91F60">
      <w:pPr>
        <w:pStyle w:val="subsection"/>
      </w:pPr>
      <w:r w:rsidRPr="005675B0">
        <w:tab/>
      </w:r>
      <w:r w:rsidRPr="005675B0">
        <w:tab/>
        <w:t>For subsection</w:t>
      </w:r>
      <w:r w:rsidR="005675B0">
        <w:t> </w:t>
      </w:r>
      <w:r w:rsidRPr="005675B0">
        <w:t>12GNA(2) of the Act, a scheme and any modifications to the scheme set out in the following table are prescribed.</w:t>
      </w:r>
    </w:p>
    <w:p w:rsidR="00A91F60" w:rsidRPr="005675B0" w:rsidRDefault="00A91F60" w:rsidP="00A91F60">
      <w:pPr>
        <w:pStyle w:val="notetext"/>
      </w:pPr>
      <w:r w:rsidRPr="005675B0">
        <w:t>Note:</w:t>
      </w:r>
      <w:r w:rsidRPr="005675B0">
        <w:tab/>
        <w:t>Column 2 of the table below is included for information only.</w:t>
      </w:r>
    </w:p>
    <w:p w:rsidR="00DE27A5" w:rsidRPr="005675B0" w:rsidRDefault="00DE27A5" w:rsidP="00DE27A5">
      <w:pPr>
        <w:pStyle w:val="Tabletext"/>
      </w:pPr>
    </w:p>
    <w:tbl>
      <w:tblPr>
        <w:tblW w:w="5000" w:type="pct"/>
        <w:tblBorders>
          <w:top w:val="single" w:sz="12" w:space="0" w:color="auto"/>
          <w:bottom w:val="single" w:sz="12" w:space="0" w:color="auto"/>
        </w:tblBorders>
        <w:tblLook w:val="01E0" w:firstRow="1" w:lastRow="1" w:firstColumn="1" w:lastColumn="1" w:noHBand="0" w:noVBand="0"/>
      </w:tblPr>
      <w:tblGrid>
        <w:gridCol w:w="742"/>
        <w:gridCol w:w="4896"/>
        <w:gridCol w:w="2891"/>
      </w:tblGrid>
      <w:tr w:rsidR="002F63AF" w:rsidRPr="005675B0" w:rsidTr="00590BD9">
        <w:trPr>
          <w:tblHeader/>
        </w:trPr>
        <w:tc>
          <w:tcPr>
            <w:tcW w:w="5000" w:type="pct"/>
            <w:gridSpan w:val="3"/>
            <w:tcBorders>
              <w:top w:val="single" w:sz="12" w:space="0" w:color="auto"/>
              <w:bottom w:val="single" w:sz="4" w:space="0" w:color="auto"/>
            </w:tcBorders>
            <w:shd w:val="clear" w:color="auto" w:fill="auto"/>
          </w:tcPr>
          <w:p w:rsidR="002F63AF" w:rsidRPr="005675B0" w:rsidRDefault="002F63AF" w:rsidP="002F63AF">
            <w:pPr>
              <w:pStyle w:val="TableHeading"/>
            </w:pPr>
            <w:r w:rsidRPr="005675B0">
              <w:t>Prescribed professional standards schemes</w:t>
            </w:r>
          </w:p>
        </w:tc>
      </w:tr>
      <w:tr w:rsidR="002F63AF" w:rsidRPr="005675B0" w:rsidTr="00CA6885">
        <w:trPr>
          <w:tblHeader/>
        </w:trPr>
        <w:tc>
          <w:tcPr>
            <w:tcW w:w="435" w:type="pct"/>
            <w:tcBorders>
              <w:top w:val="single" w:sz="4" w:space="0" w:color="auto"/>
              <w:bottom w:val="single" w:sz="12" w:space="0" w:color="auto"/>
            </w:tcBorders>
            <w:shd w:val="clear" w:color="auto" w:fill="auto"/>
          </w:tcPr>
          <w:p w:rsidR="002F63AF" w:rsidRPr="005675B0" w:rsidRDefault="002F63AF" w:rsidP="002F63AF">
            <w:pPr>
              <w:pStyle w:val="TableHeading"/>
            </w:pPr>
            <w:r w:rsidRPr="005675B0">
              <w:t>Item</w:t>
            </w:r>
          </w:p>
        </w:tc>
        <w:tc>
          <w:tcPr>
            <w:tcW w:w="2870" w:type="pct"/>
            <w:tcBorders>
              <w:top w:val="single" w:sz="4" w:space="0" w:color="auto"/>
              <w:bottom w:val="single" w:sz="12" w:space="0" w:color="auto"/>
            </w:tcBorders>
            <w:shd w:val="clear" w:color="auto" w:fill="auto"/>
          </w:tcPr>
          <w:p w:rsidR="002F63AF" w:rsidRPr="005675B0" w:rsidRDefault="002F63AF" w:rsidP="002F63AF">
            <w:pPr>
              <w:pStyle w:val="TableHeading"/>
            </w:pPr>
            <w:r w:rsidRPr="005675B0">
              <w:t>Column 1</w:t>
            </w:r>
            <w:r w:rsidRPr="005675B0">
              <w:br/>
              <w:t>Scheme</w:t>
            </w:r>
          </w:p>
        </w:tc>
        <w:tc>
          <w:tcPr>
            <w:tcW w:w="1695" w:type="pct"/>
            <w:tcBorders>
              <w:top w:val="single" w:sz="4" w:space="0" w:color="auto"/>
              <w:bottom w:val="single" w:sz="12" w:space="0" w:color="auto"/>
            </w:tcBorders>
            <w:shd w:val="clear" w:color="auto" w:fill="auto"/>
          </w:tcPr>
          <w:p w:rsidR="002F63AF" w:rsidRPr="005675B0" w:rsidRDefault="002F63AF" w:rsidP="002F63AF">
            <w:pPr>
              <w:pStyle w:val="TableHeading"/>
            </w:pPr>
            <w:r w:rsidRPr="005675B0">
              <w:t>Column 2</w:t>
            </w:r>
            <w:r w:rsidRPr="005675B0">
              <w:br/>
              <w:t>Date prescribed</w:t>
            </w:r>
          </w:p>
        </w:tc>
      </w:tr>
      <w:tr w:rsidR="00E20779" w:rsidRPr="005675B0" w:rsidTr="00CA6885">
        <w:tc>
          <w:tcPr>
            <w:tcW w:w="435" w:type="pct"/>
            <w:tcBorders>
              <w:top w:val="single" w:sz="12" w:space="0" w:color="auto"/>
              <w:bottom w:val="single" w:sz="4" w:space="0" w:color="auto"/>
            </w:tcBorders>
            <w:shd w:val="clear" w:color="auto" w:fill="auto"/>
          </w:tcPr>
          <w:p w:rsidR="00E20779" w:rsidRPr="005675B0" w:rsidRDefault="00E20779" w:rsidP="000E4238">
            <w:pPr>
              <w:pStyle w:val="Tabletext"/>
              <w:rPr>
                <w:color w:val="000000"/>
              </w:rPr>
            </w:pPr>
            <w:r w:rsidRPr="005675B0">
              <w:rPr>
                <w:color w:val="000000"/>
              </w:rPr>
              <w:t>1</w:t>
            </w:r>
          </w:p>
        </w:tc>
        <w:tc>
          <w:tcPr>
            <w:tcW w:w="2870" w:type="pct"/>
            <w:tcBorders>
              <w:top w:val="single" w:sz="12" w:space="0" w:color="auto"/>
              <w:bottom w:val="single" w:sz="4" w:space="0" w:color="auto"/>
            </w:tcBorders>
            <w:shd w:val="clear" w:color="auto" w:fill="auto"/>
          </w:tcPr>
          <w:p w:rsidR="00E20779" w:rsidRPr="005675B0" w:rsidRDefault="00E20779" w:rsidP="000E4238">
            <w:pPr>
              <w:pStyle w:val="Tabletext"/>
              <w:rPr>
                <w:color w:val="000000"/>
              </w:rPr>
            </w:pPr>
            <w:r w:rsidRPr="005675B0">
              <w:t>The CPA Australia Ltd Professional Standards (Accountants) Scheme, published in the New South Wales Government Gazette No.</w:t>
            </w:r>
            <w:r w:rsidR="005675B0">
              <w:t> </w:t>
            </w:r>
            <w:r w:rsidRPr="005675B0">
              <w:t>98, 30</w:t>
            </w:r>
            <w:r w:rsidR="005675B0">
              <w:t> </w:t>
            </w:r>
            <w:r w:rsidRPr="005675B0">
              <w:t>August 2019</w:t>
            </w:r>
          </w:p>
          <w:p w:rsidR="00E20779" w:rsidRPr="005675B0" w:rsidRDefault="00E20779" w:rsidP="000E4238">
            <w:pPr>
              <w:pStyle w:val="notemargin"/>
            </w:pPr>
            <w:r w:rsidRPr="005675B0">
              <w:t>Note:</w:t>
            </w:r>
            <w:r w:rsidRPr="005675B0">
              <w:tab/>
              <w:t xml:space="preserve">This Scheme was formerly the </w:t>
            </w:r>
            <w:r w:rsidRPr="005675B0">
              <w:rPr>
                <w:color w:val="000000"/>
              </w:rPr>
              <w:t>CPA Australia Ltd Professional Standards (Accountants) Scheme, published in the New South Wales Government Gazette No.</w:t>
            </w:r>
            <w:r w:rsidR="005675B0">
              <w:rPr>
                <w:color w:val="000000"/>
              </w:rPr>
              <w:t> </w:t>
            </w:r>
            <w:r w:rsidRPr="005675B0">
              <w:rPr>
                <w:color w:val="000000"/>
              </w:rPr>
              <w:t>138, 22</w:t>
            </w:r>
            <w:r w:rsidR="005675B0">
              <w:rPr>
                <w:color w:val="000000"/>
              </w:rPr>
              <w:t> </w:t>
            </w:r>
            <w:r w:rsidRPr="005675B0">
              <w:rPr>
                <w:color w:val="000000"/>
              </w:rPr>
              <w:t>December 2017.</w:t>
            </w:r>
          </w:p>
        </w:tc>
        <w:tc>
          <w:tcPr>
            <w:tcW w:w="1695" w:type="pct"/>
            <w:tcBorders>
              <w:top w:val="single" w:sz="12" w:space="0" w:color="auto"/>
              <w:bottom w:val="single" w:sz="4" w:space="0" w:color="auto"/>
            </w:tcBorders>
            <w:shd w:val="clear" w:color="auto" w:fill="auto"/>
          </w:tcPr>
          <w:p w:rsidR="00E20779" w:rsidRPr="005675B0" w:rsidRDefault="00290BC0" w:rsidP="000E4238">
            <w:pPr>
              <w:pStyle w:val="Tabletext"/>
              <w:rPr>
                <w:color w:val="000000"/>
              </w:rPr>
            </w:pPr>
            <w:r w:rsidRPr="005675B0">
              <w:t>22</w:t>
            </w:r>
            <w:r w:rsidR="005675B0">
              <w:t> </w:t>
            </w:r>
            <w:r w:rsidRPr="005675B0">
              <w:t>October 2019</w:t>
            </w:r>
          </w:p>
        </w:tc>
      </w:tr>
      <w:tr w:rsidR="00E20779" w:rsidRPr="005675B0" w:rsidTr="00CA6885">
        <w:tc>
          <w:tcPr>
            <w:tcW w:w="435" w:type="pct"/>
            <w:tcBorders>
              <w:top w:val="single" w:sz="4" w:space="0" w:color="auto"/>
              <w:bottom w:val="single" w:sz="4" w:space="0" w:color="auto"/>
            </w:tcBorders>
            <w:shd w:val="clear" w:color="auto" w:fill="auto"/>
          </w:tcPr>
          <w:p w:rsidR="00E20779" w:rsidRPr="005675B0" w:rsidRDefault="00E20779" w:rsidP="000E4238">
            <w:pPr>
              <w:pStyle w:val="Tabletext"/>
              <w:rPr>
                <w:color w:val="000000"/>
              </w:rPr>
            </w:pPr>
            <w:r w:rsidRPr="005675B0">
              <w:rPr>
                <w:color w:val="000000"/>
              </w:rPr>
              <w:t>2</w:t>
            </w:r>
          </w:p>
        </w:tc>
        <w:tc>
          <w:tcPr>
            <w:tcW w:w="2870" w:type="pct"/>
            <w:tcBorders>
              <w:top w:val="single" w:sz="4" w:space="0" w:color="auto"/>
              <w:bottom w:val="single" w:sz="4" w:space="0" w:color="auto"/>
            </w:tcBorders>
            <w:shd w:val="clear" w:color="auto" w:fill="auto"/>
          </w:tcPr>
          <w:p w:rsidR="00E20779" w:rsidRPr="005675B0" w:rsidRDefault="00E20779" w:rsidP="000E4238">
            <w:pPr>
              <w:pStyle w:val="Tabletext"/>
            </w:pPr>
            <w:r w:rsidRPr="005675B0">
              <w:t>Chartered Accountants Australia and New Zealand Professional Standards Scheme, published in the New South Wales Government Gazette No.</w:t>
            </w:r>
            <w:r w:rsidR="005675B0">
              <w:t> </w:t>
            </w:r>
            <w:r w:rsidRPr="005675B0">
              <w:t>72, 12</w:t>
            </w:r>
            <w:r w:rsidR="005675B0">
              <w:t> </w:t>
            </w:r>
            <w:r w:rsidRPr="005675B0">
              <w:t>July 2019</w:t>
            </w:r>
          </w:p>
          <w:p w:rsidR="00E20779" w:rsidRPr="005675B0" w:rsidRDefault="00E20779" w:rsidP="000E4238">
            <w:pPr>
              <w:pStyle w:val="notemargin"/>
            </w:pPr>
            <w:r w:rsidRPr="005675B0">
              <w:t>Note:</w:t>
            </w:r>
            <w:r w:rsidRPr="005675B0">
              <w:tab/>
              <w:t>This Scheme is a national Scheme which replaces 7 previous State and Territory Schemes of the same name.</w:t>
            </w:r>
          </w:p>
        </w:tc>
        <w:tc>
          <w:tcPr>
            <w:tcW w:w="1695" w:type="pct"/>
            <w:tcBorders>
              <w:top w:val="single" w:sz="4" w:space="0" w:color="auto"/>
              <w:bottom w:val="single" w:sz="4" w:space="0" w:color="auto"/>
            </w:tcBorders>
            <w:shd w:val="clear" w:color="auto" w:fill="auto"/>
          </w:tcPr>
          <w:p w:rsidR="00E20779" w:rsidRPr="005675B0" w:rsidRDefault="00290BC0" w:rsidP="000E4238">
            <w:pPr>
              <w:pStyle w:val="Tabletext"/>
              <w:rPr>
                <w:color w:val="000000"/>
              </w:rPr>
            </w:pPr>
            <w:r w:rsidRPr="005675B0">
              <w:t>22</w:t>
            </w:r>
            <w:r w:rsidR="005675B0">
              <w:t> </w:t>
            </w:r>
            <w:r w:rsidRPr="005675B0">
              <w:t>October 2019</w:t>
            </w:r>
          </w:p>
        </w:tc>
      </w:tr>
      <w:tr w:rsidR="00BB0408" w:rsidRPr="005675B0" w:rsidTr="00BB0408">
        <w:tblPrEx>
          <w:tblBorders>
            <w:top w:val="none" w:sz="0" w:space="0" w:color="auto"/>
            <w:bottom w:val="none" w:sz="0" w:space="0" w:color="auto"/>
          </w:tblBorders>
        </w:tblPrEx>
        <w:tc>
          <w:tcPr>
            <w:tcW w:w="435" w:type="pct"/>
            <w:shd w:val="clear" w:color="auto" w:fill="auto"/>
          </w:tcPr>
          <w:p w:rsidR="00BB0408" w:rsidRPr="005675B0" w:rsidRDefault="00BB0408" w:rsidP="00BB0408">
            <w:pPr>
              <w:pStyle w:val="Tabletext"/>
              <w:rPr>
                <w:color w:val="000000"/>
              </w:rPr>
            </w:pPr>
            <w:r w:rsidRPr="005675B0">
              <w:rPr>
                <w:color w:val="000000"/>
              </w:rPr>
              <w:t>3</w:t>
            </w:r>
          </w:p>
        </w:tc>
        <w:tc>
          <w:tcPr>
            <w:tcW w:w="2870" w:type="pct"/>
            <w:shd w:val="clear" w:color="auto" w:fill="auto"/>
          </w:tcPr>
          <w:p w:rsidR="00BB0408" w:rsidRPr="005675B0" w:rsidRDefault="00BB0408" w:rsidP="00BB0408">
            <w:pPr>
              <w:pStyle w:val="Tabletext"/>
              <w:rPr>
                <w:color w:val="000000"/>
              </w:rPr>
            </w:pPr>
            <w:r w:rsidRPr="005675B0">
              <w:t>The Law Society of New South Wales Professional Standards Scheme</w:t>
            </w:r>
            <w:r w:rsidRPr="005675B0">
              <w:rPr>
                <w:color w:val="000000"/>
              </w:rPr>
              <w:t xml:space="preserve">, published in the New South Wales </w:t>
            </w:r>
            <w:r w:rsidRPr="005675B0">
              <w:t>Government Gazette No.</w:t>
            </w:r>
            <w:r w:rsidR="005675B0">
              <w:t> </w:t>
            </w:r>
            <w:r w:rsidRPr="005675B0">
              <w:t>87 on 7</w:t>
            </w:r>
            <w:r w:rsidR="005675B0">
              <w:t> </w:t>
            </w:r>
            <w:r w:rsidRPr="005675B0">
              <w:t>September 2018</w:t>
            </w:r>
          </w:p>
          <w:p w:rsidR="00BB0408" w:rsidRPr="005675B0" w:rsidRDefault="00BB0408" w:rsidP="00BB0408">
            <w:pPr>
              <w:pStyle w:val="notemargin"/>
            </w:pPr>
            <w:r w:rsidRPr="005675B0">
              <w:t>Note:</w:t>
            </w:r>
            <w:r w:rsidRPr="005675B0">
              <w:tab/>
              <w:t xml:space="preserve">This Scheme was formerly the </w:t>
            </w:r>
            <w:r w:rsidRPr="005675B0">
              <w:rPr>
                <w:color w:val="000000"/>
              </w:rPr>
              <w:t>Law Society of New South Wales Scheme, published in the New South Wales Government Gazette No.</w:t>
            </w:r>
            <w:r w:rsidR="005675B0">
              <w:rPr>
                <w:color w:val="000000"/>
              </w:rPr>
              <w:t> </w:t>
            </w:r>
            <w:r w:rsidRPr="005675B0">
              <w:rPr>
                <w:color w:val="000000"/>
              </w:rPr>
              <w:t>78, 27</w:t>
            </w:r>
            <w:r w:rsidR="005675B0">
              <w:rPr>
                <w:color w:val="000000"/>
              </w:rPr>
              <w:t> </w:t>
            </w:r>
            <w:r w:rsidRPr="005675B0">
              <w:rPr>
                <w:color w:val="000000"/>
              </w:rPr>
              <w:t>July 2012, including as modified by the extension published in the New South Wales Government Gazette No.</w:t>
            </w:r>
            <w:r w:rsidR="005675B0">
              <w:rPr>
                <w:color w:val="000000"/>
              </w:rPr>
              <w:t> </w:t>
            </w:r>
            <w:r w:rsidRPr="005675B0">
              <w:rPr>
                <w:color w:val="000000"/>
              </w:rPr>
              <w:t>72, 30</w:t>
            </w:r>
            <w:r w:rsidR="005675B0">
              <w:rPr>
                <w:color w:val="000000"/>
              </w:rPr>
              <w:t> </w:t>
            </w:r>
            <w:r w:rsidRPr="005675B0">
              <w:rPr>
                <w:color w:val="000000"/>
              </w:rPr>
              <w:t>June 2017.</w:t>
            </w:r>
          </w:p>
        </w:tc>
        <w:tc>
          <w:tcPr>
            <w:tcW w:w="1695" w:type="pct"/>
            <w:shd w:val="clear" w:color="auto" w:fill="auto"/>
          </w:tcPr>
          <w:p w:rsidR="00BB0408" w:rsidRPr="005675B0" w:rsidRDefault="00E20779" w:rsidP="00BB0408">
            <w:pPr>
              <w:pStyle w:val="Tabletext"/>
              <w:rPr>
                <w:color w:val="000000"/>
              </w:rPr>
            </w:pPr>
            <w:r w:rsidRPr="005675B0">
              <w:rPr>
                <w:color w:val="000000"/>
              </w:rPr>
              <w:t>26</w:t>
            </w:r>
            <w:r w:rsidR="005675B0">
              <w:t> </w:t>
            </w:r>
            <w:r w:rsidRPr="005675B0">
              <w:t>March 2019</w:t>
            </w:r>
          </w:p>
        </w:tc>
      </w:tr>
      <w:tr w:rsidR="00EF0211" w:rsidRPr="005675B0" w:rsidTr="00590BD9">
        <w:tc>
          <w:tcPr>
            <w:tcW w:w="435" w:type="pct"/>
            <w:tcBorders>
              <w:top w:val="single" w:sz="4" w:space="0" w:color="auto"/>
              <w:bottom w:val="nil"/>
            </w:tcBorders>
            <w:shd w:val="clear" w:color="auto" w:fill="FFFFFF"/>
          </w:tcPr>
          <w:p w:rsidR="00EF0211" w:rsidRPr="005675B0" w:rsidRDefault="00290BC0" w:rsidP="00EF0211">
            <w:pPr>
              <w:pStyle w:val="Tabletext"/>
              <w:rPr>
                <w:color w:val="000000"/>
              </w:rPr>
            </w:pPr>
            <w:r w:rsidRPr="005675B0">
              <w:rPr>
                <w:color w:val="000000"/>
              </w:rPr>
              <w:t>4</w:t>
            </w:r>
          </w:p>
        </w:tc>
        <w:tc>
          <w:tcPr>
            <w:tcW w:w="2870" w:type="pct"/>
            <w:tcBorders>
              <w:top w:val="single" w:sz="4" w:space="0" w:color="auto"/>
              <w:bottom w:val="nil"/>
            </w:tcBorders>
            <w:shd w:val="clear" w:color="auto" w:fill="FFFFFF"/>
          </w:tcPr>
          <w:p w:rsidR="00290BC0" w:rsidRPr="005675B0" w:rsidRDefault="00290BC0" w:rsidP="00290BC0">
            <w:pPr>
              <w:pStyle w:val="Tabletext"/>
            </w:pPr>
            <w:r w:rsidRPr="005675B0">
              <w:rPr>
                <w:color w:val="000000"/>
              </w:rPr>
              <w:t xml:space="preserve">The New South Wales Bar Association Professional Standards Scheme, published in the </w:t>
            </w:r>
            <w:r w:rsidRPr="005675B0">
              <w:t>New South Wales</w:t>
            </w:r>
            <w:r w:rsidRPr="005675B0">
              <w:rPr>
                <w:color w:val="000000"/>
              </w:rPr>
              <w:t xml:space="preserve"> Government Gazette No.</w:t>
            </w:r>
            <w:r w:rsidR="005675B0">
              <w:rPr>
                <w:color w:val="000000"/>
              </w:rPr>
              <w:t> </w:t>
            </w:r>
            <w:r w:rsidRPr="005675B0">
              <w:rPr>
                <w:color w:val="000000"/>
              </w:rPr>
              <w:t>179, 20</w:t>
            </w:r>
            <w:r w:rsidR="005675B0">
              <w:rPr>
                <w:color w:val="000000"/>
              </w:rPr>
              <w:t> </w:t>
            </w:r>
            <w:r w:rsidRPr="005675B0">
              <w:rPr>
                <w:color w:val="000000"/>
              </w:rPr>
              <w:t>December 2019</w:t>
            </w:r>
          </w:p>
          <w:p w:rsidR="00EF0211" w:rsidRPr="005675B0" w:rsidRDefault="00290BC0" w:rsidP="00FA7EC8">
            <w:pPr>
              <w:pStyle w:val="notemargin"/>
              <w:rPr>
                <w:color w:val="000000"/>
              </w:rPr>
            </w:pPr>
            <w:r w:rsidRPr="005675B0">
              <w:t>Note:</w:t>
            </w:r>
            <w:r w:rsidRPr="005675B0">
              <w:tab/>
              <w:t>This scheme was formerly the New South Wales Bar Association Scheme, published in the New South Wales Government Gazette No.</w:t>
            </w:r>
            <w:r w:rsidR="005675B0">
              <w:t> </w:t>
            </w:r>
            <w:r w:rsidRPr="005675B0">
              <w:t>17, 5</w:t>
            </w:r>
            <w:r w:rsidR="005675B0">
              <w:t> </w:t>
            </w:r>
            <w:r w:rsidRPr="005675B0">
              <w:t>March 2015, including as modified by the amendments published in the New South Wales Government Gazette No.</w:t>
            </w:r>
            <w:r w:rsidR="005675B0">
              <w:t> </w:t>
            </w:r>
            <w:r w:rsidRPr="005675B0">
              <w:t>123, 10</w:t>
            </w:r>
            <w:r w:rsidR="005675B0">
              <w:t> </w:t>
            </w:r>
            <w:r w:rsidRPr="005675B0">
              <w:t>November 2017.</w:t>
            </w:r>
          </w:p>
        </w:tc>
        <w:tc>
          <w:tcPr>
            <w:tcW w:w="1695" w:type="pct"/>
            <w:tcBorders>
              <w:top w:val="single" w:sz="4" w:space="0" w:color="auto"/>
              <w:bottom w:val="nil"/>
            </w:tcBorders>
            <w:shd w:val="clear" w:color="auto" w:fill="FFFFFF"/>
          </w:tcPr>
          <w:p w:rsidR="00EF0211" w:rsidRPr="005675B0" w:rsidRDefault="00290BC0" w:rsidP="00EF0211">
            <w:pPr>
              <w:pStyle w:val="Tabletext"/>
              <w:keepNext/>
              <w:keepLines/>
              <w:rPr>
                <w:color w:val="000000"/>
              </w:rPr>
            </w:pPr>
            <w:r w:rsidRPr="005675B0">
              <w:rPr>
                <w:color w:val="000000"/>
              </w:rPr>
              <w:t>1</w:t>
            </w:r>
            <w:r w:rsidR="005675B0">
              <w:rPr>
                <w:color w:val="000000"/>
              </w:rPr>
              <w:t> </w:t>
            </w:r>
            <w:r w:rsidRPr="005675B0">
              <w:rPr>
                <w:color w:val="000000"/>
              </w:rPr>
              <w:t>July 2020</w:t>
            </w:r>
          </w:p>
        </w:tc>
      </w:tr>
      <w:tr w:rsidR="009F759A" w:rsidRPr="005675B0" w:rsidDel="004A1FAA" w:rsidTr="00C43DFA">
        <w:tc>
          <w:tcPr>
            <w:tcW w:w="435" w:type="pct"/>
            <w:tcBorders>
              <w:top w:val="single" w:sz="4" w:space="0" w:color="auto"/>
              <w:bottom w:val="single" w:sz="4" w:space="0" w:color="auto"/>
            </w:tcBorders>
            <w:shd w:val="clear" w:color="auto" w:fill="auto"/>
          </w:tcPr>
          <w:p w:rsidR="009F759A" w:rsidRPr="005675B0" w:rsidRDefault="009F759A" w:rsidP="005E7D08">
            <w:pPr>
              <w:pStyle w:val="Tabletext"/>
              <w:keepNext/>
            </w:pPr>
            <w:r w:rsidRPr="005675B0">
              <w:lastRenderedPageBreak/>
              <w:t>6</w:t>
            </w:r>
          </w:p>
        </w:tc>
        <w:tc>
          <w:tcPr>
            <w:tcW w:w="2870" w:type="pct"/>
            <w:tcBorders>
              <w:top w:val="single" w:sz="4" w:space="0" w:color="auto"/>
              <w:bottom w:val="single" w:sz="4" w:space="0" w:color="auto"/>
            </w:tcBorders>
            <w:shd w:val="clear" w:color="auto" w:fill="auto"/>
          </w:tcPr>
          <w:p w:rsidR="009F759A" w:rsidRPr="005675B0" w:rsidRDefault="009F759A" w:rsidP="005E7D08">
            <w:pPr>
              <w:pStyle w:val="Tabletext"/>
              <w:keepNext/>
            </w:pPr>
            <w:r w:rsidRPr="005675B0">
              <w:t>The Law Institute of Victoria Limited Scheme, published in the Victoria Government Gazette No. G 16, 21</w:t>
            </w:r>
            <w:r w:rsidR="005675B0">
              <w:t> </w:t>
            </w:r>
            <w:r w:rsidRPr="005675B0">
              <w:t>April 2016</w:t>
            </w:r>
          </w:p>
          <w:p w:rsidR="009F759A" w:rsidRPr="005675B0" w:rsidRDefault="009F759A" w:rsidP="005E7D08">
            <w:pPr>
              <w:pStyle w:val="notemargin"/>
              <w:keepNext/>
            </w:pPr>
            <w:r w:rsidRPr="005675B0">
              <w:t>Note:</w:t>
            </w:r>
            <w:r w:rsidRPr="005675B0">
              <w:tab/>
              <w:t>This Scheme was formerly the Law Institute of Victoria Limited Scheme, published in the Victoria Government Gazette No. G 10, 11</w:t>
            </w:r>
            <w:r w:rsidR="005675B0">
              <w:t> </w:t>
            </w:r>
            <w:r w:rsidRPr="005675B0">
              <w:t>March 2010.</w:t>
            </w:r>
          </w:p>
        </w:tc>
        <w:tc>
          <w:tcPr>
            <w:tcW w:w="1695" w:type="pct"/>
            <w:tcBorders>
              <w:top w:val="single" w:sz="4" w:space="0" w:color="auto"/>
              <w:bottom w:val="single" w:sz="4" w:space="0" w:color="auto"/>
            </w:tcBorders>
            <w:shd w:val="clear" w:color="auto" w:fill="auto"/>
          </w:tcPr>
          <w:p w:rsidR="009F759A" w:rsidRPr="005675B0" w:rsidRDefault="000C22D7" w:rsidP="005E7D08">
            <w:pPr>
              <w:pStyle w:val="Tabletext"/>
              <w:keepNext/>
            </w:pPr>
            <w:r w:rsidRPr="005675B0">
              <w:t>25</w:t>
            </w:r>
            <w:r w:rsidR="005675B0">
              <w:t> </w:t>
            </w:r>
            <w:r w:rsidRPr="005675B0">
              <w:t>May 2017</w:t>
            </w:r>
          </w:p>
        </w:tc>
      </w:tr>
      <w:tr w:rsidR="00E20779" w:rsidRPr="005675B0" w:rsidTr="00C43DFA">
        <w:tblPrEx>
          <w:tblBorders>
            <w:top w:val="none" w:sz="0" w:space="0" w:color="auto"/>
            <w:bottom w:val="none" w:sz="0" w:space="0" w:color="auto"/>
          </w:tblBorders>
        </w:tblPrEx>
        <w:tc>
          <w:tcPr>
            <w:tcW w:w="435" w:type="pct"/>
            <w:tcBorders>
              <w:top w:val="single" w:sz="4" w:space="0" w:color="auto"/>
              <w:bottom w:val="single" w:sz="4" w:space="0" w:color="auto"/>
            </w:tcBorders>
            <w:shd w:val="clear" w:color="auto" w:fill="auto"/>
          </w:tcPr>
          <w:p w:rsidR="00E20779" w:rsidRPr="005675B0" w:rsidRDefault="00E20779" w:rsidP="000E4238">
            <w:pPr>
              <w:pStyle w:val="Tabletext"/>
              <w:rPr>
                <w:color w:val="000000"/>
              </w:rPr>
            </w:pPr>
            <w:r w:rsidRPr="005675B0">
              <w:rPr>
                <w:color w:val="000000"/>
              </w:rPr>
              <w:t>7</w:t>
            </w:r>
          </w:p>
        </w:tc>
        <w:tc>
          <w:tcPr>
            <w:tcW w:w="2870" w:type="pct"/>
            <w:tcBorders>
              <w:top w:val="single" w:sz="4" w:space="0" w:color="auto"/>
              <w:bottom w:val="single" w:sz="4" w:space="0" w:color="auto"/>
            </w:tcBorders>
            <w:shd w:val="clear" w:color="auto" w:fill="auto"/>
          </w:tcPr>
          <w:p w:rsidR="00E20779" w:rsidRPr="005675B0" w:rsidRDefault="00E20779" w:rsidP="000E4238">
            <w:pPr>
              <w:pStyle w:val="Tabletext"/>
              <w:rPr>
                <w:color w:val="000000"/>
              </w:rPr>
            </w:pPr>
            <w:r w:rsidRPr="005675B0">
              <w:t>The Victorian Bar Professional Standards Scheme, published in the Victoria Government Gazette No. G 16, 18</w:t>
            </w:r>
            <w:r w:rsidR="005675B0">
              <w:t> </w:t>
            </w:r>
            <w:r w:rsidRPr="005675B0">
              <w:t>April 2019</w:t>
            </w:r>
          </w:p>
          <w:p w:rsidR="00E20779" w:rsidRPr="005675B0" w:rsidRDefault="00E20779" w:rsidP="000E4238">
            <w:pPr>
              <w:pStyle w:val="notemargin"/>
            </w:pPr>
            <w:r w:rsidRPr="005675B0">
              <w:t>Note:</w:t>
            </w:r>
            <w:r w:rsidRPr="005675B0">
              <w:tab/>
              <w:t xml:space="preserve">This Scheme was formerly the </w:t>
            </w:r>
            <w:r w:rsidRPr="005675B0">
              <w:rPr>
                <w:color w:val="000000"/>
              </w:rPr>
              <w:t>Victorian Bar Professional Standards Scheme, published in the Victoria Government Gazette No. S 134, 24</w:t>
            </w:r>
            <w:r w:rsidR="005675B0">
              <w:rPr>
                <w:color w:val="000000"/>
              </w:rPr>
              <w:t> </w:t>
            </w:r>
            <w:r w:rsidRPr="005675B0">
              <w:rPr>
                <w:color w:val="000000"/>
              </w:rPr>
              <w:t>April 2014.</w:t>
            </w:r>
          </w:p>
        </w:tc>
        <w:tc>
          <w:tcPr>
            <w:tcW w:w="1695" w:type="pct"/>
            <w:tcBorders>
              <w:top w:val="single" w:sz="4" w:space="0" w:color="auto"/>
              <w:bottom w:val="single" w:sz="4" w:space="0" w:color="auto"/>
            </w:tcBorders>
            <w:shd w:val="clear" w:color="auto" w:fill="auto"/>
          </w:tcPr>
          <w:p w:rsidR="00E20779" w:rsidRPr="005675B0" w:rsidRDefault="00290BC0" w:rsidP="000E4238">
            <w:pPr>
              <w:pStyle w:val="Tabletext"/>
              <w:rPr>
                <w:color w:val="000000"/>
              </w:rPr>
            </w:pPr>
            <w:r w:rsidRPr="005675B0">
              <w:t>22</w:t>
            </w:r>
            <w:r w:rsidR="005675B0">
              <w:t> </w:t>
            </w:r>
            <w:r w:rsidRPr="005675B0">
              <w:t>October 2019</w:t>
            </w:r>
          </w:p>
        </w:tc>
      </w:tr>
      <w:tr w:rsidR="00BB0408" w:rsidRPr="005675B0" w:rsidTr="00C43DFA">
        <w:tblPrEx>
          <w:tblBorders>
            <w:top w:val="none" w:sz="0" w:space="0" w:color="auto"/>
            <w:bottom w:val="none" w:sz="0" w:space="0" w:color="auto"/>
          </w:tblBorders>
        </w:tblPrEx>
        <w:tc>
          <w:tcPr>
            <w:tcW w:w="435" w:type="pct"/>
            <w:tcBorders>
              <w:top w:val="single" w:sz="4" w:space="0" w:color="auto"/>
            </w:tcBorders>
            <w:shd w:val="clear" w:color="auto" w:fill="FFFFFF"/>
          </w:tcPr>
          <w:p w:rsidR="00BB0408" w:rsidRPr="005675B0" w:rsidRDefault="00BB0408" w:rsidP="00BB0408">
            <w:pPr>
              <w:pStyle w:val="Tabletext"/>
              <w:rPr>
                <w:color w:val="000000"/>
              </w:rPr>
            </w:pPr>
            <w:r w:rsidRPr="005675B0">
              <w:rPr>
                <w:color w:val="000000"/>
              </w:rPr>
              <w:t>8</w:t>
            </w:r>
          </w:p>
        </w:tc>
        <w:tc>
          <w:tcPr>
            <w:tcW w:w="2870" w:type="pct"/>
            <w:tcBorders>
              <w:top w:val="single" w:sz="4" w:space="0" w:color="auto"/>
            </w:tcBorders>
            <w:shd w:val="clear" w:color="auto" w:fill="FFFFFF"/>
          </w:tcPr>
          <w:p w:rsidR="00BB0408" w:rsidRPr="005675B0" w:rsidRDefault="00BB0408" w:rsidP="00BB0408">
            <w:pPr>
              <w:pStyle w:val="Tabletext"/>
              <w:rPr>
                <w:color w:val="000000"/>
              </w:rPr>
            </w:pPr>
            <w:r w:rsidRPr="005675B0">
              <w:t>The Bar Association of Queensland Professional Standards Scheme</w:t>
            </w:r>
            <w:r w:rsidRPr="005675B0">
              <w:rPr>
                <w:color w:val="000000"/>
              </w:rPr>
              <w:t xml:space="preserve">, approved as described in the </w:t>
            </w:r>
            <w:r w:rsidRPr="005675B0">
              <w:rPr>
                <w:i/>
                <w:color w:val="000000"/>
              </w:rPr>
              <w:t>Professional Standards (Bar Association of Queensland Professional Standards Scheme) Notice</w:t>
            </w:r>
            <w:r w:rsidR="005675B0">
              <w:rPr>
                <w:i/>
                <w:color w:val="000000"/>
              </w:rPr>
              <w:t> </w:t>
            </w:r>
            <w:r w:rsidRPr="005675B0">
              <w:rPr>
                <w:i/>
                <w:color w:val="000000"/>
              </w:rPr>
              <w:t xml:space="preserve">2019 </w:t>
            </w:r>
            <w:r w:rsidRPr="005675B0">
              <w:rPr>
                <w:color w:val="000000"/>
              </w:rPr>
              <w:t>(Qld), 18</w:t>
            </w:r>
            <w:r w:rsidR="005675B0">
              <w:rPr>
                <w:color w:val="000000"/>
              </w:rPr>
              <w:t> </w:t>
            </w:r>
            <w:r w:rsidRPr="005675B0">
              <w:rPr>
                <w:color w:val="000000"/>
              </w:rPr>
              <w:t>February 2019</w:t>
            </w:r>
          </w:p>
          <w:p w:rsidR="00BB0408" w:rsidRPr="005675B0" w:rsidRDefault="00BB0408" w:rsidP="00BB0408">
            <w:pPr>
              <w:pStyle w:val="notemargin"/>
              <w:rPr>
                <w:color w:val="000000"/>
              </w:rPr>
            </w:pPr>
            <w:r w:rsidRPr="005675B0">
              <w:t>Note:</w:t>
            </w:r>
            <w:r w:rsidRPr="005675B0">
              <w:tab/>
              <w:t>This Scheme was formerly the Bar Association of Queensland Scheme, published in the Queensland Government Gazette No.</w:t>
            </w:r>
            <w:r w:rsidR="005675B0">
              <w:t> </w:t>
            </w:r>
            <w:r w:rsidRPr="005675B0">
              <w:t>40, 24</w:t>
            </w:r>
            <w:r w:rsidR="005675B0">
              <w:t> </w:t>
            </w:r>
            <w:r w:rsidRPr="005675B0">
              <w:t>June 2013, including as modified by the extension published in the Queensland Government Gazette No.</w:t>
            </w:r>
            <w:r w:rsidR="005675B0">
              <w:t> </w:t>
            </w:r>
            <w:r w:rsidRPr="005675B0">
              <w:t>60, 23</w:t>
            </w:r>
            <w:r w:rsidR="005675B0">
              <w:t> </w:t>
            </w:r>
            <w:r w:rsidRPr="005675B0">
              <w:t>March 2018.</w:t>
            </w:r>
          </w:p>
        </w:tc>
        <w:tc>
          <w:tcPr>
            <w:tcW w:w="1695" w:type="pct"/>
            <w:tcBorders>
              <w:top w:val="single" w:sz="4" w:space="0" w:color="auto"/>
            </w:tcBorders>
            <w:shd w:val="clear" w:color="auto" w:fill="FFFFFF"/>
          </w:tcPr>
          <w:p w:rsidR="00BB0408" w:rsidRPr="005675B0" w:rsidRDefault="001632C5" w:rsidP="00BB0408">
            <w:pPr>
              <w:pStyle w:val="Tabletext"/>
              <w:keepNext/>
              <w:keepLines/>
              <w:rPr>
                <w:color w:val="000000"/>
              </w:rPr>
            </w:pPr>
            <w:r w:rsidRPr="005675B0">
              <w:rPr>
                <w:color w:val="000000"/>
              </w:rPr>
              <w:t>26</w:t>
            </w:r>
            <w:r w:rsidR="005675B0">
              <w:t> </w:t>
            </w:r>
            <w:r w:rsidRPr="005675B0">
              <w:t>March 2019</w:t>
            </w:r>
          </w:p>
        </w:tc>
      </w:tr>
      <w:tr w:rsidR="003C7BCE" w:rsidRPr="005675B0" w:rsidDel="004A1FAA" w:rsidTr="00C43DFA">
        <w:tc>
          <w:tcPr>
            <w:tcW w:w="435" w:type="pct"/>
            <w:tcBorders>
              <w:top w:val="single" w:sz="4" w:space="0" w:color="auto"/>
              <w:bottom w:val="single" w:sz="4" w:space="0" w:color="auto"/>
            </w:tcBorders>
            <w:shd w:val="clear" w:color="auto" w:fill="auto"/>
          </w:tcPr>
          <w:p w:rsidR="003C7BCE" w:rsidRPr="005675B0" w:rsidRDefault="003C7BCE" w:rsidP="00997EC7">
            <w:pPr>
              <w:pStyle w:val="Tabletext"/>
            </w:pPr>
            <w:r w:rsidRPr="005675B0">
              <w:t>10</w:t>
            </w:r>
          </w:p>
        </w:tc>
        <w:tc>
          <w:tcPr>
            <w:tcW w:w="2870" w:type="pct"/>
            <w:tcBorders>
              <w:top w:val="single" w:sz="4" w:space="0" w:color="auto"/>
              <w:bottom w:val="single" w:sz="4" w:space="0" w:color="auto"/>
            </w:tcBorders>
            <w:shd w:val="clear" w:color="auto" w:fill="auto"/>
          </w:tcPr>
          <w:p w:rsidR="003C7BCE" w:rsidRPr="005675B0" w:rsidRDefault="003C7BCE" w:rsidP="00997EC7">
            <w:pPr>
              <w:pStyle w:val="Tabletext"/>
            </w:pPr>
            <w:r w:rsidRPr="005675B0">
              <w:t xml:space="preserve">The Queensland Law Society Professional Standards Scheme, approved as described in the </w:t>
            </w:r>
            <w:r w:rsidRPr="005675B0">
              <w:rPr>
                <w:i/>
              </w:rPr>
              <w:t>Professional Standards (Queensland Law Society Professional Standards Scheme) Notice</w:t>
            </w:r>
            <w:r w:rsidR="005675B0">
              <w:rPr>
                <w:i/>
              </w:rPr>
              <w:t> </w:t>
            </w:r>
            <w:r w:rsidRPr="005675B0">
              <w:rPr>
                <w:i/>
              </w:rPr>
              <w:t>2016</w:t>
            </w:r>
            <w:r w:rsidRPr="005675B0">
              <w:t xml:space="preserve"> (Qld), 30</w:t>
            </w:r>
            <w:r w:rsidR="005675B0">
              <w:t> </w:t>
            </w:r>
            <w:r w:rsidRPr="005675B0">
              <w:t>June 2016</w:t>
            </w:r>
          </w:p>
          <w:p w:rsidR="003C7BCE" w:rsidRPr="005675B0" w:rsidRDefault="003C7BCE" w:rsidP="00997EC7">
            <w:pPr>
              <w:pStyle w:val="notemargin"/>
            </w:pPr>
            <w:r w:rsidRPr="005675B0">
              <w:t>Note:</w:t>
            </w:r>
            <w:r w:rsidRPr="005675B0">
              <w:tab/>
              <w:t>This Scheme was formerly the Queensland Law Society Scheme, published in the Queensland Government Gazette No.</w:t>
            </w:r>
            <w:r w:rsidR="005675B0">
              <w:t> </w:t>
            </w:r>
            <w:r w:rsidRPr="005675B0">
              <w:t>64, 25</w:t>
            </w:r>
            <w:r w:rsidR="005675B0">
              <w:t> </w:t>
            </w:r>
            <w:r w:rsidRPr="005675B0">
              <w:t>June 2010.</w:t>
            </w:r>
          </w:p>
        </w:tc>
        <w:tc>
          <w:tcPr>
            <w:tcW w:w="1695" w:type="pct"/>
            <w:tcBorders>
              <w:top w:val="single" w:sz="4" w:space="0" w:color="auto"/>
              <w:bottom w:val="single" w:sz="4" w:space="0" w:color="auto"/>
            </w:tcBorders>
            <w:shd w:val="clear" w:color="auto" w:fill="auto"/>
          </w:tcPr>
          <w:p w:rsidR="003C7BCE" w:rsidRPr="005675B0" w:rsidRDefault="000C22D7" w:rsidP="00997EC7">
            <w:pPr>
              <w:pStyle w:val="Tabletext"/>
            </w:pPr>
            <w:r w:rsidRPr="005675B0">
              <w:t>25</w:t>
            </w:r>
            <w:r w:rsidR="005675B0">
              <w:t> </w:t>
            </w:r>
            <w:r w:rsidRPr="005675B0">
              <w:t>May 2017</w:t>
            </w:r>
          </w:p>
        </w:tc>
      </w:tr>
      <w:tr w:rsidR="00E20779" w:rsidRPr="005675B0" w:rsidTr="00C43DFA">
        <w:tblPrEx>
          <w:tblBorders>
            <w:top w:val="none" w:sz="0" w:space="0" w:color="auto"/>
            <w:bottom w:val="none" w:sz="0" w:space="0" w:color="auto"/>
          </w:tblBorders>
        </w:tblPrEx>
        <w:tc>
          <w:tcPr>
            <w:tcW w:w="435" w:type="pct"/>
            <w:tcBorders>
              <w:top w:val="single" w:sz="4" w:space="0" w:color="auto"/>
              <w:bottom w:val="single" w:sz="4" w:space="0" w:color="auto"/>
            </w:tcBorders>
            <w:shd w:val="clear" w:color="auto" w:fill="auto"/>
          </w:tcPr>
          <w:p w:rsidR="00E20779" w:rsidRPr="005675B0" w:rsidRDefault="00E20779" w:rsidP="000E4238">
            <w:pPr>
              <w:pStyle w:val="Tabletext"/>
              <w:rPr>
                <w:color w:val="000000"/>
              </w:rPr>
            </w:pPr>
            <w:r w:rsidRPr="005675B0">
              <w:rPr>
                <w:color w:val="000000"/>
              </w:rPr>
              <w:t>12</w:t>
            </w:r>
          </w:p>
        </w:tc>
        <w:tc>
          <w:tcPr>
            <w:tcW w:w="2870" w:type="pct"/>
            <w:tcBorders>
              <w:top w:val="single" w:sz="4" w:space="0" w:color="auto"/>
              <w:bottom w:val="single" w:sz="4" w:space="0" w:color="auto"/>
            </w:tcBorders>
            <w:shd w:val="clear" w:color="auto" w:fill="auto"/>
          </w:tcPr>
          <w:p w:rsidR="00E20779" w:rsidRPr="005675B0" w:rsidRDefault="00E20779" w:rsidP="000E4238">
            <w:pPr>
              <w:pStyle w:val="Tabletext"/>
              <w:rPr>
                <w:color w:val="000000"/>
              </w:rPr>
            </w:pPr>
            <w:r w:rsidRPr="005675B0">
              <w:t>The Law Society of Western Australia Professional Standards Scheme, published in the Western Australian Government Gazette No.</w:t>
            </w:r>
            <w:r w:rsidR="005675B0">
              <w:t> </w:t>
            </w:r>
            <w:r w:rsidRPr="005675B0">
              <w:t>62, 7</w:t>
            </w:r>
            <w:r w:rsidR="005675B0">
              <w:t> </w:t>
            </w:r>
            <w:r w:rsidRPr="005675B0">
              <w:t>May 2019</w:t>
            </w:r>
          </w:p>
          <w:p w:rsidR="00E20779" w:rsidRPr="005675B0" w:rsidRDefault="00E20779" w:rsidP="000E4238">
            <w:pPr>
              <w:pStyle w:val="notemargin"/>
            </w:pPr>
            <w:r w:rsidRPr="005675B0">
              <w:t>Note:</w:t>
            </w:r>
            <w:r w:rsidRPr="005675B0">
              <w:tab/>
              <w:t xml:space="preserve">This Scheme was formerly the </w:t>
            </w:r>
            <w:r w:rsidRPr="005675B0">
              <w:rPr>
                <w:color w:val="000000"/>
              </w:rPr>
              <w:t>Law Society of Western Australia Scheme, published in the Western Australian Government Gazette No.</w:t>
            </w:r>
            <w:r w:rsidR="005675B0">
              <w:rPr>
                <w:color w:val="000000"/>
              </w:rPr>
              <w:t> </w:t>
            </w:r>
            <w:r w:rsidRPr="005675B0">
              <w:rPr>
                <w:color w:val="000000"/>
              </w:rPr>
              <w:t>54, 11</w:t>
            </w:r>
            <w:r w:rsidR="005675B0">
              <w:rPr>
                <w:color w:val="000000"/>
              </w:rPr>
              <w:t> </w:t>
            </w:r>
            <w:r w:rsidRPr="005675B0">
              <w:rPr>
                <w:color w:val="000000"/>
              </w:rPr>
              <w:t>April 2014.</w:t>
            </w:r>
          </w:p>
        </w:tc>
        <w:tc>
          <w:tcPr>
            <w:tcW w:w="1695" w:type="pct"/>
            <w:tcBorders>
              <w:top w:val="single" w:sz="4" w:space="0" w:color="auto"/>
              <w:bottom w:val="single" w:sz="4" w:space="0" w:color="auto"/>
            </w:tcBorders>
            <w:shd w:val="clear" w:color="auto" w:fill="auto"/>
          </w:tcPr>
          <w:p w:rsidR="00E20779" w:rsidRPr="005675B0" w:rsidRDefault="00290BC0" w:rsidP="000E4238">
            <w:pPr>
              <w:pStyle w:val="Tabletext"/>
              <w:rPr>
                <w:color w:val="000000"/>
              </w:rPr>
            </w:pPr>
            <w:r w:rsidRPr="005675B0">
              <w:t>22</w:t>
            </w:r>
            <w:r w:rsidR="005675B0">
              <w:t> </w:t>
            </w:r>
            <w:r w:rsidRPr="005675B0">
              <w:t>October 2019</w:t>
            </w:r>
          </w:p>
        </w:tc>
      </w:tr>
      <w:tr w:rsidR="00BB0408" w:rsidRPr="005675B0" w:rsidTr="00C43DFA">
        <w:tblPrEx>
          <w:tblBorders>
            <w:top w:val="none" w:sz="0" w:space="0" w:color="auto"/>
            <w:bottom w:val="none" w:sz="0" w:space="0" w:color="auto"/>
          </w:tblBorders>
        </w:tblPrEx>
        <w:tc>
          <w:tcPr>
            <w:tcW w:w="435" w:type="pct"/>
            <w:tcBorders>
              <w:top w:val="single" w:sz="4" w:space="0" w:color="auto"/>
            </w:tcBorders>
            <w:shd w:val="clear" w:color="auto" w:fill="auto"/>
          </w:tcPr>
          <w:p w:rsidR="00BB0408" w:rsidRPr="005675B0" w:rsidRDefault="00290BC0" w:rsidP="00BB0408">
            <w:pPr>
              <w:pStyle w:val="Tabletext"/>
            </w:pPr>
            <w:r w:rsidRPr="005675B0">
              <w:t>13</w:t>
            </w:r>
          </w:p>
        </w:tc>
        <w:tc>
          <w:tcPr>
            <w:tcW w:w="2870" w:type="pct"/>
            <w:tcBorders>
              <w:top w:val="single" w:sz="4" w:space="0" w:color="auto"/>
            </w:tcBorders>
            <w:shd w:val="clear" w:color="auto" w:fill="auto"/>
          </w:tcPr>
          <w:p w:rsidR="00290BC0" w:rsidRPr="005675B0" w:rsidRDefault="00290BC0" w:rsidP="00290BC0">
            <w:pPr>
              <w:pStyle w:val="Tabletext"/>
            </w:pPr>
            <w:r w:rsidRPr="005675B0">
              <w:t>The Western Australian Bar Association Professional Standards Scheme, published in the Western Australian Government Gazette No.</w:t>
            </w:r>
            <w:r w:rsidR="005675B0">
              <w:t> </w:t>
            </w:r>
            <w:r w:rsidRPr="005675B0">
              <w:t>63, 24</w:t>
            </w:r>
            <w:r w:rsidR="005675B0">
              <w:t> </w:t>
            </w:r>
            <w:r w:rsidRPr="005675B0">
              <w:t>April 2020</w:t>
            </w:r>
          </w:p>
          <w:p w:rsidR="00BB0408" w:rsidRPr="005675B0" w:rsidRDefault="00290BC0" w:rsidP="00FA7EC8">
            <w:pPr>
              <w:pStyle w:val="notemargin"/>
            </w:pPr>
            <w:r w:rsidRPr="005675B0">
              <w:t>Note:</w:t>
            </w:r>
            <w:r w:rsidRPr="005675B0">
              <w:tab/>
              <w:t>This scheme was formerly the Western Australian Bar Association Scheme, published in the Western Australian Government Gazette No.</w:t>
            </w:r>
            <w:r w:rsidR="005675B0">
              <w:t> </w:t>
            </w:r>
            <w:r w:rsidRPr="005675B0">
              <w:t>57, 17</w:t>
            </w:r>
            <w:r w:rsidR="005675B0">
              <w:t> </w:t>
            </w:r>
            <w:r w:rsidRPr="005675B0">
              <w:t>April 2014, including as modified by the extension published in the Western Australian Government Gazette No.</w:t>
            </w:r>
            <w:r w:rsidR="005675B0">
              <w:t> </w:t>
            </w:r>
            <w:r w:rsidRPr="005675B0">
              <w:t>196, 21</w:t>
            </w:r>
            <w:r w:rsidR="005675B0">
              <w:t> </w:t>
            </w:r>
            <w:r w:rsidRPr="005675B0">
              <w:t>December 2018.</w:t>
            </w:r>
          </w:p>
        </w:tc>
        <w:tc>
          <w:tcPr>
            <w:tcW w:w="1695" w:type="pct"/>
            <w:tcBorders>
              <w:top w:val="single" w:sz="4" w:space="0" w:color="auto"/>
            </w:tcBorders>
            <w:shd w:val="clear" w:color="auto" w:fill="auto"/>
          </w:tcPr>
          <w:p w:rsidR="00BB0408" w:rsidRPr="005675B0" w:rsidRDefault="00290BC0" w:rsidP="002B6D72">
            <w:pPr>
              <w:pStyle w:val="Tabletext"/>
            </w:pPr>
            <w:r w:rsidRPr="005675B0">
              <w:rPr>
                <w:color w:val="000000"/>
              </w:rPr>
              <w:t>1</w:t>
            </w:r>
            <w:r w:rsidR="005675B0">
              <w:rPr>
                <w:color w:val="000000"/>
              </w:rPr>
              <w:t> </w:t>
            </w:r>
            <w:r w:rsidRPr="005675B0">
              <w:rPr>
                <w:color w:val="000000"/>
              </w:rPr>
              <w:t>July 2020</w:t>
            </w:r>
          </w:p>
        </w:tc>
      </w:tr>
      <w:tr w:rsidR="00EF0211" w:rsidRPr="005675B0" w:rsidTr="00590BD9">
        <w:tc>
          <w:tcPr>
            <w:tcW w:w="435" w:type="pct"/>
            <w:tcBorders>
              <w:top w:val="single" w:sz="4" w:space="0" w:color="auto"/>
              <w:bottom w:val="single" w:sz="4" w:space="0" w:color="auto"/>
            </w:tcBorders>
            <w:shd w:val="clear" w:color="auto" w:fill="FFFFFF"/>
          </w:tcPr>
          <w:p w:rsidR="00EF0211" w:rsidRPr="005675B0" w:rsidRDefault="00EF0211" w:rsidP="00EF0211">
            <w:pPr>
              <w:pStyle w:val="Tabletext"/>
              <w:rPr>
                <w:color w:val="000000"/>
              </w:rPr>
            </w:pPr>
            <w:r w:rsidRPr="005675B0">
              <w:rPr>
                <w:color w:val="000000"/>
              </w:rPr>
              <w:t>15</w:t>
            </w:r>
          </w:p>
        </w:tc>
        <w:tc>
          <w:tcPr>
            <w:tcW w:w="2870" w:type="pct"/>
            <w:tcBorders>
              <w:top w:val="single" w:sz="4" w:space="0" w:color="auto"/>
              <w:bottom w:val="single" w:sz="4" w:space="0" w:color="auto"/>
            </w:tcBorders>
            <w:shd w:val="clear" w:color="auto" w:fill="FFFFFF"/>
          </w:tcPr>
          <w:p w:rsidR="00EF0211" w:rsidRPr="005675B0" w:rsidRDefault="00EF0211" w:rsidP="00EF0211">
            <w:pPr>
              <w:pStyle w:val="Tabletext"/>
              <w:rPr>
                <w:color w:val="000000"/>
              </w:rPr>
            </w:pPr>
            <w:r w:rsidRPr="005675B0">
              <w:rPr>
                <w:color w:val="000000"/>
              </w:rPr>
              <w:t xml:space="preserve">The Law Society of South Australia Professional </w:t>
            </w:r>
            <w:r w:rsidRPr="005675B0">
              <w:rPr>
                <w:color w:val="000000"/>
              </w:rPr>
              <w:lastRenderedPageBreak/>
              <w:t>Standards Scheme, published in the South Australian Government Gazette No.</w:t>
            </w:r>
            <w:r w:rsidR="005675B0">
              <w:rPr>
                <w:color w:val="000000"/>
              </w:rPr>
              <w:t> </w:t>
            </w:r>
            <w:r w:rsidRPr="005675B0">
              <w:rPr>
                <w:color w:val="000000"/>
              </w:rPr>
              <w:t>21, 5</w:t>
            </w:r>
            <w:r w:rsidR="005675B0">
              <w:rPr>
                <w:color w:val="000000"/>
              </w:rPr>
              <w:t> </w:t>
            </w:r>
            <w:r w:rsidRPr="005675B0">
              <w:rPr>
                <w:color w:val="000000"/>
              </w:rPr>
              <w:t>April 2017, including as modified by the amendments published in the South Australian Government Gazette No.</w:t>
            </w:r>
            <w:r w:rsidR="005675B0">
              <w:rPr>
                <w:color w:val="000000"/>
              </w:rPr>
              <w:t> </w:t>
            </w:r>
            <w:r w:rsidRPr="005675B0">
              <w:rPr>
                <w:color w:val="000000"/>
              </w:rPr>
              <w:t>77, 21</w:t>
            </w:r>
            <w:r w:rsidR="005675B0">
              <w:rPr>
                <w:color w:val="000000"/>
              </w:rPr>
              <w:t> </w:t>
            </w:r>
            <w:r w:rsidRPr="005675B0">
              <w:rPr>
                <w:color w:val="000000"/>
              </w:rPr>
              <w:t>November 2017</w:t>
            </w:r>
          </w:p>
          <w:p w:rsidR="00EF0211" w:rsidRPr="005675B0" w:rsidRDefault="00EF0211" w:rsidP="00EF0211">
            <w:pPr>
              <w:pStyle w:val="notemargin"/>
              <w:rPr>
                <w:color w:val="000000"/>
              </w:rPr>
            </w:pPr>
            <w:r w:rsidRPr="005675B0">
              <w:rPr>
                <w:color w:val="000000"/>
              </w:rPr>
              <w:t>Note:</w:t>
            </w:r>
            <w:r w:rsidRPr="005675B0">
              <w:rPr>
                <w:color w:val="000000"/>
              </w:rPr>
              <w:tab/>
              <w:t>This Scheme was formerly the Law Society of South Australia Professional Standards Scheme, published in the South Australian Government Gazette No.</w:t>
            </w:r>
            <w:r w:rsidR="005675B0">
              <w:rPr>
                <w:color w:val="000000"/>
              </w:rPr>
              <w:t> </w:t>
            </w:r>
            <w:r w:rsidRPr="005675B0">
              <w:rPr>
                <w:color w:val="000000"/>
              </w:rPr>
              <w:t>76, 3</w:t>
            </w:r>
            <w:r w:rsidR="005675B0">
              <w:rPr>
                <w:color w:val="000000"/>
              </w:rPr>
              <w:t> </w:t>
            </w:r>
            <w:r w:rsidRPr="005675B0">
              <w:rPr>
                <w:color w:val="000000"/>
              </w:rPr>
              <w:t>November 2011.</w:t>
            </w:r>
          </w:p>
        </w:tc>
        <w:tc>
          <w:tcPr>
            <w:tcW w:w="1695" w:type="pct"/>
            <w:tcBorders>
              <w:top w:val="single" w:sz="4" w:space="0" w:color="auto"/>
              <w:bottom w:val="single" w:sz="4" w:space="0" w:color="auto"/>
            </w:tcBorders>
            <w:shd w:val="clear" w:color="auto" w:fill="FFFFFF"/>
          </w:tcPr>
          <w:p w:rsidR="00EF0211" w:rsidRPr="005675B0" w:rsidRDefault="00EF0211" w:rsidP="00EF0211">
            <w:pPr>
              <w:pStyle w:val="Tabletext"/>
              <w:keepNext/>
              <w:keepLines/>
              <w:rPr>
                <w:color w:val="000000"/>
              </w:rPr>
            </w:pPr>
            <w:r w:rsidRPr="005675B0">
              <w:rPr>
                <w:color w:val="000000"/>
              </w:rPr>
              <w:lastRenderedPageBreak/>
              <w:t>The scheme—10</w:t>
            </w:r>
            <w:r w:rsidR="005675B0">
              <w:rPr>
                <w:color w:val="000000"/>
              </w:rPr>
              <w:t> </w:t>
            </w:r>
            <w:r w:rsidRPr="005675B0">
              <w:rPr>
                <w:color w:val="000000"/>
              </w:rPr>
              <w:t>February 2018</w:t>
            </w:r>
          </w:p>
          <w:p w:rsidR="00EF0211" w:rsidRPr="005675B0" w:rsidRDefault="00EF0211" w:rsidP="00EF0211">
            <w:pPr>
              <w:pStyle w:val="Tabletext"/>
              <w:rPr>
                <w:color w:val="000000"/>
              </w:rPr>
            </w:pPr>
            <w:r w:rsidRPr="005675B0">
              <w:rPr>
                <w:color w:val="000000"/>
              </w:rPr>
              <w:lastRenderedPageBreak/>
              <w:t>The amendments—</w:t>
            </w:r>
            <w:r w:rsidR="00D52F09" w:rsidRPr="005675B0">
              <w:rPr>
                <w:color w:val="000000"/>
              </w:rPr>
              <w:t>3</w:t>
            </w:r>
            <w:r w:rsidR="005675B0">
              <w:rPr>
                <w:color w:val="000000"/>
              </w:rPr>
              <w:t> </w:t>
            </w:r>
            <w:r w:rsidR="00D52F09" w:rsidRPr="005675B0">
              <w:rPr>
                <w:color w:val="000000"/>
              </w:rPr>
              <w:t>October 2018</w:t>
            </w:r>
          </w:p>
        </w:tc>
      </w:tr>
      <w:tr w:rsidR="000C22D7" w:rsidRPr="005675B0" w:rsidDel="004A1FAA" w:rsidTr="00590BD9">
        <w:tc>
          <w:tcPr>
            <w:tcW w:w="435" w:type="pct"/>
            <w:tcBorders>
              <w:top w:val="single" w:sz="4" w:space="0" w:color="auto"/>
              <w:bottom w:val="single" w:sz="4" w:space="0" w:color="auto"/>
            </w:tcBorders>
            <w:shd w:val="clear" w:color="auto" w:fill="auto"/>
          </w:tcPr>
          <w:p w:rsidR="000C22D7" w:rsidRPr="005675B0" w:rsidDel="004A1FAA" w:rsidRDefault="000C22D7" w:rsidP="002F63AF">
            <w:pPr>
              <w:pStyle w:val="Tabletext"/>
            </w:pPr>
            <w:r w:rsidRPr="005675B0">
              <w:rPr>
                <w:lang w:eastAsia="en-US"/>
              </w:rPr>
              <w:lastRenderedPageBreak/>
              <w:t>16</w:t>
            </w:r>
          </w:p>
        </w:tc>
        <w:tc>
          <w:tcPr>
            <w:tcW w:w="2870" w:type="pct"/>
            <w:tcBorders>
              <w:top w:val="single" w:sz="4" w:space="0" w:color="auto"/>
              <w:bottom w:val="single" w:sz="4" w:space="0" w:color="auto"/>
            </w:tcBorders>
            <w:shd w:val="clear" w:color="auto" w:fill="auto"/>
          </w:tcPr>
          <w:p w:rsidR="000C22D7" w:rsidRPr="005675B0" w:rsidRDefault="000C22D7">
            <w:pPr>
              <w:pStyle w:val="Tabletext"/>
              <w:rPr>
                <w:lang w:eastAsia="en-US"/>
              </w:rPr>
            </w:pPr>
            <w:r w:rsidRPr="005675B0">
              <w:rPr>
                <w:lang w:eastAsia="en-US"/>
              </w:rPr>
              <w:t>The South Australian Bar Association Inc Professional Standards Scheme, published in the South Australian Government Gazette No.</w:t>
            </w:r>
            <w:r w:rsidR="005675B0">
              <w:rPr>
                <w:lang w:eastAsia="en-US"/>
              </w:rPr>
              <w:t> </w:t>
            </w:r>
            <w:r w:rsidRPr="005675B0">
              <w:rPr>
                <w:lang w:eastAsia="en-US"/>
              </w:rPr>
              <w:t>35, 30</w:t>
            </w:r>
            <w:r w:rsidR="005675B0">
              <w:rPr>
                <w:lang w:eastAsia="en-US"/>
              </w:rPr>
              <w:t> </w:t>
            </w:r>
            <w:r w:rsidRPr="005675B0">
              <w:rPr>
                <w:lang w:eastAsia="en-US"/>
              </w:rPr>
              <w:t>May 2017</w:t>
            </w:r>
          </w:p>
          <w:p w:rsidR="000C22D7" w:rsidRPr="005675B0" w:rsidDel="004A1FAA" w:rsidRDefault="000C22D7" w:rsidP="000E1D74">
            <w:pPr>
              <w:pStyle w:val="notemargin"/>
            </w:pPr>
            <w:r w:rsidRPr="005675B0">
              <w:t>Note:</w:t>
            </w:r>
            <w:r w:rsidRPr="005675B0">
              <w:tab/>
              <w:t>This Scheme was formerly the South Australian Bar Association Inc Scheme, published in the South Australian Government Gazette No.</w:t>
            </w:r>
            <w:r w:rsidR="005675B0">
              <w:t> </w:t>
            </w:r>
            <w:r w:rsidRPr="005675B0">
              <w:t>76, 3</w:t>
            </w:r>
            <w:r w:rsidR="005675B0">
              <w:t> </w:t>
            </w:r>
            <w:r w:rsidRPr="005675B0">
              <w:t>November 2011.</w:t>
            </w:r>
          </w:p>
        </w:tc>
        <w:tc>
          <w:tcPr>
            <w:tcW w:w="1695" w:type="pct"/>
            <w:tcBorders>
              <w:top w:val="single" w:sz="4" w:space="0" w:color="auto"/>
              <w:bottom w:val="single" w:sz="4" w:space="0" w:color="auto"/>
            </w:tcBorders>
            <w:shd w:val="clear" w:color="auto" w:fill="auto"/>
          </w:tcPr>
          <w:p w:rsidR="000C22D7" w:rsidRPr="005675B0" w:rsidDel="004A1FAA" w:rsidRDefault="00EF0211" w:rsidP="00021B7D">
            <w:pPr>
              <w:pStyle w:val="Tabletext"/>
            </w:pPr>
            <w:r w:rsidRPr="005675B0">
              <w:rPr>
                <w:color w:val="000000"/>
              </w:rPr>
              <w:t>10</w:t>
            </w:r>
            <w:r w:rsidR="005675B0">
              <w:rPr>
                <w:color w:val="000000"/>
              </w:rPr>
              <w:t> </w:t>
            </w:r>
            <w:r w:rsidRPr="005675B0">
              <w:rPr>
                <w:color w:val="000000"/>
              </w:rPr>
              <w:t>February 2018</w:t>
            </w:r>
          </w:p>
        </w:tc>
      </w:tr>
      <w:tr w:rsidR="00BB0408" w:rsidRPr="005675B0" w:rsidTr="00306443">
        <w:tblPrEx>
          <w:shd w:val="clear" w:color="auto" w:fill="FFFFFF"/>
        </w:tblPrEx>
        <w:trPr>
          <w:cantSplit/>
        </w:trPr>
        <w:tc>
          <w:tcPr>
            <w:tcW w:w="435" w:type="pct"/>
            <w:tcBorders>
              <w:top w:val="single" w:sz="4" w:space="0" w:color="auto"/>
              <w:bottom w:val="single" w:sz="4" w:space="0" w:color="auto"/>
            </w:tcBorders>
            <w:shd w:val="clear" w:color="auto" w:fill="FFFFFF"/>
          </w:tcPr>
          <w:p w:rsidR="00BB0408" w:rsidRPr="005675B0" w:rsidRDefault="00BB0408" w:rsidP="00BB0408">
            <w:pPr>
              <w:pStyle w:val="Tabletext"/>
              <w:rPr>
                <w:color w:val="000000"/>
              </w:rPr>
            </w:pPr>
            <w:r w:rsidRPr="005675B0">
              <w:rPr>
                <w:color w:val="000000"/>
              </w:rPr>
              <w:t>19</w:t>
            </w:r>
          </w:p>
        </w:tc>
        <w:tc>
          <w:tcPr>
            <w:tcW w:w="2870" w:type="pct"/>
            <w:tcBorders>
              <w:top w:val="single" w:sz="4" w:space="0" w:color="auto"/>
              <w:bottom w:val="single" w:sz="4" w:space="0" w:color="auto"/>
            </w:tcBorders>
            <w:shd w:val="clear" w:color="auto" w:fill="FFFFFF"/>
          </w:tcPr>
          <w:p w:rsidR="00BB0408" w:rsidRPr="005675B0" w:rsidRDefault="00BB0408" w:rsidP="00BB0408">
            <w:pPr>
              <w:pStyle w:val="Tabletext"/>
            </w:pPr>
            <w:r w:rsidRPr="005675B0">
              <w:t>The Institute of Public Accountants Professional Standards Scheme, published in the Victoria Government Gazette No. G 42, 18</w:t>
            </w:r>
            <w:r w:rsidR="005675B0">
              <w:t> </w:t>
            </w:r>
            <w:r w:rsidRPr="005675B0">
              <w:t>October 2018</w:t>
            </w:r>
          </w:p>
          <w:p w:rsidR="00BB0408" w:rsidRPr="005675B0" w:rsidRDefault="00BB0408" w:rsidP="00BB0408">
            <w:pPr>
              <w:pStyle w:val="notemargin"/>
            </w:pPr>
            <w:r w:rsidRPr="005675B0">
              <w:t>Note:</w:t>
            </w:r>
            <w:r w:rsidRPr="005675B0">
              <w:tab/>
              <w:t>This Scheme was formerly the Institute of Public Accountants Professional Standards Scheme, published in the New South Wales Government Gazette No.</w:t>
            </w:r>
            <w:r w:rsidR="005675B0">
              <w:t> </w:t>
            </w:r>
            <w:r w:rsidRPr="005675B0">
              <w:t>135, 28</w:t>
            </w:r>
            <w:r w:rsidR="005675B0">
              <w:t> </w:t>
            </w:r>
            <w:r w:rsidRPr="005675B0">
              <w:t>December 2012, including as modified by the extension and amendments made by instrument published in the New South Wales Government Gazettes No.</w:t>
            </w:r>
            <w:r w:rsidR="005675B0">
              <w:t> </w:t>
            </w:r>
            <w:r w:rsidRPr="005675B0">
              <w:t>72, 30</w:t>
            </w:r>
            <w:r w:rsidR="005675B0">
              <w:t> </w:t>
            </w:r>
            <w:r w:rsidRPr="005675B0">
              <w:t>June 2017 and No.</w:t>
            </w:r>
            <w:r w:rsidR="005675B0">
              <w:t> </w:t>
            </w:r>
            <w:r w:rsidRPr="005675B0">
              <w:t>118, 20</w:t>
            </w:r>
            <w:r w:rsidR="005675B0">
              <w:t> </w:t>
            </w:r>
            <w:r w:rsidRPr="005675B0">
              <w:t>October 2017.</w:t>
            </w:r>
          </w:p>
        </w:tc>
        <w:tc>
          <w:tcPr>
            <w:tcW w:w="1695" w:type="pct"/>
            <w:tcBorders>
              <w:top w:val="single" w:sz="4" w:space="0" w:color="auto"/>
              <w:bottom w:val="single" w:sz="4" w:space="0" w:color="auto"/>
            </w:tcBorders>
            <w:shd w:val="clear" w:color="auto" w:fill="FFFFFF"/>
          </w:tcPr>
          <w:p w:rsidR="00BB0408" w:rsidRPr="005675B0" w:rsidRDefault="00096067" w:rsidP="00BB0408">
            <w:pPr>
              <w:pStyle w:val="Tabletext"/>
              <w:keepNext/>
              <w:keepLines/>
              <w:rPr>
                <w:color w:val="000000"/>
              </w:rPr>
            </w:pPr>
            <w:r w:rsidRPr="005675B0">
              <w:rPr>
                <w:color w:val="000000"/>
              </w:rPr>
              <w:t>26</w:t>
            </w:r>
            <w:r w:rsidR="005675B0">
              <w:t> </w:t>
            </w:r>
            <w:r w:rsidRPr="005675B0">
              <w:t>March 2019</w:t>
            </w:r>
          </w:p>
        </w:tc>
      </w:tr>
      <w:tr w:rsidR="00290BC0" w:rsidRPr="005675B0" w:rsidTr="008A7A9E">
        <w:tblPrEx>
          <w:tblBorders>
            <w:top w:val="none" w:sz="0" w:space="0" w:color="auto"/>
            <w:bottom w:val="none" w:sz="0" w:space="0" w:color="auto"/>
          </w:tblBorders>
          <w:shd w:val="clear" w:color="auto" w:fill="FFFFFF"/>
        </w:tblPrEx>
        <w:trPr>
          <w:cantSplit/>
        </w:trPr>
        <w:tc>
          <w:tcPr>
            <w:tcW w:w="435" w:type="pct"/>
            <w:tcBorders>
              <w:top w:val="single" w:sz="4" w:space="0" w:color="auto"/>
              <w:bottom w:val="single" w:sz="12" w:space="0" w:color="auto"/>
            </w:tcBorders>
            <w:shd w:val="clear" w:color="auto" w:fill="FFFFFF"/>
          </w:tcPr>
          <w:p w:rsidR="00290BC0" w:rsidRPr="005675B0" w:rsidRDefault="00290BC0" w:rsidP="00BB0408">
            <w:pPr>
              <w:pStyle w:val="Tabletext"/>
              <w:rPr>
                <w:color w:val="000000"/>
              </w:rPr>
            </w:pPr>
            <w:r w:rsidRPr="005675B0">
              <w:t>20</w:t>
            </w:r>
          </w:p>
        </w:tc>
        <w:tc>
          <w:tcPr>
            <w:tcW w:w="2870" w:type="pct"/>
            <w:tcBorders>
              <w:top w:val="single" w:sz="4" w:space="0" w:color="auto"/>
              <w:bottom w:val="single" w:sz="12" w:space="0" w:color="auto"/>
            </w:tcBorders>
            <w:shd w:val="clear" w:color="auto" w:fill="FFFFFF"/>
          </w:tcPr>
          <w:p w:rsidR="00290BC0" w:rsidRPr="005675B0" w:rsidRDefault="00290BC0" w:rsidP="00BB0408">
            <w:pPr>
              <w:pStyle w:val="Tabletext"/>
            </w:pPr>
            <w:r w:rsidRPr="005675B0">
              <w:rPr>
                <w:color w:val="000000"/>
              </w:rPr>
              <w:t xml:space="preserve">The Association of Consulting Surveyors National Professional Standards Scheme, published in the </w:t>
            </w:r>
            <w:r w:rsidRPr="005675B0">
              <w:t>New South Wales</w:t>
            </w:r>
            <w:r w:rsidRPr="005675B0">
              <w:rPr>
                <w:color w:val="000000"/>
              </w:rPr>
              <w:t xml:space="preserve"> Government Gazette No.</w:t>
            </w:r>
            <w:r w:rsidR="005675B0">
              <w:rPr>
                <w:color w:val="000000"/>
              </w:rPr>
              <w:t> </w:t>
            </w:r>
            <w:r w:rsidRPr="005675B0">
              <w:rPr>
                <w:color w:val="000000"/>
              </w:rPr>
              <w:t>90, 1</w:t>
            </w:r>
            <w:r w:rsidR="005675B0">
              <w:rPr>
                <w:color w:val="000000"/>
              </w:rPr>
              <w:t> </w:t>
            </w:r>
            <w:r w:rsidRPr="005675B0">
              <w:rPr>
                <w:color w:val="000000"/>
              </w:rPr>
              <w:t>May 2020</w:t>
            </w:r>
          </w:p>
        </w:tc>
        <w:tc>
          <w:tcPr>
            <w:tcW w:w="1695" w:type="pct"/>
            <w:tcBorders>
              <w:top w:val="single" w:sz="4" w:space="0" w:color="auto"/>
              <w:bottom w:val="single" w:sz="12" w:space="0" w:color="auto"/>
            </w:tcBorders>
            <w:shd w:val="clear" w:color="auto" w:fill="FFFFFF"/>
          </w:tcPr>
          <w:p w:rsidR="00290BC0" w:rsidRPr="005675B0" w:rsidRDefault="00290BC0" w:rsidP="00BB0408">
            <w:pPr>
              <w:pStyle w:val="Tabletext"/>
              <w:keepNext/>
              <w:keepLines/>
              <w:rPr>
                <w:color w:val="000000"/>
              </w:rPr>
            </w:pPr>
            <w:r w:rsidRPr="005675B0">
              <w:rPr>
                <w:color w:val="000000"/>
              </w:rPr>
              <w:t>1</w:t>
            </w:r>
            <w:r w:rsidR="005675B0">
              <w:rPr>
                <w:color w:val="000000"/>
              </w:rPr>
              <w:t> </w:t>
            </w:r>
            <w:r w:rsidRPr="005675B0">
              <w:rPr>
                <w:color w:val="000000"/>
              </w:rPr>
              <w:t>July 2020</w:t>
            </w:r>
          </w:p>
        </w:tc>
      </w:tr>
    </w:tbl>
    <w:p w:rsidR="00F66E20" w:rsidRPr="005675B0" w:rsidRDefault="00F66E20" w:rsidP="00970EC1">
      <w:pPr>
        <w:pStyle w:val="ActHead5"/>
      </w:pPr>
      <w:bookmarkStart w:id="18" w:name="_Toc46238146"/>
      <w:r w:rsidRPr="005675B0">
        <w:rPr>
          <w:rStyle w:val="CharSectno"/>
        </w:rPr>
        <w:t>3</w:t>
      </w:r>
      <w:r w:rsidR="00970EC1" w:rsidRPr="005675B0">
        <w:t xml:space="preserve">  </w:t>
      </w:r>
      <w:r w:rsidRPr="005675B0">
        <w:t>Prescribed agencies (Act s</w:t>
      </w:r>
      <w:r w:rsidR="002B1B6B" w:rsidRPr="005675B0">
        <w:t xml:space="preserve"> </w:t>
      </w:r>
      <w:r w:rsidRPr="005675B0">
        <w:t>18(2</w:t>
      </w:r>
      <w:r w:rsidR="00970EC1" w:rsidRPr="005675B0">
        <w:t>)(</w:t>
      </w:r>
      <w:r w:rsidRPr="005675B0">
        <w:t>d))</w:t>
      </w:r>
      <w:bookmarkEnd w:id="18"/>
    </w:p>
    <w:p w:rsidR="00F66E20" w:rsidRPr="005675B0" w:rsidRDefault="00F66E20" w:rsidP="00970EC1">
      <w:pPr>
        <w:pStyle w:val="subsection"/>
      </w:pPr>
      <w:r w:rsidRPr="005675B0">
        <w:tab/>
      </w:r>
      <w:r w:rsidRPr="005675B0">
        <w:tab/>
        <w:t>For paragraph</w:t>
      </w:r>
      <w:r w:rsidR="005675B0">
        <w:t> </w:t>
      </w:r>
      <w:r w:rsidRPr="005675B0">
        <w:t>18(2</w:t>
      </w:r>
      <w:r w:rsidR="00970EC1" w:rsidRPr="005675B0">
        <w:t>)(</w:t>
      </w:r>
      <w:r w:rsidRPr="005675B0">
        <w:t>d) of the Act, each of the following agencies is prescribed:</w:t>
      </w:r>
    </w:p>
    <w:p w:rsidR="00D55C02" w:rsidRPr="005675B0" w:rsidRDefault="00D55C02" w:rsidP="00970EC1">
      <w:pPr>
        <w:pStyle w:val="paragraph"/>
      </w:pPr>
      <w:r w:rsidRPr="005675B0">
        <w:tab/>
        <w:t>(a)</w:t>
      </w:r>
      <w:r w:rsidRPr="005675B0">
        <w:tab/>
        <w:t>the Clean Energy Regulator;</w:t>
      </w:r>
    </w:p>
    <w:p w:rsidR="00D55C02" w:rsidRPr="005675B0" w:rsidRDefault="00D55C02" w:rsidP="00970EC1">
      <w:pPr>
        <w:pStyle w:val="paragraph"/>
      </w:pPr>
      <w:r w:rsidRPr="005675B0">
        <w:tab/>
        <w:t>(aa)</w:t>
      </w:r>
      <w:r w:rsidRPr="005675B0">
        <w:tab/>
        <w:t>the Australian Competition and Consumer Commission;</w:t>
      </w:r>
    </w:p>
    <w:p w:rsidR="00F66E20" w:rsidRPr="005675B0" w:rsidRDefault="00F66E20" w:rsidP="00970EC1">
      <w:pPr>
        <w:pStyle w:val="paragraph"/>
      </w:pPr>
      <w:r w:rsidRPr="005675B0">
        <w:tab/>
        <w:t>(b)</w:t>
      </w:r>
      <w:r w:rsidRPr="005675B0">
        <w:tab/>
        <w:t>the Australian Prudential Regulation Authority;</w:t>
      </w:r>
    </w:p>
    <w:p w:rsidR="00F66E20" w:rsidRPr="005675B0" w:rsidRDefault="00F66E20" w:rsidP="00970EC1">
      <w:pPr>
        <w:pStyle w:val="paragraph"/>
      </w:pPr>
      <w:r w:rsidRPr="005675B0">
        <w:tab/>
        <w:t>(c)</w:t>
      </w:r>
      <w:r w:rsidRPr="005675B0">
        <w:tab/>
        <w:t>the Australian Taxation Office;</w:t>
      </w:r>
    </w:p>
    <w:p w:rsidR="00F66E20" w:rsidRPr="005675B0" w:rsidRDefault="00F66E20" w:rsidP="00970EC1">
      <w:pPr>
        <w:pStyle w:val="paragraph"/>
      </w:pPr>
      <w:r w:rsidRPr="005675B0">
        <w:tab/>
        <w:t>(d)</w:t>
      </w:r>
      <w:r w:rsidRPr="005675B0">
        <w:tab/>
        <w:t>the Australian Transaction Reports and Analysis Centre;</w:t>
      </w:r>
    </w:p>
    <w:p w:rsidR="00F66E20" w:rsidRPr="005675B0" w:rsidRDefault="00F66E20" w:rsidP="00970EC1">
      <w:pPr>
        <w:pStyle w:val="paragraph"/>
      </w:pPr>
      <w:r w:rsidRPr="005675B0">
        <w:tab/>
        <w:t>(e)</w:t>
      </w:r>
      <w:r w:rsidRPr="005675B0">
        <w:tab/>
        <w:t>an authority of a State or Territory having functions and powers similar to those of the Director of Public Prosecutions;</w:t>
      </w:r>
    </w:p>
    <w:p w:rsidR="00F66E20" w:rsidRPr="005675B0" w:rsidRDefault="00F66E20" w:rsidP="00970EC1">
      <w:pPr>
        <w:pStyle w:val="paragraph"/>
      </w:pPr>
      <w:r w:rsidRPr="005675B0">
        <w:tab/>
        <w:t>(f)</w:t>
      </w:r>
      <w:r w:rsidRPr="005675B0">
        <w:tab/>
        <w:t>the police force or service of each State and the Northern Territory;</w:t>
      </w:r>
    </w:p>
    <w:p w:rsidR="00F66E20" w:rsidRPr="005675B0" w:rsidRDefault="00F66E20" w:rsidP="00970EC1">
      <w:pPr>
        <w:pStyle w:val="paragraph"/>
      </w:pPr>
      <w:r w:rsidRPr="005675B0">
        <w:tab/>
        <w:t>(g)</w:t>
      </w:r>
      <w:r w:rsidRPr="005675B0">
        <w:tab/>
        <w:t>the Department of Fair Trading of New South Wales;</w:t>
      </w:r>
    </w:p>
    <w:p w:rsidR="00F66E20" w:rsidRPr="005675B0" w:rsidRDefault="00F66E20" w:rsidP="00970EC1">
      <w:pPr>
        <w:pStyle w:val="paragraph"/>
      </w:pPr>
      <w:r w:rsidRPr="005675B0">
        <w:tab/>
        <w:t>(h)</w:t>
      </w:r>
      <w:r w:rsidRPr="005675B0">
        <w:tab/>
        <w:t>the Office of Fair Trading and Business Affairs of Victoria;</w:t>
      </w:r>
    </w:p>
    <w:p w:rsidR="00F66E20" w:rsidRPr="005675B0" w:rsidRDefault="00F66E20" w:rsidP="00970EC1">
      <w:pPr>
        <w:pStyle w:val="paragraph"/>
      </w:pPr>
      <w:r w:rsidRPr="005675B0">
        <w:tab/>
        <w:t>(i)</w:t>
      </w:r>
      <w:r w:rsidRPr="005675B0">
        <w:tab/>
        <w:t>the Office of Consumer Affairs of Queensland;</w:t>
      </w:r>
    </w:p>
    <w:p w:rsidR="00F66E20" w:rsidRPr="005675B0" w:rsidRDefault="00F66E20" w:rsidP="00970EC1">
      <w:pPr>
        <w:pStyle w:val="paragraph"/>
        <w:rPr>
          <w:color w:val="000000"/>
        </w:rPr>
      </w:pPr>
      <w:r w:rsidRPr="005675B0">
        <w:rPr>
          <w:color w:val="000000"/>
        </w:rPr>
        <w:lastRenderedPageBreak/>
        <w:tab/>
        <w:t>(j)</w:t>
      </w:r>
      <w:r w:rsidRPr="005675B0">
        <w:rPr>
          <w:color w:val="000000"/>
        </w:rPr>
        <w:tab/>
        <w:t>the Department of Consumer and Employment Protection of Western Australia;</w:t>
      </w:r>
    </w:p>
    <w:p w:rsidR="00F66E20" w:rsidRPr="005675B0" w:rsidRDefault="00F66E20" w:rsidP="00970EC1">
      <w:pPr>
        <w:pStyle w:val="paragraph"/>
      </w:pPr>
      <w:r w:rsidRPr="005675B0">
        <w:tab/>
        <w:t>(k)</w:t>
      </w:r>
      <w:r w:rsidRPr="005675B0">
        <w:tab/>
        <w:t>the Office of Consumer and Business Affairs of South Australia;</w:t>
      </w:r>
    </w:p>
    <w:p w:rsidR="00F66E20" w:rsidRPr="005675B0" w:rsidRDefault="00F66E20" w:rsidP="00970EC1">
      <w:pPr>
        <w:pStyle w:val="paragraph"/>
      </w:pPr>
      <w:r w:rsidRPr="005675B0">
        <w:tab/>
        <w:t>(l)</w:t>
      </w:r>
      <w:r w:rsidRPr="005675B0">
        <w:tab/>
        <w:t>the Office of Consumer Affairs and Fair Trading of Tasmania;</w:t>
      </w:r>
    </w:p>
    <w:p w:rsidR="00F66E20" w:rsidRPr="005675B0" w:rsidRDefault="00F66E20" w:rsidP="00970EC1">
      <w:pPr>
        <w:pStyle w:val="paragraph"/>
      </w:pPr>
      <w:r w:rsidRPr="005675B0">
        <w:tab/>
        <w:t>(m)</w:t>
      </w:r>
      <w:r w:rsidRPr="005675B0">
        <w:tab/>
        <w:t>the Consumer Affairs Bureau of the Australian Capital Territory;</w:t>
      </w:r>
    </w:p>
    <w:p w:rsidR="00F66E20" w:rsidRPr="005675B0" w:rsidRDefault="00F66E20" w:rsidP="00970EC1">
      <w:pPr>
        <w:pStyle w:val="paragraph"/>
      </w:pPr>
      <w:r w:rsidRPr="005675B0">
        <w:tab/>
        <w:t>(n)</w:t>
      </w:r>
      <w:r w:rsidRPr="005675B0">
        <w:tab/>
        <w:t>the Fair Trading Group of the Northern Territory.</w:t>
      </w:r>
    </w:p>
    <w:p w:rsidR="00F66E20" w:rsidRPr="005675B0" w:rsidRDefault="00F66E20" w:rsidP="00970EC1">
      <w:pPr>
        <w:pStyle w:val="ActHead5"/>
      </w:pPr>
      <w:bookmarkStart w:id="19" w:name="_Toc46238147"/>
      <w:r w:rsidRPr="005675B0">
        <w:rPr>
          <w:rStyle w:val="CharSectno"/>
        </w:rPr>
        <w:t>4</w:t>
      </w:r>
      <w:r w:rsidR="00970EC1" w:rsidRPr="005675B0">
        <w:t xml:space="preserve">  Form</w:t>
      </w:r>
      <w:r w:rsidR="002B1B6B" w:rsidRPr="005675B0">
        <w:t xml:space="preserve"> </w:t>
      </w:r>
      <w:r w:rsidRPr="005675B0">
        <w:t>of notice requiring assistance and appearance for examination</w:t>
      </w:r>
      <w:bookmarkEnd w:id="19"/>
    </w:p>
    <w:p w:rsidR="00F66E20" w:rsidRPr="005675B0" w:rsidRDefault="00F66E20" w:rsidP="00970EC1">
      <w:pPr>
        <w:pStyle w:val="subsection"/>
      </w:pPr>
      <w:r w:rsidRPr="005675B0">
        <w:tab/>
      </w:r>
      <w:r w:rsidRPr="005675B0">
        <w:tab/>
        <w:t>For subsection</w:t>
      </w:r>
      <w:r w:rsidR="005675B0">
        <w:t> </w:t>
      </w:r>
      <w:r w:rsidRPr="005675B0">
        <w:t xml:space="preserve">19(2) of the Act, </w:t>
      </w:r>
      <w:r w:rsidR="00970EC1" w:rsidRPr="005675B0">
        <w:t>Form</w:t>
      </w:r>
      <w:r w:rsidR="002B1B6B" w:rsidRPr="005675B0">
        <w:t xml:space="preserve"> </w:t>
      </w:r>
      <w:r w:rsidRPr="005675B0">
        <w:t>1 is prescribed.</w:t>
      </w:r>
    </w:p>
    <w:p w:rsidR="00F66E20" w:rsidRPr="005675B0" w:rsidRDefault="00F66E20" w:rsidP="00970EC1">
      <w:pPr>
        <w:pStyle w:val="ActHead5"/>
      </w:pPr>
      <w:bookmarkStart w:id="20" w:name="_Toc46238148"/>
      <w:r w:rsidRPr="005675B0">
        <w:rPr>
          <w:rStyle w:val="CharSectno"/>
        </w:rPr>
        <w:t>5</w:t>
      </w:r>
      <w:r w:rsidR="00970EC1" w:rsidRPr="005675B0">
        <w:t xml:space="preserve">  </w:t>
      </w:r>
      <w:r w:rsidRPr="005675B0">
        <w:t>Notice to produce books</w:t>
      </w:r>
      <w:bookmarkEnd w:id="20"/>
    </w:p>
    <w:p w:rsidR="00F66E20" w:rsidRPr="005675B0" w:rsidRDefault="00F66E20" w:rsidP="00970EC1">
      <w:pPr>
        <w:pStyle w:val="subsection"/>
      </w:pPr>
      <w:r w:rsidRPr="005675B0">
        <w:tab/>
      </w:r>
      <w:r w:rsidRPr="005675B0">
        <w:tab/>
        <w:t>A notice under section</w:t>
      </w:r>
      <w:r w:rsidR="005675B0">
        <w:t> </w:t>
      </w:r>
      <w:r w:rsidRPr="005675B0">
        <w:t>30, subsection</w:t>
      </w:r>
      <w:r w:rsidR="005675B0">
        <w:t> </w:t>
      </w:r>
      <w:r w:rsidRPr="005675B0">
        <w:t>31(1) or section</w:t>
      </w:r>
      <w:r w:rsidR="005675B0">
        <w:t> </w:t>
      </w:r>
      <w:r w:rsidRPr="005675B0">
        <w:t xml:space="preserve">32A or 33 of the Act to produce books must be in accordance with </w:t>
      </w:r>
      <w:r w:rsidR="00970EC1" w:rsidRPr="005675B0">
        <w:t>Form</w:t>
      </w:r>
      <w:r w:rsidR="002B1B6B" w:rsidRPr="005675B0">
        <w:t xml:space="preserve"> </w:t>
      </w:r>
      <w:r w:rsidRPr="005675B0">
        <w:t>2.</w:t>
      </w:r>
    </w:p>
    <w:p w:rsidR="00F66E20" w:rsidRPr="005675B0" w:rsidRDefault="00F66E20" w:rsidP="00970EC1">
      <w:pPr>
        <w:pStyle w:val="ActHead5"/>
      </w:pPr>
      <w:bookmarkStart w:id="21" w:name="_Toc46238149"/>
      <w:r w:rsidRPr="005675B0">
        <w:rPr>
          <w:rStyle w:val="CharSectno"/>
        </w:rPr>
        <w:t>6</w:t>
      </w:r>
      <w:r w:rsidR="00970EC1" w:rsidRPr="005675B0">
        <w:t xml:space="preserve">  </w:t>
      </w:r>
      <w:r w:rsidRPr="005675B0">
        <w:t>Evidence of authority</w:t>
      </w:r>
      <w:bookmarkEnd w:id="21"/>
    </w:p>
    <w:p w:rsidR="00F66E20" w:rsidRPr="005675B0" w:rsidRDefault="00F66E20" w:rsidP="00970EC1">
      <w:pPr>
        <w:pStyle w:val="subsection"/>
      </w:pPr>
      <w:r w:rsidRPr="005675B0">
        <w:tab/>
      </w:r>
      <w:r w:rsidRPr="005675B0">
        <w:tab/>
        <w:t>If:</w:t>
      </w:r>
    </w:p>
    <w:p w:rsidR="00F66E20" w:rsidRPr="005675B0" w:rsidRDefault="00F66E20" w:rsidP="00970EC1">
      <w:pPr>
        <w:pStyle w:val="paragraph"/>
      </w:pPr>
      <w:r w:rsidRPr="005675B0">
        <w:tab/>
        <w:t>(a)</w:t>
      </w:r>
      <w:r w:rsidRPr="005675B0">
        <w:tab/>
        <w:t>a member or staff member produces a document issued by the Commission; and</w:t>
      </w:r>
    </w:p>
    <w:p w:rsidR="00F66E20" w:rsidRPr="005675B0" w:rsidRDefault="00F66E20" w:rsidP="00970EC1">
      <w:pPr>
        <w:pStyle w:val="paragraph"/>
      </w:pPr>
      <w:r w:rsidRPr="005675B0">
        <w:tab/>
        <w:t>(b)</w:t>
      </w:r>
      <w:r w:rsidRPr="005675B0">
        <w:tab/>
        <w:t>the document states that the person is authorised by the Commission under section</w:t>
      </w:r>
      <w:r w:rsidR="005675B0">
        <w:t> </w:t>
      </w:r>
      <w:r w:rsidRPr="005675B0">
        <w:t>34 of the Act;</w:t>
      </w:r>
    </w:p>
    <w:p w:rsidR="00F66E20" w:rsidRPr="005675B0" w:rsidRDefault="00F66E20" w:rsidP="00970EC1">
      <w:pPr>
        <w:pStyle w:val="subsection2"/>
      </w:pPr>
      <w:r w:rsidRPr="005675B0">
        <w:t>the document is evidence of:</w:t>
      </w:r>
    </w:p>
    <w:p w:rsidR="00F66E20" w:rsidRPr="005675B0" w:rsidRDefault="00F66E20" w:rsidP="00970EC1">
      <w:pPr>
        <w:pStyle w:val="paragraph"/>
      </w:pPr>
      <w:r w:rsidRPr="005675B0">
        <w:tab/>
        <w:t>(c)</w:t>
      </w:r>
      <w:r w:rsidRPr="005675B0">
        <w:tab/>
        <w:t>the authority of the person to require other persons to produce books under subsection</w:t>
      </w:r>
      <w:r w:rsidR="005675B0">
        <w:t> </w:t>
      </w:r>
      <w:r w:rsidRPr="005675B0">
        <w:t>34(2) of the Act; and</w:t>
      </w:r>
    </w:p>
    <w:p w:rsidR="00F66E20" w:rsidRPr="005675B0" w:rsidRDefault="00F66E20" w:rsidP="00970EC1">
      <w:pPr>
        <w:pStyle w:val="paragraph"/>
      </w:pPr>
      <w:r w:rsidRPr="005675B0">
        <w:tab/>
        <w:t>(d)</w:t>
      </w:r>
      <w:r w:rsidRPr="005675B0">
        <w:tab/>
        <w:t>any limitation on that authority that is specified in the document under that subsection.</w:t>
      </w:r>
    </w:p>
    <w:p w:rsidR="00F66E20" w:rsidRPr="005675B0" w:rsidRDefault="00F66E20" w:rsidP="00970EC1">
      <w:pPr>
        <w:pStyle w:val="ActHead5"/>
      </w:pPr>
      <w:bookmarkStart w:id="22" w:name="_Toc46238150"/>
      <w:r w:rsidRPr="005675B0">
        <w:rPr>
          <w:rStyle w:val="CharSectno"/>
        </w:rPr>
        <w:t>7</w:t>
      </w:r>
      <w:r w:rsidR="00970EC1" w:rsidRPr="005675B0">
        <w:t xml:space="preserve">  </w:t>
      </w:r>
      <w:r w:rsidRPr="005675B0">
        <w:t>Summons to witnesses to appear before Commission</w:t>
      </w:r>
      <w:bookmarkEnd w:id="22"/>
    </w:p>
    <w:p w:rsidR="00F66E20" w:rsidRPr="005675B0" w:rsidRDefault="00F66E20" w:rsidP="00970EC1">
      <w:pPr>
        <w:pStyle w:val="subsection"/>
      </w:pPr>
      <w:r w:rsidRPr="005675B0">
        <w:tab/>
      </w:r>
      <w:r w:rsidRPr="005675B0">
        <w:tab/>
        <w:t>For subsection</w:t>
      </w:r>
      <w:r w:rsidR="005675B0">
        <w:t> </w:t>
      </w:r>
      <w:r w:rsidRPr="005675B0">
        <w:t xml:space="preserve">58(1) of the Act, </w:t>
      </w:r>
      <w:r w:rsidR="00970EC1" w:rsidRPr="005675B0">
        <w:t>Form</w:t>
      </w:r>
      <w:r w:rsidR="002B1B6B" w:rsidRPr="005675B0">
        <w:t xml:space="preserve"> </w:t>
      </w:r>
      <w:r w:rsidRPr="005675B0">
        <w:t>3 is prescribed.</w:t>
      </w:r>
    </w:p>
    <w:p w:rsidR="00F66E20" w:rsidRPr="005675B0" w:rsidRDefault="00F66E20" w:rsidP="00970EC1">
      <w:pPr>
        <w:pStyle w:val="ActHead5"/>
      </w:pPr>
      <w:bookmarkStart w:id="23" w:name="_Toc46238151"/>
      <w:r w:rsidRPr="005675B0">
        <w:rPr>
          <w:rStyle w:val="CharSectno"/>
        </w:rPr>
        <w:t>8</w:t>
      </w:r>
      <w:r w:rsidR="00970EC1" w:rsidRPr="005675B0">
        <w:t xml:space="preserve">  </w:t>
      </w:r>
      <w:r w:rsidRPr="005675B0">
        <w:t>Allowances and expenses payable to examinees and witnesses</w:t>
      </w:r>
      <w:bookmarkEnd w:id="23"/>
    </w:p>
    <w:p w:rsidR="00F66E20" w:rsidRPr="005675B0" w:rsidRDefault="00F66E20" w:rsidP="00970EC1">
      <w:pPr>
        <w:pStyle w:val="subsection"/>
      </w:pPr>
      <w:r w:rsidRPr="005675B0">
        <w:tab/>
      </w:r>
      <w:r w:rsidRPr="005675B0">
        <w:tab/>
        <w:t>For subsections</w:t>
      </w:r>
      <w:r w:rsidR="005675B0">
        <w:t> </w:t>
      </w:r>
      <w:r w:rsidRPr="005675B0">
        <w:t>89(1) and (2) of the Act, a person who appears:</w:t>
      </w:r>
    </w:p>
    <w:p w:rsidR="00F66E20" w:rsidRPr="005675B0" w:rsidRDefault="00F66E20" w:rsidP="00970EC1">
      <w:pPr>
        <w:pStyle w:val="paragraph"/>
      </w:pPr>
      <w:r w:rsidRPr="005675B0">
        <w:tab/>
        <w:t>(a)</w:t>
      </w:r>
      <w:r w:rsidRPr="005675B0">
        <w:tab/>
        <w:t>for examination under section</w:t>
      </w:r>
      <w:r w:rsidR="005675B0">
        <w:t> </w:t>
      </w:r>
      <w:r w:rsidRPr="005675B0">
        <w:t>19 of the Act; or</w:t>
      </w:r>
    </w:p>
    <w:p w:rsidR="00F66E20" w:rsidRPr="005675B0" w:rsidRDefault="00F66E20" w:rsidP="00970EC1">
      <w:pPr>
        <w:pStyle w:val="paragraph"/>
      </w:pPr>
      <w:r w:rsidRPr="005675B0">
        <w:tab/>
        <w:t>(b)</w:t>
      </w:r>
      <w:r w:rsidRPr="005675B0">
        <w:tab/>
        <w:t>in accordance with a summons issued under section</w:t>
      </w:r>
      <w:r w:rsidR="005675B0">
        <w:t> </w:t>
      </w:r>
      <w:r w:rsidRPr="005675B0">
        <w:t>58 of the Act;</w:t>
      </w:r>
    </w:p>
    <w:p w:rsidR="00F66E20" w:rsidRPr="005675B0" w:rsidRDefault="00F66E20" w:rsidP="00970EC1">
      <w:pPr>
        <w:pStyle w:val="subsection2"/>
      </w:pPr>
      <w:r w:rsidRPr="005675B0">
        <w:t xml:space="preserve">is entitled to be paid allowances and expenses in accordance with </w:t>
      </w:r>
      <w:r w:rsidR="00970EC1" w:rsidRPr="005675B0">
        <w:t>Schedule</w:t>
      </w:r>
      <w:r w:rsidR="005675B0">
        <w:t> </w:t>
      </w:r>
      <w:r w:rsidRPr="005675B0">
        <w:t>2.</w:t>
      </w:r>
    </w:p>
    <w:p w:rsidR="00C502A0" w:rsidRPr="005675B0" w:rsidRDefault="00C502A0" w:rsidP="00C502A0">
      <w:pPr>
        <w:pStyle w:val="ActHead5"/>
      </w:pPr>
      <w:bookmarkStart w:id="24" w:name="_Toc46238152"/>
      <w:r w:rsidRPr="005675B0">
        <w:rPr>
          <w:rStyle w:val="CharSectno"/>
        </w:rPr>
        <w:t>8AA</w:t>
      </w:r>
      <w:r w:rsidRPr="005675B0">
        <w:t xml:space="preserve">  Prescribed professional disciplinary and other bodies</w:t>
      </w:r>
      <w:bookmarkEnd w:id="24"/>
    </w:p>
    <w:p w:rsidR="00C502A0" w:rsidRPr="005675B0" w:rsidRDefault="00C502A0" w:rsidP="00C502A0">
      <w:pPr>
        <w:pStyle w:val="subsection"/>
      </w:pPr>
      <w:r w:rsidRPr="005675B0">
        <w:tab/>
        <w:t>(1)</w:t>
      </w:r>
      <w:r w:rsidRPr="005675B0">
        <w:tab/>
        <w:t>For the purposes of subparagraph</w:t>
      </w:r>
      <w:r w:rsidR="005675B0">
        <w:t> </w:t>
      </w:r>
      <w:r w:rsidRPr="005675B0">
        <w:t>127(4)(d)(i) of the Act, the following professional disciplinary bodies are prescribed:</w:t>
      </w:r>
    </w:p>
    <w:p w:rsidR="00C502A0" w:rsidRPr="005675B0" w:rsidRDefault="00C502A0" w:rsidP="00C502A0">
      <w:pPr>
        <w:pStyle w:val="paragraph"/>
      </w:pPr>
      <w:r w:rsidRPr="005675B0">
        <w:tab/>
        <w:t>(a)</w:t>
      </w:r>
      <w:r w:rsidRPr="005675B0">
        <w:tab/>
        <w:t>the Australian Restructuring Insolvency and Turnaround Association;</w:t>
      </w:r>
    </w:p>
    <w:p w:rsidR="00C502A0" w:rsidRPr="005675B0" w:rsidRDefault="00C502A0" w:rsidP="00C502A0">
      <w:pPr>
        <w:pStyle w:val="paragraph"/>
      </w:pPr>
      <w:r w:rsidRPr="005675B0">
        <w:tab/>
        <w:t>(b)</w:t>
      </w:r>
      <w:r w:rsidRPr="005675B0">
        <w:tab/>
        <w:t>CPA Australia;</w:t>
      </w:r>
    </w:p>
    <w:p w:rsidR="00C502A0" w:rsidRPr="005675B0" w:rsidRDefault="00C502A0" w:rsidP="00C502A0">
      <w:pPr>
        <w:pStyle w:val="paragraph"/>
      </w:pPr>
      <w:r w:rsidRPr="005675B0">
        <w:tab/>
        <w:t>(c)</w:t>
      </w:r>
      <w:r w:rsidRPr="005675B0">
        <w:tab/>
        <w:t>Chartered Accountants Australia and New Zealand;</w:t>
      </w:r>
    </w:p>
    <w:p w:rsidR="00C502A0" w:rsidRPr="005675B0" w:rsidRDefault="00C502A0" w:rsidP="00C502A0">
      <w:pPr>
        <w:pStyle w:val="paragraph"/>
      </w:pPr>
      <w:r w:rsidRPr="005675B0">
        <w:lastRenderedPageBreak/>
        <w:tab/>
        <w:t>(d)</w:t>
      </w:r>
      <w:r w:rsidRPr="005675B0">
        <w:tab/>
        <w:t>the Institute of Public Accountants;</w:t>
      </w:r>
    </w:p>
    <w:p w:rsidR="00C502A0" w:rsidRPr="005675B0" w:rsidRDefault="00C502A0" w:rsidP="00C502A0">
      <w:pPr>
        <w:pStyle w:val="paragraph"/>
        <w:shd w:val="clear" w:color="auto" w:fill="FFFFFF"/>
        <w:rPr>
          <w:color w:val="000000"/>
          <w:szCs w:val="22"/>
        </w:rPr>
      </w:pPr>
      <w:r w:rsidRPr="005675B0">
        <w:tab/>
        <w:t>(e)</w:t>
      </w:r>
      <w:r w:rsidRPr="005675B0">
        <w:tab/>
      </w:r>
      <w:r w:rsidRPr="005675B0">
        <w:rPr>
          <w:color w:val="000000"/>
          <w:szCs w:val="22"/>
        </w:rPr>
        <w:t>the New South Wales Bar Association;</w:t>
      </w:r>
    </w:p>
    <w:p w:rsidR="00C502A0" w:rsidRPr="005675B0" w:rsidRDefault="00C502A0" w:rsidP="00C502A0">
      <w:pPr>
        <w:pStyle w:val="paragraph"/>
      </w:pPr>
      <w:r w:rsidRPr="005675B0">
        <w:tab/>
        <w:t>(f)</w:t>
      </w:r>
      <w:r w:rsidRPr="005675B0">
        <w:tab/>
        <w:t>the Law Society of New South Wales;</w:t>
      </w:r>
    </w:p>
    <w:p w:rsidR="00C502A0" w:rsidRPr="005675B0" w:rsidRDefault="00C502A0" w:rsidP="00C502A0">
      <w:pPr>
        <w:pStyle w:val="paragraph"/>
      </w:pPr>
      <w:r w:rsidRPr="005675B0">
        <w:tab/>
        <w:t>(g)</w:t>
      </w:r>
      <w:r w:rsidRPr="005675B0">
        <w:tab/>
        <w:t>the Victorian Legal Services Commissioner;</w:t>
      </w:r>
    </w:p>
    <w:p w:rsidR="00C502A0" w:rsidRPr="005675B0" w:rsidRDefault="00C502A0" w:rsidP="00C502A0">
      <w:pPr>
        <w:pStyle w:val="paragraph"/>
      </w:pPr>
      <w:r w:rsidRPr="005675B0">
        <w:tab/>
        <w:t>(h)</w:t>
      </w:r>
      <w:r w:rsidRPr="005675B0">
        <w:tab/>
        <w:t>the Victorian Legal Services Board;</w:t>
      </w:r>
    </w:p>
    <w:p w:rsidR="00C502A0" w:rsidRPr="005675B0" w:rsidRDefault="00C502A0" w:rsidP="00C502A0">
      <w:pPr>
        <w:pStyle w:val="paragraph"/>
      </w:pPr>
      <w:r w:rsidRPr="005675B0">
        <w:tab/>
        <w:t>(i)</w:t>
      </w:r>
      <w:r w:rsidRPr="005675B0">
        <w:tab/>
        <w:t>the Bar Association of Queensland;</w:t>
      </w:r>
    </w:p>
    <w:p w:rsidR="00C502A0" w:rsidRPr="005675B0" w:rsidRDefault="00C502A0" w:rsidP="00C502A0">
      <w:pPr>
        <w:pStyle w:val="paragraph"/>
      </w:pPr>
      <w:r w:rsidRPr="005675B0">
        <w:tab/>
        <w:t>(j)</w:t>
      </w:r>
      <w:r w:rsidRPr="005675B0">
        <w:tab/>
        <w:t>the Queensland Law Society;</w:t>
      </w:r>
    </w:p>
    <w:p w:rsidR="00C502A0" w:rsidRPr="005675B0" w:rsidRDefault="00C502A0" w:rsidP="00C502A0">
      <w:pPr>
        <w:pStyle w:val="paragraph"/>
      </w:pPr>
      <w:r w:rsidRPr="005675B0">
        <w:tab/>
        <w:t>(k)</w:t>
      </w:r>
      <w:r w:rsidRPr="005675B0">
        <w:tab/>
        <w:t>the Legal Practice Board of Western Australia;</w:t>
      </w:r>
    </w:p>
    <w:p w:rsidR="00C502A0" w:rsidRPr="005675B0" w:rsidRDefault="00C502A0" w:rsidP="00C502A0">
      <w:pPr>
        <w:pStyle w:val="paragraph"/>
      </w:pPr>
      <w:r w:rsidRPr="005675B0">
        <w:tab/>
        <w:t>(l)</w:t>
      </w:r>
      <w:r w:rsidRPr="005675B0">
        <w:tab/>
        <w:t>the Law Society of South Australia;</w:t>
      </w:r>
    </w:p>
    <w:p w:rsidR="00C502A0" w:rsidRPr="005675B0" w:rsidRDefault="00C502A0" w:rsidP="00C502A0">
      <w:pPr>
        <w:pStyle w:val="paragraph"/>
      </w:pPr>
      <w:r w:rsidRPr="005675B0">
        <w:tab/>
        <w:t>(m)</w:t>
      </w:r>
      <w:r w:rsidRPr="005675B0">
        <w:tab/>
        <w:t>the Legal Profession Conduct Commissioner of South Australia;</w:t>
      </w:r>
    </w:p>
    <w:p w:rsidR="00C502A0" w:rsidRPr="005675B0" w:rsidRDefault="00C502A0" w:rsidP="00C502A0">
      <w:pPr>
        <w:pStyle w:val="paragraph"/>
      </w:pPr>
      <w:r w:rsidRPr="005675B0">
        <w:tab/>
        <w:t>(n)</w:t>
      </w:r>
      <w:r w:rsidRPr="005675B0">
        <w:tab/>
        <w:t>the Law Society of Tasmania;</w:t>
      </w:r>
    </w:p>
    <w:p w:rsidR="00C502A0" w:rsidRPr="005675B0" w:rsidRDefault="00C502A0" w:rsidP="00C502A0">
      <w:pPr>
        <w:pStyle w:val="paragraph"/>
      </w:pPr>
      <w:r w:rsidRPr="005675B0">
        <w:tab/>
        <w:t>(o)</w:t>
      </w:r>
      <w:r w:rsidRPr="005675B0">
        <w:tab/>
        <w:t>the Law Society of the Australian Capital Territory;</w:t>
      </w:r>
    </w:p>
    <w:p w:rsidR="00C502A0" w:rsidRPr="005675B0" w:rsidRDefault="00C502A0" w:rsidP="00C502A0">
      <w:pPr>
        <w:pStyle w:val="paragraph"/>
      </w:pPr>
      <w:r w:rsidRPr="005675B0">
        <w:tab/>
        <w:t>(p)</w:t>
      </w:r>
      <w:r w:rsidRPr="005675B0">
        <w:tab/>
        <w:t>the Law Society Northern Territory.</w:t>
      </w:r>
    </w:p>
    <w:p w:rsidR="00C502A0" w:rsidRPr="005675B0" w:rsidRDefault="00C502A0" w:rsidP="00C502A0">
      <w:pPr>
        <w:pStyle w:val="subsection"/>
      </w:pPr>
      <w:r w:rsidRPr="005675B0">
        <w:tab/>
        <w:t>(2)</w:t>
      </w:r>
      <w:r w:rsidRPr="005675B0">
        <w:tab/>
        <w:t>For the purposes of subparagraph</w:t>
      </w:r>
      <w:r w:rsidR="005675B0">
        <w:t> </w:t>
      </w:r>
      <w:r w:rsidRPr="005675B0">
        <w:t>127(4)(d)(ii) of the Act, the Australian Restructuring Insolvency and Turnaround Association is prescribed in relation to performing a disciplinary function in relation to a member of the Association.</w:t>
      </w:r>
    </w:p>
    <w:p w:rsidR="00F66E20" w:rsidRPr="005675B0" w:rsidRDefault="00F66E20" w:rsidP="00970EC1">
      <w:pPr>
        <w:pStyle w:val="ActHead5"/>
      </w:pPr>
      <w:bookmarkStart w:id="25" w:name="_Toc46238153"/>
      <w:r w:rsidRPr="005675B0">
        <w:rPr>
          <w:rStyle w:val="CharSectno"/>
        </w:rPr>
        <w:t>8A</w:t>
      </w:r>
      <w:r w:rsidR="00970EC1" w:rsidRPr="005675B0">
        <w:t xml:space="preserve">  </w:t>
      </w:r>
      <w:r w:rsidRPr="005675B0">
        <w:t>Commission may disclose confidential information to certain bodies corporate</w:t>
      </w:r>
      <w:bookmarkEnd w:id="25"/>
    </w:p>
    <w:p w:rsidR="00F66E20" w:rsidRPr="005675B0" w:rsidRDefault="00F66E20" w:rsidP="00970EC1">
      <w:pPr>
        <w:pStyle w:val="subsection"/>
      </w:pPr>
      <w:r w:rsidRPr="005675B0">
        <w:tab/>
      </w:r>
      <w:r w:rsidRPr="005675B0">
        <w:tab/>
        <w:t xml:space="preserve">The bodies corporate listed in </w:t>
      </w:r>
      <w:r w:rsidR="00970EC1" w:rsidRPr="005675B0">
        <w:t>Schedule</w:t>
      </w:r>
      <w:r w:rsidR="005675B0">
        <w:t> </w:t>
      </w:r>
      <w:r w:rsidRPr="005675B0">
        <w:t>3 are specified for subsection</w:t>
      </w:r>
      <w:r w:rsidR="005675B0">
        <w:t> </w:t>
      </w:r>
      <w:r w:rsidRPr="005675B0">
        <w:t>127(4C) of the Act.</w:t>
      </w:r>
    </w:p>
    <w:p w:rsidR="009A4D9E" w:rsidRPr="005675B0" w:rsidRDefault="009A4D9E" w:rsidP="009A4D9E">
      <w:pPr>
        <w:pStyle w:val="ActHead5"/>
      </w:pPr>
      <w:bookmarkStart w:id="26" w:name="_Toc46238154"/>
      <w:r w:rsidRPr="005675B0">
        <w:rPr>
          <w:rStyle w:val="CharSectno"/>
        </w:rPr>
        <w:t>8AAA</w:t>
      </w:r>
      <w:r w:rsidRPr="005675B0">
        <w:t xml:space="preserve">  Annual reports</w:t>
      </w:r>
      <w:bookmarkEnd w:id="26"/>
    </w:p>
    <w:p w:rsidR="009A4D9E" w:rsidRPr="005675B0" w:rsidRDefault="009A4D9E" w:rsidP="009A4D9E">
      <w:pPr>
        <w:pStyle w:val="subsection"/>
      </w:pPr>
      <w:r w:rsidRPr="005675B0">
        <w:tab/>
        <w:t>(1)</w:t>
      </w:r>
      <w:r w:rsidRPr="005675B0">
        <w:tab/>
        <w:t>For subsection</w:t>
      </w:r>
      <w:r w:rsidR="005675B0">
        <w:t> </w:t>
      </w:r>
      <w:r w:rsidRPr="005675B0">
        <w:t>136(2A) of the Act, a report under subsection</w:t>
      </w:r>
      <w:r w:rsidR="005675B0">
        <w:t> </w:t>
      </w:r>
      <w:r w:rsidRPr="005675B0">
        <w:t xml:space="preserve">136(1) of the Act for a financial year (the </w:t>
      </w:r>
      <w:r w:rsidRPr="005675B0">
        <w:rPr>
          <w:b/>
          <w:i/>
        </w:rPr>
        <w:t>report year</w:t>
      </w:r>
      <w:r w:rsidRPr="005675B0">
        <w:t>) must include the following information:</w:t>
      </w:r>
    </w:p>
    <w:p w:rsidR="009A4D9E" w:rsidRPr="005675B0" w:rsidRDefault="009A4D9E" w:rsidP="009A4D9E">
      <w:pPr>
        <w:pStyle w:val="paragraph"/>
      </w:pPr>
      <w:r w:rsidRPr="005675B0">
        <w:tab/>
        <w:t>(a)</w:t>
      </w:r>
      <w:r w:rsidRPr="005675B0">
        <w:tab/>
        <w:t>the number of times in the report year that ASIC used an information gathering power prescribed in subregulation</w:t>
      </w:r>
      <w:r w:rsidR="00091A5B" w:rsidRPr="005675B0">
        <w:t> </w:t>
      </w:r>
      <w:r w:rsidRPr="005675B0">
        <w:t xml:space="preserve">(2) (a </w:t>
      </w:r>
      <w:r w:rsidRPr="005675B0">
        <w:rPr>
          <w:b/>
          <w:i/>
        </w:rPr>
        <w:t>prescribed power</w:t>
      </w:r>
      <w:r w:rsidRPr="005675B0">
        <w:t>);</w:t>
      </w:r>
    </w:p>
    <w:p w:rsidR="009A4D9E" w:rsidRPr="005675B0" w:rsidRDefault="009A4D9E" w:rsidP="009A4D9E">
      <w:pPr>
        <w:pStyle w:val="paragraph"/>
      </w:pPr>
      <w:r w:rsidRPr="005675B0">
        <w:tab/>
        <w:t>(b)</w:t>
      </w:r>
      <w:r w:rsidRPr="005675B0">
        <w:tab/>
        <w:t>for a particular use of a prescribed power in the report year—the provision of the Act, or another law, which conferred the prescribed power;</w:t>
      </w:r>
    </w:p>
    <w:p w:rsidR="009A4D9E" w:rsidRPr="005675B0" w:rsidRDefault="009A4D9E" w:rsidP="009A4D9E">
      <w:pPr>
        <w:pStyle w:val="paragraph"/>
      </w:pPr>
      <w:r w:rsidRPr="005675B0">
        <w:tab/>
        <w:t>(c)</w:t>
      </w:r>
      <w:r w:rsidRPr="005675B0">
        <w:tab/>
        <w:t>the number of times in the financial year before the report year that ASIC used an information gathering power that was a prescribed power for this regulation at the time the power was used.</w:t>
      </w:r>
    </w:p>
    <w:p w:rsidR="009A4D9E" w:rsidRPr="005675B0" w:rsidRDefault="009A4D9E" w:rsidP="009A4D9E">
      <w:pPr>
        <w:pStyle w:val="subsection"/>
      </w:pPr>
      <w:r w:rsidRPr="005675B0">
        <w:tab/>
        <w:t>(2)</w:t>
      </w:r>
      <w:r w:rsidRPr="005675B0">
        <w:tab/>
        <w:t>For subsection</w:t>
      </w:r>
      <w:r w:rsidR="005675B0">
        <w:t> </w:t>
      </w:r>
      <w:r w:rsidRPr="005675B0">
        <w:t>136(2A) of the Act, each information gathering power set out in a provision of an Act mentioned in the following table is prescribed.</w:t>
      </w:r>
    </w:p>
    <w:p w:rsidR="009A4D9E" w:rsidRPr="005675B0" w:rsidRDefault="009A4D9E" w:rsidP="00DE27A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3743"/>
        <w:gridCol w:w="3927"/>
      </w:tblGrid>
      <w:tr w:rsidR="009A4D9E" w:rsidRPr="005675B0" w:rsidTr="00FE1311">
        <w:trPr>
          <w:tblHeader/>
        </w:trPr>
        <w:tc>
          <w:tcPr>
            <w:tcW w:w="5000" w:type="pct"/>
            <w:gridSpan w:val="3"/>
            <w:tcBorders>
              <w:top w:val="single" w:sz="12" w:space="0" w:color="auto"/>
              <w:bottom w:val="single" w:sz="6" w:space="0" w:color="auto"/>
            </w:tcBorders>
            <w:shd w:val="clear" w:color="auto" w:fill="auto"/>
          </w:tcPr>
          <w:p w:rsidR="009A4D9E" w:rsidRPr="005675B0" w:rsidRDefault="009A4D9E" w:rsidP="009A4D9E">
            <w:pPr>
              <w:pStyle w:val="TableHeading"/>
            </w:pPr>
            <w:r w:rsidRPr="005675B0">
              <w:t>Information gathering powers</w:t>
            </w:r>
          </w:p>
        </w:tc>
      </w:tr>
      <w:tr w:rsidR="009A4D9E" w:rsidRPr="005675B0" w:rsidTr="00FE1311">
        <w:trPr>
          <w:tblHeader/>
        </w:trPr>
        <w:tc>
          <w:tcPr>
            <w:tcW w:w="504" w:type="pct"/>
            <w:tcBorders>
              <w:top w:val="single" w:sz="6" w:space="0" w:color="auto"/>
              <w:bottom w:val="single" w:sz="12" w:space="0" w:color="auto"/>
            </w:tcBorders>
            <w:shd w:val="clear" w:color="auto" w:fill="auto"/>
          </w:tcPr>
          <w:p w:rsidR="009A4D9E" w:rsidRPr="005675B0" w:rsidRDefault="009A4D9E" w:rsidP="009A4D9E">
            <w:pPr>
              <w:pStyle w:val="TableHeading"/>
            </w:pPr>
            <w:r w:rsidRPr="005675B0">
              <w:t>Item</w:t>
            </w:r>
          </w:p>
        </w:tc>
        <w:tc>
          <w:tcPr>
            <w:tcW w:w="2194" w:type="pct"/>
            <w:tcBorders>
              <w:top w:val="single" w:sz="6" w:space="0" w:color="auto"/>
              <w:bottom w:val="single" w:sz="12" w:space="0" w:color="auto"/>
            </w:tcBorders>
            <w:shd w:val="clear" w:color="auto" w:fill="auto"/>
          </w:tcPr>
          <w:p w:rsidR="009A4D9E" w:rsidRPr="005675B0" w:rsidRDefault="009A4D9E" w:rsidP="009A4D9E">
            <w:pPr>
              <w:pStyle w:val="TableHeading"/>
            </w:pPr>
            <w:r w:rsidRPr="005675B0">
              <w:t>Provisions in which powers appear</w:t>
            </w:r>
          </w:p>
        </w:tc>
        <w:tc>
          <w:tcPr>
            <w:tcW w:w="2302" w:type="pct"/>
            <w:tcBorders>
              <w:top w:val="single" w:sz="6" w:space="0" w:color="auto"/>
              <w:bottom w:val="single" w:sz="12" w:space="0" w:color="auto"/>
            </w:tcBorders>
            <w:shd w:val="clear" w:color="auto" w:fill="auto"/>
          </w:tcPr>
          <w:p w:rsidR="009A4D9E" w:rsidRPr="005675B0" w:rsidRDefault="009A4D9E" w:rsidP="009A4D9E">
            <w:pPr>
              <w:pStyle w:val="TableHeading"/>
            </w:pPr>
            <w:r w:rsidRPr="005675B0">
              <w:t>General description of provision (for information only)</w:t>
            </w:r>
          </w:p>
        </w:tc>
      </w:tr>
      <w:tr w:rsidR="009A4D9E" w:rsidRPr="005675B0" w:rsidTr="00FE1311">
        <w:tc>
          <w:tcPr>
            <w:tcW w:w="504" w:type="pct"/>
            <w:tcBorders>
              <w:top w:val="single" w:sz="12" w:space="0" w:color="auto"/>
            </w:tcBorders>
            <w:shd w:val="clear" w:color="auto" w:fill="auto"/>
          </w:tcPr>
          <w:p w:rsidR="009A4D9E" w:rsidRPr="005675B0" w:rsidRDefault="009A4D9E" w:rsidP="009A4D9E">
            <w:pPr>
              <w:pStyle w:val="Tabletext"/>
            </w:pPr>
            <w:r w:rsidRPr="005675B0">
              <w:t>1</w:t>
            </w:r>
          </w:p>
        </w:tc>
        <w:tc>
          <w:tcPr>
            <w:tcW w:w="2194" w:type="pct"/>
            <w:tcBorders>
              <w:top w:val="single" w:sz="12" w:space="0" w:color="auto"/>
            </w:tcBorders>
            <w:shd w:val="clear" w:color="auto" w:fill="auto"/>
          </w:tcPr>
          <w:p w:rsidR="009A4D9E" w:rsidRPr="005675B0" w:rsidRDefault="009A4D9E" w:rsidP="009A4D9E">
            <w:pPr>
              <w:pStyle w:val="Tabletext"/>
            </w:pPr>
            <w:r w:rsidRPr="005675B0">
              <w:t>Subsection</w:t>
            </w:r>
            <w:r w:rsidR="005675B0">
              <w:t> </w:t>
            </w:r>
            <w:r w:rsidRPr="005675B0">
              <w:t>12GY(2) of the Act</w:t>
            </w:r>
          </w:p>
        </w:tc>
        <w:tc>
          <w:tcPr>
            <w:tcW w:w="2302" w:type="pct"/>
            <w:tcBorders>
              <w:top w:val="single" w:sz="12" w:space="0" w:color="auto"/>
            </w:tcBorders>
            <w:shd w:val="clear" w:color="auto" w:fill="auto"/>
          </w:tcPr>
          <w:p w:rsidR="009A4D9E" w:rsidRPr="005675B0" w:rsidRDefault="009A4D9E" w:rsidP="009A4D9E">
            <w:pPr>
              <w:pStyle w:val="Tabletext"/>
            </w:pPr>
            <w:r w:rsidRPr="005675B0">
              <w:t>Powers relating to substantiation of a claim</w:t>
            </w:r>
          </w:p>
        </w:tc>
      </w:tr>
      <w:tr w:rsidR="009A4D9E" w:rsidRPr="005675B0" w:rsidTr="00FE1311">
        <w:tc>
          <w:tcPr>
            <w:tcW w:w="504" w:type="pct"/>
            <w:shd w:val="clear" w:color="auto" w:fill="auto"/>
          </w:tcPr>
          <w:p w:rsidR="009A4D9E" w:rsidRPr="005675B0" w:rsidRDefault="009A4D9E" w:rsidP="009A4D9E">
            <w:pPr>
              <w:pStyle w:val="Tabletext"/>
            </w:pPr>
            <w:r w:rsidRPr="005675B0">
              <w:t>2</w:t>
            </w:r>
          </w:p>
        </w:tc>
        <w:tc>
          <w:tcPr>
            <w:tcW w:w="2194" w:type="pct"/>
            <w:shd w:val="clear" w:color="auto" w:fill="auto"/>
          </w:tcPr>
          <w:p w:rsidR="009A4D9E" w:rsidRPr="005675B0" w:rsidRDefault="009A4D9E" w:rsidP="009A4D9E">
            <w:pPr>
              <w:pStyle w:val="Tabletext"/>
            </w:pPr>
            <w:r w:rsidRPr="005675B0">
              <w:t>Section</w:t>
            </w:r>
            <w:r w:rsidR="005675B0">
              <w:t> </w:t>
            </w:r>
            <w:r w:rsidRPr="005675B0">
              <w:t>19 of the Act</w:t>
            </w:r>
          </w:p>
        </w:tc>
        <w:tc>
          <w:tcPr>
            <w:tcW w:w="2302" w:type="pct"/>
            <w:shd w:val="clear" w:color="auto" w:fill="auto"/>
          </w:tcPr>
          <w:p w:rsidR="009A4D9E" w:rsidRPr="005675B0" w:rsidRDefault="009A4D9E" w:rsidP="009A4D9E">
            <w:pPr>
              <w:pStyle w:val="Tabletext"/>
            </w:pPr>
            <w:r w:rsidRPr="005675B0">
              <w:t>Powers relating to requiring a person to attend for examination</w:t>
            </w:r>
          </w:p>
        </w:tc>
      </w:tr>
      <w:tr w:rsidR="009A4D9E" w:rsidRPr="005675B0" w:rsidTr="00FE1311">
        <w:tc>
          <w:tcPr>
            <w:tcW w:w="504" w:type="pct"/>
            <w:shd w:val="clear" w:color="auto" w:fill="auto"/>
          </w:tcPr>
          <w:p w:rsidR="009A4D9E" w:rsidRPr="005675B0" w:rsidRDefault="009A4D9E" w:rsidP="009A4D9E">
            <w:pPr>
              <w:pStyle w:val="Tabletext"/>
            </w:pPr>
            <w:r w:rsidRPr="005675B0">
              <w:t>3</w:t>
            </w:r>
          </w:p>
        </w:tc>
        <w:tc>
          <w:tcPr>
            <w:tcW w:w="2194" w:type="pct"/>
            <w:shd w:val="clear" w:color="auto" w:fill="auto"/>
          </w:tcPr>
          <w:p w:rsidR="009A4D9E" w:rsidRPr="005675B0" w:rsidRDefault="009A4D9E" w:rsidP="009A4D9E">
            <w:pPr>
              <w:pStyle w:val="Tabletext"/>
            </w:pPr>
            <w:r w:rsidRPr="005675B0">
              <w:t>Section</w:t>
            </w:r>
            <w:r w:rsidR="005675B0">
              <w:t> </w:t>
            </w:r>
            <w:r w:rsidRPr="005675B0">
              <w:t>30 of the Act</w:t>
            </w:r>
          </w:p>
        </w:tc>
        <w:tc>
          <w:tcPr>
            <w:tcW w:w="2302" w:type="pct"/>
            <w:shd w:val="clear" w:color="auto" w:fill="auto"/>
          </w:tcPr>
          <w:p w:rsidR="009A4D9E" w:rsidRPr="005675B0" w:rsidRDefault="009A4D9E" w:rsidP="009A4D9E">
            <w:pPr>
              <w:pStyle w:val="Tabletext"/>
            </w:pPr>
            <w:r w:rsidRPr="005675B0">
              <w:t>Powers relating to the production of books</w:t>
            </w:r>
          </w:p>
        </w:tc>
      </w:tr>
      <w:tr w:rsidR="009A4D9E" w:rsidRPr="005675B0" w:rsidTr="00FE1311">
        <w:tc>
          <w:tcPr>
            <w:tcW w:w="504" w:type="pct"/>
            <w:shd w:val="clear" w:color="auto" w:fill="auto"/>
          </w:tcPr>
          <w:p w:rsidR="009A4D9E" w:rsidRPr="005675B0" w:rsidRDefault="009A4D9E" w:rsidP="009A4D9E">
            <w:pPr>
              <w:pStyle w:val="Tabletext"/>
            </w:pPr>
            <w:r w:rsidRPr="005675B0">
              <w:lastRenderedPageBreak/>
              <w:t>4</w:t>
            </w:r>
          </w:p>
        </w:tc>
        <w:tc>
          <w:tcPr>
            <w:tcW w:w="2194" w:type="pct"/>
            <w:shd w:val="clear" w:color="auto" w:fill="auto"/>
          </w:tcPr>
          <w:p w:rsidR="009A4D9E" w:rsidRPr="005675B0" w:rsidRDefault="009A4D9E" w:rsidP="009A4D9E">
            <w:pPr>
              <w:pStyle w:val="Tabletext"/>
            </w:pPr>
            <w:r w:rsidRPr="005675B0">
              <w:t>Section</w:t>
            </w:r>
            <w:r w:rsidR="005675B0">
              <w:t> </w:t>
            </w:r>
            <w:r w:rsidRPr="005675B0">
              <w:t>30A of the Act</w:t>
            </w:r>
          </w:p>
        </w:tc>
        <w:tc>
          <w:tcPr>
            <w:tcW w:w="2302" w:type="pct"/>
            <w:shd w:val="clear" w:color="auto" w:fill="auto"/>
          </w:tcPr>
          <w:p w:rsidR="009A4D9E" w:rsidRPr="005675B0" w:rsidRDefault="009A4D9E" w:rsidP="009A4D9E">
            <w:pPr>
              <w:pStyle w:val="Tabletext"/>
            </w:pPr>
            <w:r w:rsidRPr="005675B0">
              <w:t>Powers relating to requesting information</w:t>
            </w:r>
          </w:p>
        </w:tc>
      </w:tr>
      <w:tr w:rsidR="003C3D36" w:rsidRPr="005675B0" w:rsidTr="00FE1311">
        <w:tc>
          <w:tcPr>
            <w:tcW w:w="504" w:type="pct"/>
            <w:shd w:val="clear" w:color="auto" w:fill="auto"/>
          </w:tcPr>
          <w:p w:rsidR="003C3D36" w:rsidRPr="005675B0" w:rsidRDefault="003C3D36" w:rsidP="009A4D9E">
            <w:pPr>
              <w:pStyle w:val="Tabletext"/>
            </w:pPr>
            <w:r w:rsidRPr="005675B0">
              <w:t>4A</w:t>
            </w:r>
          </w:p>
        </w:tc>
        <w:tc>
          <w:tcPr>
            <w:tcW w:w="2194" w:type="pct"/>
            <w:shd w:val="clear" w:color="auto" w:fill="auto"/>
          </w:tcPr>
          <w:p w:rsidR="003C3D36" w:rsidRPr="005675B0" w:rsidRDefault="003C3D36" w:rsidP="009A4D9E">
            <w:pPr>
              <w:pStyle w:val="Tabletext"/>
            </w:pPr>
            <w:r w:rsidRPr="005675B0">
              <w:t>Section</w:t>
            </w:r>
            <w:r w:rsidR="005675B0">
              <w:t> </w:t>
            </w:r>
            <w:r w:rsidRPr="005675B0">
              <w:t>30B of the Act</w:t>
            </w:r>
          </w:p>
        </w:tc>
        <w:tc>
          <w:tcPr>
            <w:tcW w:w="2302" w:type="pct"/>
            <w:shd w:val="clear" w:color="auto" w:fill="auto"/>
          </w:tcPr>
          <w:p w:rsidR="003C3D36" w:rsidRPr="005675B0" w:rsidRDefault="003C3D36" w:rsidP="009A4D9E">
            <w:pPr>
              <w:pStyle w:val="Tabletext"/>
            </w:pPr>
            <w:r w:rsidRPr="005675B0">
              <w:t>Powers relating to requesting information and books</w:t>
            </w:r>
          </w:p>
        </w:tc>
      </w:tr>
      <w:tr w:rsidR="003C3D36" w:rsidRPr="005675B0" w:rsidTr="00FE1311">
        <w:tc>
          <w:tcPr>
            <w:tcW w:w="504" w:type="pct"/>
            <w:shd w:val="clear" w:color="auto" w:fill="auto"/>
          </w:tcPr>
          <w:p w:rsidR="003C3D36" w:rsidRPr="005675B0" w:rsidRDefault="003C3D36" w:rsidP="009A4D9E">
            <w:pPr>
              <w:pStyle w:val="Tabletext"/>
            </w:pPr>
            <w:r w:rsidRPr="005675B0">
              <w:t>5</w:t>
            </w:r>
          </w:p>
        </w:tc>
        <w:tc>
          <w:tcPr>
            <w:tcW w:w="2194" w:type="pct"/>
            <w:shd w:val="clear" w:color="auto" w:fill="auto"/>
          </w:tcPr>
          <w:p w:rsidR="003C3D36" w:rsidRPr="005675B0" w:rsidRDefault="003C3D36" w:rsidP="009A4D9E">
            <w:pPr>
              <w:pStyle w:val="Tabletext"/>
            </w:pPr>
            <w:r w:rsidRPr="005675B0">
              <w:t>Section</w:t>
            </w:r>
            <w:r w:rsidR="005675B0">
              <w:t> </w:t>
            </w:r>
            <w:r w:rsidRPr="005675B0">
              <w:t>31 of the Act</w:t>
            </w:r>
          </w:p>
        </w:tc>
        <w:tc>
          <w:tcPr>
            <w:tcW w:w="2302" w:type="pct"/>
            <w:shd w:val="clear" w:color="auto" w:fill="auto"/>
          </w:tcPr>
          <w:p w:rsidR="003C3D36" w:rsidRPr="005675B0" w:rsidRDefault="003C3D36" w:rsidP="009A4D9E">
            <w:pPr>
              <w:pStyle w:val="Tabletext"/>
            </w:pPr>
            <w:r w:rsidRPr="005675B0">
              <w:t>Powers relating to the production of books</w:t>
            </w:r>
          </w:p>
        </w:tc>
      </w:tr>
      <w:tr w:rsidR="003C3D36" w:rsidRPr="005675B0" w:rsidTr="00FE1311">
        <w:tc>
          <w:tcPr>
            <w:tcW w:w="504" w:type="pct"/>
            <w:shd w:val="clear" w:color="auto" w:fill="auto"/>
          </w:tcPr>
          <w:p w:rsidR="003C3D36" w:rsidRPr="005675B0" w:rsidRDefault="003C3D36" w:rsidP="009A4D9E">
            <w:pPr>
              <w:pStyle w:val="Tabletext"/>
            </w:pPr>
            <w:r w:rsidRPr="005675B0">
              <w:t>6</w:t>
            </w:r>
          </w:p>
        </w:tc>
        <w:tc>
          <w:tcPr>
            <w:tcW w:w="2194" w:type="pct"/>
            <w:shd w:val="clear" w:color="auto" w:fill="auto"/>
          </w:tcPr>
          <w:p w:rsidR="003C3D36" w:rsidRPr="005675B0" w:rsidRDefault="003C3D36" w:rsidP="009A4D9E">
            <w:pPr>
              <w:pStyle w:val="Tabletext"/>
            </w:pPr>
            <w:r w:rsidRPr="005675B0">
              <w:t>Section</w:t>
            </w:r>
            <w:r w:rsidR="005675B0">
              <w:t> </w:t>
            </w:r>
            <w:r w:rsidRPr="005675B0">
              <w:t>32A of the Act</w:t>
            </w:r>
          </w:p>
        </w:tc>
        <w:tc>
          <w:tcPr>
            <w:tcW w:w="2302" w:type="pct"/>
            <w:shd w:val="clear" w:color="auto" w:fill="auto"/>
          </w:tcPr>
          <w:p w:rsidR="003C3D36" w:rsidRPr="005675B0" w:rsidRDefault="003C3D36" w:rsidP="009A4D9E">
            <w:pPr>
              <w:pStyle w:val="Tabletext"/>
            </w:pPr>
            <w:r w:rsidRPr="005675B0">
              <w:t>Powers relating to the production of books</w:t>
            </w:r>
          </w:p>
        </w:tc>
      </w:tr>
      <w:tr w:rsidR="003C3D36" w:rsidRPr="005675B0" w:rsidTr="00FE1311">
        <w:tc>
          <w:tcPr>
            <w:tcW w:w="504" w:type="pct"/>
            <w:shd w:val="clear" w:color="auto" w:fill="auto"/>
          </w:tcPr>
          <w:p w:rsidR="003C3D36" w:rsidRPr="005675B0" w:rsidRDefault="003C3D36" w:rsidP="009A4D9E">
            <w:pPr>
              <w:pStyle w:val="Tabletext"/>
            </w:pPr>
            <w:r w:rsidRPr="005675B0">
              <w:t>7</w:t>
            </w:r>
          </w:p>
        </w:tc>
        <w:tc>
          <w:tcPr>
            <w:tcW w:w="2194" w:type="pct"/>
            <w:shd w:val="clear" w:color="auto" w:fill="auto"/>
          </w:tcPr>
          <w:p w:rsidR="003C3D36" w:rsidRPr="005675B0" w:rsidRDefault="003C3D36" w:rsidP="009A4D9E">
            <w:pPr>
              <w:pStyle w:val="Tabletext"/>
            </w:pPr>
            <w:r w:rsidRPr="005675B0">
              <w:t>Section</w:t>
            </w:r>
            <w:r w:rsidR="005675B0">
              <w:t> </w:t>
            </w:r>
            <w:r w:rsidRPr="005675B0">
              <w:t>33 of the Act</w:t>
            </w:r>
          </w:p>
        </w:tc>
        <w:tc>
          <w:tcPr>
            <w:tcW w:w="2302" w:type="pct"/>
            <w:shd w:val="clear" w:color="auto" w:fill="auto"/>
          </w:tcPr>
          <w:p w:rsidR="003C3D36" w:rsidRPr="005675B0" w:rsidRDefault="003C3D36" w:rsidP="009A4D9E">
            <w:pPr>
              <w:pStyle w:val="Tabletext"/>
            </w:pPr>
            <w:r w:rsidRPr="005675B0">
              <w:t>Powers relating to the production of books</w:t>
            </w:r>
          </w:p>
        </w:tc>
      </w:tr>
      <w:tr w:rsidR="003C3D36" w:rsidRPr="005675B0" w:rsidTr="00FE1311">
        <w:tc>
          <w:tcPr>
            <w:tcW w:w="504" w:type="pct"/>
            <w:shd w:val="clear" w:color="auto" w:fill="auto"/>
          </w:tcPr>
          <w:p w:rsidR="003C3D36" w:rsidRPr="005675B0" w:rsidRDefault="003C3D36" w:rsidP="009A4D9E">
            <w:pPr>
              <w:pStyle w:val="Tabletext"/>
            </w:pPr>
            <w:r w:rsidRPr="005675B0">
              <w:t>8</w:t>
            </w:r>
          </w:p>
        </w:tc>
        <w:tc>
          <w:tcPr>
            <w:tcW w:w="2194" w:type="pct"/>
            <w:shd w:val="clear" w:color="auto" w:fill="auto"/>
          </w:tcPr>
          <w:p w:rsidR="003C3D36" w:rsidRPr="005675B0" w:rsidRDefault="003C3D36" w:rsidP="009A4D9E">
            <w:pPr>
              <w:pStyle w:val="Tabletext"/>
              <w:rPr>
                <w:i/>
              </w:rPr>
            </w:pPr>
            <w:r w:rsidRPr="005675B0">
              <w:t>Subsection</w:t>
            </w:r>
            <w:r w:rsidR="005675B0">
              <w:t> </w:t>
            </w:r>
            <w:r w:rsidRPr="005675B0">
              <w:t>49(3) of the Act</w:t>
            </w:r>
          </w:p>
        </w:tc>
        <w:tc>
          <w:tcPr>
            <w:tcW w:w="2302" w:type="pct"/>
            <w:shd w:val="clear" w:color="auto" w:fill="auto"/>
          </w:tcPr>
          <w:p w:rsidR="003C3D36" w:rsidRPr="005675B0" w:rsidRDefault="003C3D36" w:rsidP="009A4D9E">
            <w:pPr>
              <w:pStyle w:val="Tabletext"/>
            </w:pPr>
            <w:r w:rsidRPr="005675B0">
              <w:t>Powers relating to requiring a person to give assistance</w:t>
            </w:r>
          </w:p>
        </w:tc>
      </w:tr>
      <w:tr w:rsidR="003C3D36" w:rsidRPr="005675B0" w:rsidTr="00FE1311">
        <w:tc>
          <w:tcPr>
            <w:tcW w:w="504" w:type="pct"/>
            <w:shd w:val="clear" w:color="auto" w:fill="auto"/>
          </w:tcPr>
          <w:p w:rsidR="003C3D36" w:rsidRPr="005675B0" w:rsidRDefault="003C3D36" w:rsidP="009A4D9E">
            <w:pPr>
              <w:pStyle w:val="Tabletext"/>
            </w:pPr>
            <w:r w:rsidRPr="005675B0">
              <w:t>9</w:t>
            </w:r>
          </w:p>
        </w:tc>
        <w:tc>
          <w:tcPr>
            <w:tcW w:w="2194" w:type="pct"/>
            <w:shd w:val="clear" w:color="auto" w:fill="auto"/>
          </w:tcPr>
          <w:p w:rsidR="003C3D36" w:rsidRPr="005675B0" w:rsidRDefault="003C3D36" w:rsidP="009A4D9E">
            <w:pPr>
              <w:pStyle w:val="Tabletext"/>
            </w:pPr>
            <w:r w:rsidRPr="005675B0">
              <w:t>Section</w:t>
            </w:r>
            <w:r w:rsidR="005675B0">
              <w:t> </w:t>
            </w:r>
            <w:r w:rsidRPr="005675B0">
              <w:t>58 of the Act</w:t>
            </w:r>
          </w:p>
        </w:tc>
        <w:tc>
          <w:tcPr>
            <w:tcW w:w="2302" w:type="pct"/>
            <w:shd w:val="clear" w:color="auto" w:fill="auto"/>
          </w:tcPr>
          <w:p w:rsidR="003C3D36" w:rsidRPr="005675B0" w:rsidRDefault="003C3D36" w:rsidP="009A4D9E">
            <w:pPr>
              <w:pStyle w:val="Tabletext"/>
            </w:pPr>
            <w:r w:rsidRPr="005675B0">
              <w:t>Powers relating to:</w:t>
            </w:r>
          </w:p>
          <w:p w:rsidR="003C3D36" w:rsidRPr="005675B0" w:rsidRDefault="003C3D36" w:rsidP="009A4D9E">
            <w:pPr>
              <w:pStyle w:val="Tablea"/>
            </w:pPr>
            <w:r w:rsidRPr="005675B0">
              <w:t>(a) summonsing a witness; and</w:t>
            </w:r>
          </w:p>
          <w:p w:rsidR="003C3D36" w:rsidRPr="005675B0" w:rsidRDefault="003C3D36" w:rsidP="009A4D9E">
            <w:pPr>
              <w:pStyle w:val="Tablea"/>
            </w:pPr>
            <w:r w:rsidRPr="005675B0">
              <w:t>(b) taking evidence</w:t>
            </w:r>
          </w:p>
        </w:tc>
      </w:tr>
      <w:tr w:rsidR="003C3D36" w:rsidRPr="005675B0" w:rsidTr="00FE1311">
        <w:tc>
          <w:tcPr>
            <w:tcW w:w="504" w:type="pct"/>
            <w:shd w:val="clear" w:color="auto" w:fill="auto"/>
          </w:tcPr>
          <w:p w:rsidR="003C3D36" w:rsidRPr="005675B0" w:rsidRDefault="003C3D36" w:rsidP="009A4D9E">
            <w:pPr>
              <w:pStyle w:val="Tabletext"/>
            </w:pPr>
            <w:r w:rsidRPr="005675B0">
              <w:t>10</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601FF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 conducting surveillance on, or monitoring, a managed investment scheme</w:t>
            </w:r>
          </w:p>
        </w:tc>
      </w:tr>
      <w:tr w:rsidR="003C3D36" w:rsidRPr="005675B0" w:rsidTr="00FE1311">
        <w:tc>
          <w:tcPr>
            <w:tcW w:w="504" w:type="pct"/>
            <w:shd w:val="clear" w:color="auto" w:fill="auto"/>
          </w:tcPr>
          <w:p w:rsidR="003C3D36" w:rsidRPr="005675B0" w:rsidRDefault="003C3D36" w:rsidP="009A4D9E">
            <w:pPr>
              <w:pStyle w:val="Tabletext"/>
            </w:pPr>
            <w:r w:rsidRPr="005675B0">
              <w:t>11</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601HD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 a request for information</w:t>
            </w:r>
          </w:p>
        </w:tc>
      </w:tr>
      <w:tr w:rsidR="003C3D36" w:rsidRPr="005675B0" w:rsidTr="00FE1311">
        <w:tc>
          <w:tcPr>
            <w:tcW w:w="504" w:type="pct"/>
            <w:shd w:val="clear" w:color="auto" w:fill="auto"/>
          </w:tcPr>
          <w:p w:rsidR="003C3D36" w:rsidRPr="005675B0" w:rsidRDefault="003C3D36" w:rsidP="009A4D9E">
            <w:pPr>
              <w:pStyle w:val="Tabletext"/>
            </w:pPr>
            <w:r w:rsidRPr="005675B0">
              <w:t>12</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672A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 requiring the disclosure of interests</w:t>
            </w:r>
          </w:p>
        </w:tc>
      </w:tr>
      <w:tr w:rsidR="003C3D36" w:rsidRPr="005675B0" w:rsidTr="00FE1311">
        <w:tc>
          <w:tcPr>
            <w:tcW w:w="504" w:type="pct"/>
            <w:shd w:val="clear" w:color="auto" w:fill="auto"/>
          </w:tcPr>
          <w:p w:rsidR="003C3D36" w:rsidRPr="005675B0" w:rsidRDefault="003C3D36" w:rsidP="009A4D9E">
            <w:pPr>
              <w:pStyle w:val="Tabletext"/>
            </w:pPr>
            <w:r w:rsidRPr="005675B0">
              <w:t>13</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672B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 requiring the disclosure of interests</w:t>
            </w:r>
          </w:p>
        </w:tc>
      </w:tr>
      <w:tr w:rsidR="003C3D36" w:rsidRPr="005675B0" w:rsidTr="00FE1311">
        <w:tc>
          <w:tcPr>
            <w:tcW w:w="504" w:type="pct"/>
            <w:shd w:val="clear" w:color="auto" w:fill="auto"/>
          </w:tcPr>
          <w:p w:rsidR="003C3D36" w:rsidRPr="005675B0" w:rsidRDefault="003C3D36" w:rsidP="009A4D9E">
            <w:pPr>
              <w:pStyle w:val="Tabletext"/>
            </w:pPr>
            <w:r w:rsidRPr="005675B0">
              <w:t>14</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792D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 requiring a person to give assistance</w:t>
            </w:r>
          </w:p>
        </w:tc>
      </w:tr>
      <w:tr w:rsidR="003C3D36" w:rsidRPr="005675B0" w:rsidTr="00FE1311">
        <w:tc>
          <w:tcPr>
            <w:tcW w:w="504" w:type="pct"/>
            <w:shd w:val="clear" w:color="auto" w:fill="auto"/>
          </w:tcPr>
          <w:p w:rsidR="003C3D36" w:rsidRPr="005675B0" w:rsidRDefault="003C3D36" w:rsidP="009A4D9E">
            <w:pPr>
              <w:pStyle w:val="Tabletext"/>
            </w:pPr>
            <w:r w:rsidRPr="005675B0">
              <w:t>15</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912C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 requiring a person to give assistance</w:t>
            </w:r>
          </w:p>
        </w:tc>
      </w:tr>
      <w:tr w:rsidR="003C3D36" w:rsidRPr="005675B0" w:rsidTr="00FE1311">
        <w:tc>
          <w:tcPr>
            <w:tcW w:w="504" w:type="pct"/>
            <w:shd w:val="clear" w:color="auto" w:fill="auto"/>
          </w:tcPr>
          <w:p w:rsidR="003C3D36" w:rsidRPr="005675B0" w:rsidRDefault="003C3D36" w:rsidP="009A4D9E">
            <w:pPr>
              <w:pStyle w:val="Tabletext"/>
            </w:pPr>
            <w:r w:rsidRPr="005675B0">
              <w:t>16</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912E of the </w:t>
            </w:r>
            <w:r w:rsidRPr="005675B0">
              <w:rPr>
                <w:i/>
              </w:rPr>
              <w:t>Corporations Act 2001</w:t>
            </w:r>
          </w:p>
        </w:tc>
        <w:tc>
          <w:tcPr>
            <w:tcW w:w="2302" w:type="pct"/>
            <w:shd w:val="clear" w:color="auto" w:fill="auto"/>
          </w:tcPr>
          <w:p w:rsidR="003C3D36" w:rsidRPr="005675B0" w:rsidRDefault="003C3D36" w:rsidP="009A4D9E">
            <w:pPr>
              <w:pStyle w:val="Tabletext"/>
            </w:pPr>
            <w:r w:rsidRPr="005675B0">
              <w:t>Powers relating to:</w:t>
            </w:r>
          </w:p>
          <w:p w:rsidR="003C3D36" w:rsidRPr="005675B0" w:rsidRDefault="003C3D36" w:rsidP="009A4D9E">
            <w:pPr>
              <w:pStyle w:val="Tablea"/>
            </w:pPr>
            <w:r w:rsidRPr="005675B0">
              <w:t>(a) requiring a person to give assistance; and</w:t>
            </w:r>
          </w:p>
          <w:p w:rsidR="003C3D36" w:rsidRPr="005675B0" w:rsidRDefault="003C3D36" w:rsidP="009A4D9E">
            <w:pPr>
              <w:pStyle w:val="Tablea"/>
            </w:pPr>
            <w:r w:rsidRPr="005675B0">
              <w:t>(b) requiring the disclosure of documents and information</w:t>
            </w:r>
          </w:p>
        </w:tc>
      </w:tr>
      <w:tr w:rsidR="009E27BC" w:rsidRPr="005675B0" w:rsidTr="00FE1311">
        <w:tc>
          <w:tcPr>
            <w:tcW w:w="504" w:type="pct"/>
            <w:shd w:val="clear" w:color="auto" w:fill="auto"/>
          </w:tcPr>
          <w:p w:rsidR="009E27BC" w:rsidRPr="005675B0" w:rsidRDefault="009E27BC" w:rsidP="009A4D9E">
            <w:pPr>
              <w:pStyle w:val="Tabletext"/>
            </w:pPr>
            <w:r w:rsidRPr="005675B0">
              <w:t>16A</w:t>
            </w:r>
          </w:p>
        </w:tc>
        <w:tc>
          <w:tcPr>
            <w:tcW w:w="2194" w:type="pct"/>
            <w:shd w:val="clear" w:color="auto" w:fill="auto"/>
          </w:tcPr>
          <w:p w:rsidR="009E27BC" w:rsidRPr="005675B0" w:rsidRDefault="009E27BC" w:rsidP="009A4D9E">
            <w:pPr>
              <w:pStyle w:val="Tabletext"/>
            </w:pPr>
            <w:r w:rsidRPr="005675B0">
              <w:t>Section</w:t>
            </w:r>
            <w:r w:rsidR="005675B0">
              <w:t> </w:t>
            </w:r>
            <w:r w:rsidRPr="005675B0">
              <w:t xml:space="preserve">1213P of the </w:t>
            </w:r>
            <w:r w:rsidRPr="005675B0">
              <w:rPr>
                <w:i/>
              </w:rPr>
              <w:t>Corporations Act 2001</w:t>
            </w:r>
          </w:p>
        </w:tc>
        <w:tc>
          <w:tcPr>
            <w:tcW w:w="2302" w:type="pct"/>
            <w:shd w:val="clear" w:color="auto" w:fill="auto"/>
          </w:tcPr>
          <w:p w:rsidR="009E27BC" w:rsidRPr="005675B0" w:rsidRDefault="009E27BC" w:rsidP="009A4D9E">
            <w:pPr>
              <w:pStyle w:val="Tabletext"/>
            </w:pPr>
            <w:r w:rsidRPr="005675B0">
              <w:t>Powers relating to requiring a notified foreign passport fund to lodge a copy of the register of members</w:t>
            </w:r>
          </w:p>
        </w:tc>
      </w:tr>
      <w:tr w:rsidR="003C3D36" w:rsidRPr="005675B0" w:rsidTr="00E415FE">
        <w:tc>
          <w:tcPr>
            <w:tcW w:w="504" w:type="pct"/>
            <w:tcBorders>
              <w:top w:val="single" w:sz="4" w:space="0" w:color="auto"/>
            </w:tcBorders>
            <w:shd w:val="clear" w:color="auto" w:fill="auto"/>
          </w:tcPr>
          <w:p w:rsidR="003C3D36" w:rsidRPr="005675B0" w:rsidRDefault="003C3D36" w:rsidP="009A4D9E">
            <w:pPr>
              <w:pStyle w:val="Tabletext"/>
            </w:pPr>
            <w:r w:rsidRPr="005675B0">
              <w:t>17</w:t>
            </w:r>
          </w:p>
        </w:tc>
        <w:tc>
          <w:tcPr>
            <w:tcW w:w="2194" w:type="pct"/>
            <w:tcBorders>
              <w:top w:val="single" w:sz="4" w:space="0" w:color="auto"/>
            </w:tcBorders>
            <w:shd w:val="clear" w:color="auto" w:fill="auto"/>
          </w:tcPr>
          <w:p w:rsidR="003C3D36" w:rsidRPr="005675B0" w:rsidRDefault="003C3D36" w:rsidP="009A4D9E">
            <w:pPr>
              <w:pStyle w:val="Tabletext"/>
            </w:pPr>
            <w:r w:rsidRPr="005675B0">
              <w:t>Section</w:t>
            </w:r>
            <w:r w:rsidR="005675B0">
              <w:t> </w:t>
            </w:r>
            <w:r w:rsidRPr="005675B0">
              <w:t xml:space="preserve">1317R of the </w:t>
            </w:r>
            <w:r w:rsidRPr="005675B0">
              <w:rPr>
                <w:i/>
              </w:rPr>
              <w:t>Corporations Act 2001</w:t>
            </w:r>
          </w:p>
        </w:tc>
        <w:tc>
          <w:tcPr>
            <w:tcW w:w="2302" w:type="pct"/>
            <w:tcBorders>
              <w:top w:val="single" w:sz="4" w:space="0" w:color="auto"/>
            </w:tcBorders>
            <w:shd w:val="clear" w:color="auto" w:fill="auto"/>
          </w:tcPr>
          <w:p w:rsidR="003C3D36" w:rsidRPr="005675B0" w:rsidRDefault="003C3D36" w:rsidP="009A4D9E">
            <w:pPr>
              <w:pStyle w:val="Tabletext"/>
            </w:pPr>
            <w:r w:rsidRPr="005675B0">
              <w:t>Powers relating to requiring a person to give assistance</w:t>
            </w:r>
          </w:p>
        </w:tc>
      </w:tr>
      <w:tr w:rsidR="003C3D36" w:rsidRPr="005675B0" w:rsidTr="005E7D08">
        <w:tc>
          <w:tcPr>
            <w:tcW w:w="504" w:type="pct"/>
            <w:tcBorders>
              <w:bottom w:val="single" w:sz="2" w:space="0" w:color="auto"/>
            </w:tcBorders>
            <w:shd w:val="clear" w:color="auto" w:fill="auto"/>
          </w:tcPr>
          <w:p w:rsidR="003C3D36" w:rsidRPr="005675B0" w:rsidRDefault="003C3D36" w:rsidP="009A4D9E">
            <w:pPr>
              <w:pStyle w:val="Tabletext"/>
            </w:pPr>
            <w:r w:rsidRPr="005675B0">
              <w:t>18</w:t>
            </w:r>
          </w:p>
        </w:tc>
        <w:tc>
          <w:tcPr>
            <w:tcW w:w="2194" w:type="pct"/>
            <w:tcBorders>
              <w:bottom w:val="single" w:sz="2" w:space="0" w:color="auto"/>
            </w:tcBorders>
            <w:shd w:val="clear" w:color="auto" w:fill="auto"/>
          </w:tcPr>
          <w:p w:rsidR="003C3D36" w:rsidRPr="005675B0" w:rsidRDefault="003C3D36" w:rsidP="009A4D9E">
            <w:pPr>
              <w:pStyle w:val="Tabletext"/>
            </w:pPr>
            <w:r w:rsidRPr="005675B0">
              <w:t>Section</w:t>
            </w:r>
            <w:r w:rsidR="005675B0">
              <w:t> </w:t>
            </w:r>
            <w:r w:rsidRPr="005675B0">
              <w:t xml:space="preserve">3E of the </w:t>
            </w:r>
            <w:r w:rsidRPr="005675B0">
              <w:rPr>
                <w:i/>
              </w:rPr>
              <w:t>Crimes Act 1914</w:t>
            </w:r>
          </w:p>
        </w:tc>
        <w:tc>
          <w:tcPr>
            <w:tcW w:w="2302" w:type="pct"/>
            <w:tcBorders>
              <w:bottom w:val="single" w:sz="2" w:space="0" w:color="auto"/>
            </w:tcBorders>
            <w:shd w:val="clear" w:color="auto" w:fill="auto"/>
          </w:tcPr>
          <w:p w:rsidR="003C3D36" w:rsidRPr="005675B0" w:rsidRDefault="003C3D36" w:rsidP="009A4D9E">
            <w:pPr>
              <w:pStyle w:val="Tabletext"/>
            </w:pPr>
            <w:r w:rsidRPr="005675B0">
              <w:t>Powers relating to search warrants</w:t>
            </w:r>
          </w:p>
        </w:tc>
      </w:tr>
      <w:tr w:rsidR="003C3D36" w:rsidRPr="005675B0" w:rsidTr="005E7D08">
        <w:tc>
          <w:tcPr>
            <w:tcW w:w="504" w:type="pct"/>
            <w:tcBorders>
              <w:top w:val="single" w:sz="2" w:space="0" w:color="auto"/>
              <w:bottom w:val="nil"/>
            </w:tcBorders>
            <w:shd w:val="clear" w:color="auto" w:fill="auto"/>
          </w:tcPr>
          <w:p w:rsidR="003C3D36" w:rsidRPr="005675B0" w:rsidRDefault="003C3D36" w:rsidP="009A4D9E">
            <w:pPr>
              <w:pStyle w:val="Tabletext"/>
            </w:pPr>
            <w:r w:rsidRPr="005675B0">
              <w:t>19</w:t>
            </w:r>
          </w:p>
        </w:tc>
        <w:tc>
          <w:tcPr>
            <w:tcW w:w="2194" w:type="pct"/>
            <w:tcBorders>
              <w:top w:val="single" w:sz="2" w:space="0" w:color="auto"/>
              <w:bottom w:val="nil"/>
            </w:tcBorders>
            <w:shd w:val="clear" w:color="auto" w:fill="auto"/>
          </w:tcPr>
          <w:p w:rsidR="003C3D36" w:rsidRPr="005675B0" w:rsidRDefault="003C3D36" w:rsidP="009A4D9E">
            <w:pPr>
              <w:pStyle w:val="Tabletext"/>
            </w:pPr>
            <w:r w:rsidRPr="005675B0">
              <w:t>Subsection</w:t>
            </w:r>
            <w:r w:rsidR="005675B0">
              <w:t> </w:t>
            </w:r>
            <w:r w:rsidRPr="005675B0">
              <w:t xml:space="preserve">10(2) of the </w:t>
            </w:r>
            <w:r w:rsidRPr="005675B0">
              <w:rPr>
                <w:i/>
              </w:rPr>
              <w:t>Mutual Assistance in Business Regulation Act 1992</w:t>
            </w:r>
          </w:p>
        </w:tc>
        <w:tc>
          <w:tcPr>
            <w:tcW w:w="2302" w:type="pct"/>
            <w:tcBorders>
              <w:top w:val="single" w:sz="2" w:space="0" w:color="auto"/>
              <w:bottom w:val="nil"/>
            </w:tcBorders>
            <w:shd w:val="clear" w:color="auto" w:fill="auto"/>
          </w:tcPr>
          <w:p w:rsidR="003C3D36" w:rsidRPr="005675B0" w:rsidRDefault="003C3D36" w:rsidP="009A4D9E">
            <w:pPr>
              <w:pStyle w:val="Tabletext"/>
            </w:pPr>
            <w:r w:rsidRPr="005675B0">
              <w:t>Powers relating to:</w:t>
            </w:r>
          </w:p>
          <w:p w:rsidR="003C3D36" w:rsidRPr="005675B0" w:rsidRDefault="003C3D36" w:rsidP="009A4D9E">
            <w:pPr>
              <w:pStyle w:val="Tablea"/>
            </w:pPr>
            <w:r w:rsidRPr="005675B0">
              <w:t>(a) requiring a person to give information; and</w:t>
            </w:r>
          </w:p>
          <w:p w:rsidR="003C3D36" w:rsidRPr="005675B0" w:rsidRDefault="003C3D36" w:rsidP="009A4D9E">
            <w:pPr>
              <w:pStyle w:val="Tablea"/>
            </w:pPr>
            <w:r w:rsidRPr="005675B0">
              <w:t>(b) requiring a person to give documents; and</w:t>
            </w:r>
          </w:p>
        </w:tc>
      </w:tr>
      <w:tr w:rsidR="003C3D36" w:rsidRPr="005675B0" w:rsidTr="005E7D08">
        <w:tc>
          <w:tcPr>
            <w:tcW w:w="504" w:type="pct"/>
            <w:tcBorders>
              <w:top w:val="nil"/>
            </w:tcBorders>
            <w:shd w:val="clear" w:color="auto" w:fill="auto"/>
          </w:tcPr>
          <w:p w:rsidR="003C3D36" w:rsidRPr="005675B0" w:rsidRDefault="003C3D36" w:rsidP="009A4D9E">
            <w:pPr>
              <w:pStyle w:val="Tabletext"/>
            </w:pPr>
          </w:p>
        </w:tc>
        <w:tc>
          <w:tcPr>
            <w:tcW w:w="2194" w:type="pct"/>
            <w:tcBorders>
              <w:top w:val="nil"/>
            </w:tcBorders>
            <w:shd w:val="clear" w:color="auto" w:fill="auto"/>
          </w:tcPr>
          <w:p w:rsidR="003C3D36" w:rsidRPr="005675B0" w:rsidRDefault="003C3D36" w:rsidP="009A4D9E">
            <w:pPr>
              <w:pStyle w:val="Tabletext"/>
            </w:pPr>
          </w:p>
        </w:tc>
        <w:tc>
          <w:tcPr>
            <w:tcW w:w="2302" w:type="pct"/>
            <w:tcBorders>
              <w:top w:val="nil"/>
            </w:tcBorders>
            <w:shd w:val="clear" w:color="auto" w:fill="auto"/>
          </w:tcPr>
          <w:p w:rsidR="003C3D36" w:rsidRPr="005675B0" w:rsidRDefault="003C3D36" w:rsidP="009A4D9E">
            <w:pPr>
              <w:pStyle w:val="Tablea"/>
            </w:pPr>
            <w:r w:rsidRPr="005675B0">
              <w:t>(c) requiring a person to attend to give evidence and produce documents</w:t>
            </w:r>
          </w:p>
        </w:tc>
      </w:tr>
      <w:tr w:rsidR="003C3D36" w:rsidRPr="005675B0" w:rsidTr="00FE1311">
        <w:tc>
          <w:tcPr>
            <w:tcW w:w="504" w:type="pct"/>
            <w:shd w:val="clear" w:color="auto" w:fill="auto"/>
          </w:tcPr>
          <w:p w:rsidR="003C3D36" w:rsidRPr="005675B0" w:rsidRDefault="003C3D36" w:rsidP="005E7D08">
            <w:pPr>
              <w:pStyle w:val="Tabletext"/>
              <w:keepNext/>
            </w:pPr>
            <w:r w:rsidRPr="005675B0">
              <w:lastRenderedPageBreak/>
              <w:t>20</w:t>
            </w:r>
          </w:p>
        </w:tc>
        <w:tc>
          <w:tcPr>
            <w:tcW w:w="2194" w:type="pct"/>
            <w:shd w:val="clear" w:color="auto" w:fill="auto"/>
          </w:tcPr>
          <w:p w:rsidR="003C3D36" w:rsidRPr="005675B0" w:rsidRDefault="003C3D36" w:rsidP="005E7D08">
            <w:pPr>
              <w:pStyle w:val="Tabletext"/>
              <w:keepNext/>
            </w:pPr>
            <w:r w:rsidRPr="005675B0">
              <w:t>Subsection</w:t>
            </w:r>
            <w:r w:rsidR="005675B0">
              <w:t> </w:t>
            </w:r>
            <w:r w:rsidRPr="005675B0">
              <w:t xml:space="preserve">37(4) of the </w:t>
            </w:r>
            <w:r w:rsidRPr="005675B0">
              <w:rPr>
                <w:i/>
              </w:rPr>
              <w:t>National Consumer Credit Protection Act 2009</w:t>
            </w:r>
          </w:p>
        </w:tc>
        <w:tc>
          <w:tcPr>
            <w:tcW w:w="2302" w:type="pct"/>
            <w:shd w:val="clear" w:color="auto" w:fill="auto"/>
          </w:tcPr>
          <w:p w:rsidR="003C3D36" w:rsidRPr="005675B0" w:rsidRDefault="003C3D36" w:rsidP="009A4D9E">
            <w:pPr>
              <w:pStyle w:val="Tabletext"/>
            </w:pPr>
            <w:r w:rsidRPr="005675B0">
              <w:t>Powers relating to requesting information</w:t>
            </w:r>
          </w:p>
        </w:tc>
      </w:tr>
      <w:tr w:rsidR="003C3D36" w:rsidRPr="005675B0" w:rsidTr="00FE1311">
        <w:tc>
          <w:tcPr>
            <w:tcW w:w="504" w:type="pct"/>
            <w:shd w:val="clear" w:color="auto" w:fill="auto"/>
          </w:tcPr>
          <w:p w:rsidR="003C3D36" w:rsidRPr="005675B0" w:rsidRDefault="003C3D36" w:rsidP="009A4D9E">
            <w:pPr>
              <w:pStyle w:val="Tabletext"/>
            </w:pPr>
            <w:r w:rsidRPr="005675B0">
              <w:t>21</w:t>
            </w:r>
          </w:p>
        </w:tc>
        <w:tc>
          <w:tcPr>
            <w:tcW w:w="2194" w:type="pct"/>
            <w:shd w:val="clear" w:color="auto" w:fill="auto"/>
          </w:tcPr>
          <w:p w:rsidR="003C3D36" w:rsidRPr="005675B0" w:rsidRDefault="003C3D36" w:rsidP="009A4D9E">
            <w:pPr>
              <w:pStyle w:val="Tabletext"/>
            </w:pPr>
            <w:r w:rsidRPr="005675B0">
              <w:t>Subsection</w:t>
            </w:r>
            <w:r w:rsidR="005675B0">
              <w:t> </w:t>
            </w:r>
            <w:r w:rsidRPr="005675B0">
              <w:t xml:space="preserve">49(1) of the </w:t>
            </w:r>
            <w:r w:rsidRPr="005675B0">
              <w:rPr>
                <w:i/>
              </w:rPr>
              <w:t>National Consumer Credit Protection Act 2009</w:t>
            </w:r>
          </w:p>
        </w:tc>
        <w:tc>
          <w:tcPr>
            <w:tcW w:w="2302" w:type="pct"/>
            <w:shd w:val="clear" w:color="auto" w:fill="auto"/>
          </w:tcPr>
          <w:p w:rsidR="003C3D36" w:rsidRPr="005675B0" w:rsidRDefault="003C3D36" w:rsidP="009A4D9E">
            <w:pPr>
              <w:pStyle w:val="Tabletext"/>
            </w:pPr>
            <w:r w:rsidRPr="005675B0">
              <w:t>Powers relating to requesting information</w:t>
            </w:r>
          </w:p>
        </w:tc>
      </w:tr>
      <w:tr w:rsidR="003C3D36" w:rsidRPr="005675B0" w:rsidTr="00FE1311">
        <w:tc>
          <w:tcPr>
            <w:tcW w:w="504" w:type="pct"/>
            <w:shd w:val="clear" w:color="auto" w:fill="auto"/>
          </w:tcPr>
          <w:p w:rsidR="003C3D36" w:rsidRPr="005675B0" w:rsidRDefault="003C3D36" w:rsidP="009A4D9E">
            <w:pPr>
              <w:pStyle w:val="Tabletext"/>
            </w:pPr>
            <w:r w:rsidRPr="005675B0">
              <w:t>22</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51 of the </w:t>
            </w:r>
            <w:r w:rsidRPr="005675B0">
              <w:rPr>
                <w:i/>
              </w:rPr>
              <w:t>National Consumer Credit Protection Act 2009</w:t>
            </w:r>
          </w:p>
        </w:tc>
        <w:tc>
          <w:tcPr>
            <w:tcW w:w="2302" w:type="pct"/>
            <w:shd w:val="clear" w:color="auto" w:fill="auto"/>
          </w:tcPr>
          <w:p w:rsidR="003C3D36" w:rsidRPr="005675B0" w:rsidRDefault="003C3D36" w:rsidP="009A4D9E">
            <w:pPr>
              <w:pStyle w:val="Tabletext"/>
            </w:pPr>
            <w:r w:rsidRPr="005675B0">
              <w:t>Powers relating to requiring a person to give assistance</w:t>
            </w:r>
          </w:p>
        </w:tc>
      </w:tr>
      <w:tr w:rsidR="003C3D36" w:rsidRPr="005675B0" w:rsidTr="00FE1311">
        <w:tc>
          <w:tcPr>
            <w:tcW w:w="504" w:type="pct"/>
            <w:shd w:val="clear" w:color="auto" w:fill="auto"/>
          </w:tcPr>
          <w:p w:rsidR="003C3D36" w:rsidRPr="005675B0" w:rsidRDefault="003C3D36" w:rsidP="009A4D9E">
            <w:pPr>
              <w:pStyle w:val="Tabletext"/>
            </w:pPr>
            <w:r w:rsidRPr="005675B0">
              <w:t>23</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253 of the </w:t>
            </w:r>
            <w:r w:rsidRPr="005675B0">
              <w:rPr>
                <w:i/>
              </w:rPr>
              <w:t>National Consumer Credit Protection Act 2009</w:t>
            </w:r>
          </w:p>
        </w:tc>
        <w:tc>
          <w:tcPr>
            <w:tcW w:w="2302" w:type="pct"/>
            <w:shd w:val="clear" w:color="auto" w:fill="auto"/>
          </w:tcPr>
          <w:p w:rsidR="003C3D36" w:rsidRPr="005675B0" w:rsidRDefault="003C3D36" w:rsidP="009A4D9E">
            <w:pPr>
              <w:pStyle w:val="Tabletext"/>
            </w:pPr>
            <w:r w:rsidRPr="005675B0">
              <w:t>Powers relating to requiring a person to give assistance</w:t>
            </w:r>
          </w:p>
        </w:tc>
      </w:tr>
      <w:tr w:rsidR="003C3D36" w:rsidRPr="005675B0" w:rsidTr="00FE1311">
        <w:tc>
          <w:tcPr>
            <w:tcW w:w="504" w:type="pct"/>
            <w:shd w:val="clear" w:color="auto" w:fill="auto"/>
          </w:tcPr>
          <w:p w:rsidR="003C3D36" w:rsidRPr="005675B0" w:rsidRDefault="003C3D36" w:rsidP="009A4D9E">
            <w:pPr>
              <w:pStyle w:val="Tabletext"/>
            </w:pPr>
            <w:r w:rsidRPr="005675B0">
              <w:t>24</w:t>
            </w:r>
          </w:p>
        </w:tc>
        <w:tc>
          <w:tcPr>
            <w:tcW w:w="2194" w:type="pct"/>
            <w:shd w:val="clear" w:color="auto" w:fill="auto"/>
          </w:tcPr>
          <w:p w:rsidR="003C3D36" w:rsidRPr="005675B0" w:rsidRDefault="003C3D36" w:rsidP="009A4D9E">
            <w:pPr>
              <w:pStyle w:val="Tabletext"/>
            </w:pPr>
            <w:r w:rsidRPr="005675B0">
              <w:t>Section</w:t>
            </w:r>
            <w:r w:rsidR="005675B0">
              <w:t> </w:t>
            </w:r>
            <w:r w:rsidRPr="005675B0">
              <w:t xml:space="preserve">266 of the </w:t>
            </w:r>
            <w:r w:rsidRPr="005675B0">
              <w:rPr>
                <w:i/>
              </w:rPr>
              <w:t>National Consumer Credit Protection Act 2009</w:t>
            </w:r>
          </w:p>
        </w:tc>
        <w:tc>
          <w:tcPr>
            <w:tcW w:w="2302" w:type="pct"/>
            <w:shd w:val="clear" w:color="auto" w:fill="auto"/>
          </w:tcPr>
          <w:p w:rsidR="003C3D36" w:rsidRPr="005675B0" w:rsidRDefault="003C3D36" w:rsidP="009A4D9E">
            <w:pPr>
              <w:pStyle w:val="Tabletext"/>
            </w:pPr>
            <w:r w:rsidRPr="005675B0">
              <w:t>Powers relating to the production of books</w:t>
            </w:r>
          </w:p>
        </w:tc>
      </w:tr>
      <w:tr w:rsidR="003C3D36" w:rsidRPr="005675B0" w:rsidTr="00FE1311">
        <w:tc>
          <w:tcPr>
            <w:tcW w:w="504" w:type="pct"/>
            <w:tcBorders>
              <w:bottom w:val="single" w:sz="2" w:space="0" w:color="auto"/>
            </w:tcBorders>
            <w:shd w:val="clear" w:color="auto" w:fill="auto"/>
          </w:tcPr>
          <w:p w:rsidR="003C3D36" w:rsidRPr="005675B0" w:rsidRDefault="003C3D36" w:rsidP="009A4D9E">
            <w:pPr>
              <w:pStyle w:val="Tabletext"/>
            </w:pPr>
            <w:r w:rsidRPr="005675B0">
              <w:t>25</w:t>
            </w:r>
          </w:p>
        </w:tc>
        <w:tc>
          <w:tcPr>
            <w:tcW w:w="2194" w:type="pct"/>
            <w:tcBorders>
              <w:bottom w:val="single" w:sz="2" w:space="0" w:color="auto"/>
            </w:tcBorders>
            <w:shd w:val="clear" w:color="auto" w:fill="auto"/>
          </w:tcPr>
          <w:p w:rsidR="003C3D36" w:rsidRPr="005675B0" w:rsidRDefault="003C3D36" w:rsidP="009A4D9E">
            <w:pPr>
              <w:pStyle w:val="Tabletext"/>
            </w:pPr>
            <w:r w:rsidRPr="005675B0">
              <w:t>Section</w:t>
            </w:r>
            <w:r w:rsidR="005675B0">
              <w:t> </w:t>
            </w:r>
            <w:r w:rsidRPr="005675B0">
              <w:t xml:space="preserve">267 of the </w:t>
            </w:r>
            <w:r w:rsidRPr="005675B0">
              <w:rPr>
                <w:i/>
              </w:rPr>
              <w:t>National Consumer Credit Protection Act 2009</w:t>
            </w:r>
          </w:p>
        </w:tc>
        <w:tc>
          <w:tcPr>
            <w:tcW w:w="2302" w:type="pct"/>
            <w:tcBorders>
              <w:bottom w:val="single" w:sz="2" w:space="0" w:color="auto"/>
            </w:tcBorders>
            <w:shd w:val="clear" w:color="auto" w:fill="auto"/>
          </w:tcPr>
          <w:p w:rsidR="003C3D36" w:rsidRPr="005675B0" w:rsidRDefault="003C3D36" w:rsidP="009A4D9E">
            <w:pPr>
              <w:pStyle w:val="Tabletext"/>
            </w:pPr>
            <w:r w:rsidRPr="005675B0">
              <w:t>Powers relating to the production of books</w:t>
            </w:r>
          </w:p>
        </w:tc>
      </w:tr>
      <w:tr w:rsidR="003C3D36" w:rsidRPr="005675B0" w:rsidTr="00FE1311">
        <w:tc>
          <w:tcPr>
            <w:tcW w:w="504" w:type="pct"/>
            <w:tcBorders>
              <w:top w:val="single" w:sz="2" w:space="0" w:color="auto"/>
              <w:bottom w:val="single" w:sz="12" w:space="0" w:color="auto"/>
            </w:tcBorders>
            <w:shd w:val="clear" w:color="auto" w:fill="auto"/>
          </w:tcPr>
          <w:p w:rsidR="003C3D36" w:rsidRPr="005675B0" w:rsidRDefault="003C3D36" w:rsidP="009A4D9E">
            <w:pPr>
              <w:pStyle w:val="Tabletext"/>
            </w:pPr>
            <w:r w:rsidRPr="005675B0">
              <w:t>26</w:t>
            </w:r>
          </w:p>
        </w:tc>
        <w:tc>
          <w:tcPr>
            <w:tcW w:w="2194" w:type="pct"/>
            <w:tcBorders>
              <w:top w:val="single" w:sz="2" w:space="0" w:color="auto"/>
              <w:bottom w:val="single" w:sz="12" w:space="0" w:color="auto"/>
            </w:tcBorders>
            <w:shd w:val="clear" w:color="auto" w:fill="auto"/>
          </w:tcPr>
          <w:p w:rsidR="003C3D36" w:rsidRPr="005675B0" w:rsidRDefault="003C3D36" w:rsidP="009A4D9E">
            <w:pPr>
              <w:pStyle w:val="Tabletext"/>
            </w:pPr>
            <w:r w:rsidRPr="005675B0">
              <w:t>Item</w:t>
            </w:r>
            <w:r w:rsidR="005675B0">
              <w:t> </w:t>
            </w:r>
            <w:r w:rsidRPr="005675B0">
              <w:t>17 of Schedule</w:t>
            </w:r>
            <w:r w:rsidR="005675B0">
              <w:t> </w:t>
            </w:r>
            <w:r w:rsidRPr="005675B0">
              <w:t xml:space="preserve">2 to the </w:t>
            </w:r>
            <w:r w:rsidRPr="005675B0">
              <w:rPr>
                <w:i/>
              </w:rPr>
              <w:t>National Consumer Credit Protection Act 2009</w:t>
            </w:r>
          </w:p>
        </w:tc>
        <w:tc>
          <w:tcPr>
            <w:tcW w:w="2302" w:type="pct"/>
            <w:tcBorders>
              <w:top w:val="single" w:sz="2" w:space="0" w:color="auto"/>
              <w:bottom w:val="single" w:sz="12" w:space="0" w:color="auto"/>
            </w:tcBorders>
            <w:shd w:val="clear" w:color="auto" w:fill="auto"/>
          </w:tcPr>
          <w:p w:rsidR="003C3D36" w:rsidRPr="005675B0" w:rsidRDefault="003C3D36" w:rsidP="009A4D9E">
            <w:pPr>
              <w:pStyle w:val="Tabletext"/>
            </w:pPr>
            <w:r w:rsidRPr="005675B0">
              <w:t>Powers relating to requesting information</w:t>
            </w:r>
          </w:p>
        </w:tc>
      </w:tr>
    </w:tbl>
    <w:p w:rsidR="00F66E20" w:rsidRPr="005675B0" w:rsidRDefault="00F66E20" w:rsidP="00970EC1">
      <w:pPr>
        <w:pStyle w:val="ActHead5"/>
      </w:pPr>
      <w:bookmarkStart w:id="27" w:name="_Toc46238155"/>
      <w:r w:rsidRPr="005675B0">
        <w:rPr>
          <w:rStyle w:val="CharSectno"/>
        </w:rPr>
        <w:t>8B</w:t>
      </w:r>
      <w:r w:rsidR="00970EC1" w:rsidRPr="005675B0">
        <w:t xml:space="preserve">  </w:t>
      </w:r>
      <w:r w:rsidRPr="005675B0">
        <w:t>Prescribed body</w:t>
      </w:r>
      <w:bookmarkEnd w:id="27"/>
    </w:p>
    <w:p w:rsidR="00F66E20" w:rsidRPr="005675B0" w:rsidRDefault="00F66E20" w:rsidP="00970EC1">
      <w:pPr>
        <w:pStyle w:val="subsection"/>
      </w:pPr>
      <w:r w:rsidRPr="005675B0">
        <w:tab/>
      </w:r>
      <w:r w:rsidRPr="005675B0">
        <w:tab/>
        <w:t>For subparagraph</w:t>
      </w:r>
      <w:r w:rsidR="005675B0">
        <w:t> </w:t>
      </w:r>
      <w:r w:rsidRPr="005675B0">
        <w:t>203(1B</w:t>
      </w:r>
      <w:r w:rsidR="00970EC1" w:rsidRPr="005675B0">
        <w:t>)(</w:t>
      </w:r>
      <w:r w:rsidRPr="005675B0">
        <w:t>b</w:t>
      </w:r>
      <w:r w:rsidR="00970EC1" w:rsidRPr="005675B0">
        <w:t>)(</w:t>
      </w:r>
      <w:r w:rsidRPr="005675B0">
        <w:t>ii) of the Act, the Insolvency Practitioners Association of Australia is prescribed.</w:t>
      </w:r>
    </w:p>
    <w:p w:rsidR="00F66E20" w:rsidRPr="005675B0" w:rsidRDefault="00F66E20" w:rsidP="00970EC1">
      <w:pPr>
        <w:pStyle w:val="ActHead5"/>
      </w:pPr>
      <w:bookmarkStart w:id="28" w:name="_Toc46238156"/>
      <w:r w:rsidRPr="005675B0">
        <w:rPr>
          <w:rStyle w:val="CharSectno"/>
        </w:rPr>
        <w:t>11</w:t>
      </w:r>
      <w:r w:rsidR="00970EC1" w:rsidRPr="005675B0">
        <w:t xml:space="preserve">  </w:t>
      </w:r>
      <w:r w:rsidRPr="005675B0">
        <w:t>Summons to witnesses to appear before Disciplinary Board</w:t>
      </w:r>
      <w:bookmarkEnd w:id="28"/>
    </w:p>
    <w:p w:rsidR="00F66E20" w:rsidRPr="005675B0" w:rsidRDefault="00F66E20" w:rsidP="00970EC1">
      <w:pPr>
        <w:pStyle w:val="subsection"/>
      </w:pPr>
      <w:r w:rsidRPr="005675B0">
        <w:tab/>
      </w:r>
      <w:r w:rsidRPr="005675B0">
        <w:tab/>
        <w:t>If a person is summoned under subsection</w:t>
      </w:r>
      <w:r w:rsidR="005675B0">
        <w:t> </w:t>
      </w:r>
      <w:r w:rsidRPr="005675B0">
        <w:t xml:space="preserve">217(1) of the Act, the summons must be in accordance with </w:t>
      </w:r>
      <w:r w:rsidR="00970EC1" w:rsidRPr="005675B0">
        <w:t>Form</w:t>
      </w:r>
      <w:r w:rsidR="002B1B6B" w:rsidRPr="005675B0">
        <w:t xml:space="preserve"> </w:t>
      </w:r>
      <w:r w:rsidRPr="005675B0">
        <w:t>3.</w:t>
      </w:r>
    </w:p>
    <w:p w:rsidR="00F66E20" w:rsidRPr="005675B0" w:rsidRDefault="00F66E20" w:rsidP="00970EC1">
      <w:pPr>
        <w:pStyle w:val="ActHead5"/>
      </w:pPr>
      <w:bookmarkStart w:id="29" w:name="_Toc46238157"/>
      <w:r w:rsidRPr="005675B0">
        <w:rPr>
          <w:rStyle w:val="CharSectno"/>
        </w:rPr>
        <w:t>12</w:t>
      </w:r>
      <w:r w:rsidR="00970EC1" w:rsidRPr="005675B0">
        <w:t xml:space="preserve">  </w:t>
      </w:r>
      <w:r w:rsidRPr="005675B0">
        <w:t>Allowances and expenses payable for attendance at hearings of Disciplinary Board</w:t>
      </w:r>
      <w:bookmarkEnd w:id="29"/>
    </w:p>
    <w:p w:rsidR="00F66E20" w:rsidRPr="005675B0" w:rsidRDefault="00F66E20" w:rsidP="00970EC1">
      <w:pPr>
        <w:pStyle w:val="subsection"/>
      </w:pPr>
      <w:r w:rsidRPr="005675B0">
        <w:tab/>
      </w:r>
      <w:r w:rsidRPr="005675B0">
        <w:tab/>
        <w:t>For subsection</w:t>
      </w:r>
      <w:r w:rsidR="005675B0">
        <w:t> </w:t>
      </w:r>
      <w:r w:rsidRPr="005675B0">
        <w:t>218(4) of the Act, a person who attends at a hearing in accordance with a summons issued under subsection</w:t>
      </w:r>
      <w:r w:rsidR="005675B0">
        <w:t> </w:t>
      </w:r>
      <w:r w:rsidRPr="005675B0">
        <w:t xml:space="preserve">217(1) of the Act is entitled to be paid allowances and expenses in accordance with </w:t>
      </w:r>
      <w:r w:rsidR="00970EC1" w:rsidRPr="005675B0">
        <w:t>Schedule</w:t>
      </w:r>
      <w:r w:rsidR="005675B0">
        <w:t> </w:t>
      </w:r>
      <w:r w:rsidRPr="005675B0">
        <w:t>2.</w:t>
      </w:r>
    </w:p>
    <w:p w:rsidR="00F66E20" w:rsidRPr="005675B0" w:rsidRDefault="00970EC1" w:rsidP="00DE27A5">
      <w:pPr>
        <w:pStyle w:val="ActHead2"/>
        <w:pageBreakBefore/>
      </w:pPr>
      <w:bookmarkStart w:id="30" w:name="_Toc46238158"/>
      <w:r w:rsidRPr="005675B0">
        <w:rPr>
          <w:rStyle w:val="CharPartNo"/>
        </w:rPr>
        <w:lastRenderedPageBreak/>
        <w:t>Part</w:t>
      </w:r>
      <w:r w:rsidR="005675B0" w:rsidRPr="005675B0">
        <w:rPr>
          <w:rStyle w:val="CharPartNo"/>
        </w:rPr>
        <w:t> </w:t>
      </w:r>
      <w:r w:rsidR="00F66E20" w:rsidRPr="005675B0">
        <w:rPr>
          <w:rStyle w:val="CharPartNo"/>
        </w:rPr>
        <w:t>3</w:t>
      </w:r>
      <w:r w:rsidRPr="005675B0">
        <w:t>—</w:t>
      </w:r>
      <w:r w:rsidR="00F66E20" w:rsidRPr="005675B0">
        <w:rPr>
          <w:rStyle w:val="CharPartText"/>
        </w:rPr>
        <w:t>Panel</w:t>
      </w:r>
      <w:r w:rsidR="00404F32" w:rsidRPr="005675B0">
        <w:rPr>
          <w:rStyle w:val="CharPartText"/>
        </w:rPr>
        <w:t xml:space="preserve"> </w:t>
      </w:r>
      <w:r w:rsidR="00F66E20" w:rsidRPr="005675B0">
        <w:rPr>
          <w:rStyle w:val="CharPartText"/>
        </w:rPr>
        <w:t>Procedures</w:t>
      </w:r>
      <w:bookmarkEnd w:id="30"/>
    </w:p>
    <w:p w:rsidR="00F66E20" w:rsidRPr="005675B0" w:rsidRDefault="00970EC1" w:rsidP="00970EC1">
      <w:pPr>
        <w:pStyle w:val="ActHead3"/>
      </w:pPr>
      <w:bookmarkStart w:id="31" w:name="_Toc46238159"/>
      <w:r w:rsidRPr="005675B0">
        <w:rPr>
          <w:rStyle w:val="CharDivNo"/>
        </w:rPr>
        <w:t>Division</w:t>
      </w:r>
      <w:r w:rsidR="005675B0" w:rsidRPr="005675B0">
        <w:rPr>
          <w:rStyle w:val="CharDivNo"/>
        </w:rPr>
        <w:t> </w:t>
      </w:r>
      <w:r w:rsidR="00F66E20" w:rsidRPr="005675B0">
        <w:rPr>
          <w:rStyle w:val="CharDivNo"/>
        </w:rPr>
        <w:t>1</w:t>
      </w:r>
      <w:r w:rsidRPr="005675B0">
        <w:t>—</w:t>
      </w:r>
      <w:r w:rsidR="00F66E20" w:rsidRPr="005675B0">
        <w:rPr>
          <w:rStyle w:val="CharDivText"/>
        </w:rPr>
        <w:t>Preliminary</w:t>
      </w:r>
      <w:bookmarkEnd w:id="31"/>
    </w:p>
    <w:p w:rsidR="00F66E20" w:rsidRPr="005675B0" w:rsidRDefault="00F66E20" w:rsidP="00970EC1">
      <w:pPr>
        <w:pStyle w:val="ActHead5"/>
      </w:pPr>
      <w:bookmarkStart w:id="32" w:name="_Toc46238160"/>
      <w:r w:rsidRPr="005675B0">
        <w:rPr>
          <w:rStyle w:val="CharSectno"/>
        </w:rPr>
        <w:t>13</w:t>
      </w:r>
      <w:r w:rsidR="00970EC1" w:rsidRPr="005675B0">
        <w:t xml:space="preserve">  </w:t>
      </w:r>
      <w:r w:rsidRPr="005675B0">
        <w:t>Objects of this Part</w:t>
      </w:r>
      <w:bookmarkEnd w:id="32"/>
    </w:p>
    <w:p w:rsidR="00F66E20" w:rsidRPr="005675B0" w:rsidRDefault="00F66E20" w:rsidP="00970EC1">
      <w:pPr>
        <w:pStyle w:val="subsection"/>
      </w:pPr>
      <w:r w:rsidRPr="005675B0">
        <w:tab/>
      </w:r>
      <w:r w:rsidRPr="005675B0">
        <w:tab/>
        <w:t xml:space="preserve">The objects of this </w:t>
      </w:r>
      <w:r w:rsidR="00970EC1" w:rsidRPr="005675B0">
        <w:t>Part</w:t>
      </w:r>
      <w:r w:rsidR="002B1B6B" w:rsidRPr="005675B0">
        <w:t xml:space="preserve"> </w:t>
      </w:r>
      <w:r w:rsidRPr="005675B0">
        <w:t>are to ensure that Panel proceedings are:</w:t>
      </w:r>
    </w:p>
    <w:p w:rsidR="00F66E20" w:rsidRPr="005675B0" w:rsidRDefault="00F66E20" w:rsidP="00970EC1">
      <w:pPr>
        <w:pStyle w:val="paragraph"/>
      </w:pPr>
      <w:r w:rsidRPr="005675B0">
        <w:tab/>
        <w:t>(a)</w:t>
      </w:r>
      <w:r w:rsidRPr="005675B0">
        <w:tab/>
        <w:t>as fair and reasonable; and</w:t>
      </w:r>
    </w:p>
    <w:p w:rsidR="00F66E20" w:rsidRPr="005675B0" w:rsidRDefault="00F66E20" w:rsidP="00970EC1">
      <w:pPr>
        <w:pStyle w:val="paragraph"/>
      </w:pPr>
      <w:r w:rsidRPr="005675B0">
        <w:tab/>
        <w:t>(b)</w:t>
      </w:r>
      <w:r w:rsidRPr="005675B0">
        <w:tab/>
        <w:t>conducted with as little formality; and</w:t>
      </w:r>
    </w:p>
    <w:p w:rsidR="00F66E20" w:rsidRPr="005675B0" w:rsidRDefault="00F66E20" w:rsidP="00970EC1">
      <w:pPr>
        <w:pStyle w:val="paragraph"/>
      </w:pPr>
      <w:r w:rsidRPr="005675B0">
        <w:tab/>
        <w:t>(c)</w:t>
      </w:r>
      <w:r w:rsidRPr="005675B0">
        <w:tab/>
        <w:t>conducted in as timely manner;</w:t>
      </w:r>
    </w:p>
    <w:p w:rsidR="00F66E20" w:rsidRPr="005675B0" w:rsidRDefault="00F66E20" w:rsidP="00970EC1">
      <w:pPr>
        <w:pStyle w:val="subsection2"/>
      </w:pPr>
      <w:r w:rsidRPr="005675B0">
        <w:t xml:space="preserve">as the requirements of this </w:t>
      </w:r>
      <w:r w:rsidR="00970EC1" w:rsidRPr="005675B0">
        <w:t>Part</w:t>
      </w:r>
      <w:r w:rsidR="002B1B6B" w:rsidRPr="005675B0">
        <w:t xml:space="preserve"> </w:t>
      </w:r>
      <w:r w:rsidRPr="005675B0">
        <w:t>and the corporations legislation (other than the excluded provisions), and a proper consideration of the matters before the Panel, permit.</w:t>
      </w:r>
    </w:p>
    <w:p w:rsidR="00F66E20" w:rsidRPr="005675B0" w:rsidRDefault="00F66E20" w:rsidP="00970EC1">
      <w:pPr>
        <w:pStyle w:val="ActHead5"/>
      </w:pPr>
      <w:bookmarkStart w:id="33" w:name="_Toc46238161"/>
      <w:r w:rsidRPr="005675B0">
        <w:rPr>
          <w:rStyle w:val="CharSectno"/>
        </w:rPr>
        <w:t>14</w:t>
      </w:r>
      <w:r w:rsidR="00970EC1" w:rsidRPr="005675B0">
        <w:t xml:space="preserve">  </w:t>
      </w:r>
      <w:r w:rsidRPr="005675B0">
        <w:t>Application of this Part</w:t>
      </w:r>
      <w:bookmarkEnd w:id="33"/>
    </w:p>
    <w:p w:rsidR="00F66E20" w:rsidRPr="005675B0" w:rsidRDefault="00F66E20" w:rsidP="00970EC1">
      <w:pPr>
        <w:pStyle w:val="subsection"/>
      </w:pPr>
      <w:r w:rsidRPr="005675B0">
        <w:tab/>
      </w:r>
      <w:r w:rsidRPr="005675B0">
        <w:tab/>
        <w:t xml:space="preserve">This </w:t>
      </w:r>
      <w:r w:rsidR="00970EC1" w:rsidRPr="005675B0">
        <w:t>Part</w:t>
      </w:r>
      <w:r w:rsidR="002B1B6B" w:rsidRPr="005675B0">
        <w:t xml:space="preserve"> </w:t>
      </w:r>
      <w:r w:rsidRPr="005675B0">
        <w:t>applies to Panel proceedings in addition to the requirements of the corporations legislation (other than the excluded provisions) that applies to the proceedings.</w:t>
      </w:r>
    </w:p>
    <w:p w:rsidR="00F66E20" w:rsidRPr="005675B0" w:rsidRDefault="00F66E20" w:rsidP="00970EC1">
      <w:pPr>
        <w:pStyle w:val="ActHead5"/>
      </w:pPr>
      <w:bookmarkStart w:id="34" w:name="_Toc46238162"/>
      <w:r w:rsidRPr="005675B0">
        <w:rPr>
          <w:rStyle w:val="CharSectno"/>
        </w:rPr>
        <w:t>15</w:t>
      </w:r>
      <w:r w:rsidR="00970EC1" w:rsidRPr="005675B0">
        <w:t xml:space="preserve">  </w:t>
      </w:r>
      <w:r w:rsidRPr="005675B0">
        <w:t xml:space="preserve">Definitions for </w:t>
      </w:r>
      <w:r w:rsidR="00970EC1" w:rsidRPr="005675B0">
        <w:t>Part</w:t>
      </w:r>
      <w:r w:rsidR="005675B0">
        <w:t> </w:t>
      </w:r>
      <w:r w:rsidRPr="005675B0">
        <w:t>3</w:t>
      </w:r>
      <w:bookmarkEnd w:id="34"/>
    </w:p>
    <w:p w:rsidR="00F66E20" w:rsidRPr="005675B0" w:rsidRDefault="00F66E20" w:rsidP="00970EC1">
      <w:pPr>
        <w:pStyle w:val="subsection"/>
      </w:pPr>
      <w:r w:rsidRPr="005675B0">
        <w:tab/>
      </w:r>
      <w:r w:rsidRPr="005675B0">
        <w:tab/>
        <w:t>In this Part:</w:t>
      </w:r>
    </w:p>
    <w:p w:rsidR="00F66E20" w:rsidRPr="005675B0" w:rsidRDefault="00F66E20" w:rsidP="00970EC1">
      <w:pPr>
        <w:pStyle w:val="Definition"/>
      </w:pPr>
      <w:r w:rsidRPr="005675B0">
        <w:rPr>
          <w:b/>
          <w:i/>
        </w:rPr>
        <w:t>application</w:t>
      </w:r>
      <w:r w:rsidRPr="005675B0">
        <w:t xml:space="preserve"> means an application under section</w:t>
      </w:r>
      <w:r w:rsidR="005675B0">
        <w:t> </w:t>
      </w:r>
      <w:r w:rsidRPr="005675B0">
        <w:t xml:space="preserve">656A, 657C or 657EA of the </w:t>
      </w:r>
      <w:r w:rsidRPr="005675B0">
        <w:rPr>
          <w:i/>
        </w:rPr>
        <w:t>Corporations Act 2001</w:t>
      </w:r>
      <w:r w:rsidRPr="005675B0">
        <w:t>.</w:t>
      </w:r>
    </w:p>
    <w:p w:rsidR="00F66E20" w:rsidRPr="005675B0" w:rsidRDefault="00F66E20" w:rsidP="00970EC1">
      <w:pPr>
        <w:pStyle w:val="Definition"/>
      </w:pPr>
      <w:r w:rsidRPr="005675B0">
        <w:rPr>
          <w:b/>
          <w:i/>
        </w:rPr>
        <w:t>brief</w:t>
      </w:r>
      <w:r w:rsidRPr="005675B0">
        <w:t>, in relation to Panel proceedings, means the brief for the proceedings that is mentioned in paragraph</w:t>
      </w:r>
      <w:r w:rsidR="005675B0">
        <w:t> </w:t>
      </w:r>
      <w:r w:rsidRPr="005675B0">
        <w:t>20(b).</w:t>
      </w:r>
    </w:p>
    <w:p w:rsidR="00F66E20" w:rsidRPr="005675B0" w:rsidRDefault="00F66E20" w:rsidP="00970EC1">
      <w:pPr>
        <w:pStyle w:val="Definition"/>
      </w:pPr>
      <w:r w:rsidRPr="005675B0">
        <w:rPr>
          <w:b/>
          <w:i/>
        </w:rPr>
        <w:t>business day</w:t>
      </w:r>
      <w:r w:rsidRPr="005675B0">
        <w:t>, in relation to a place, means any day except:</w:t>
      </w:r>
    </w:p>
    <w:p w:rsidR="00F66E20" w:rsidRPr="005675B0" w:rsidRDefault="00F66E20" w:rsidP="00970EC1">
      <w:pPr>
        <w:pStyle w:val="paragraph"/>
      </w:pPr>
      <w:r w:rsidRPr="005675B0">
        <w:tab/>
        <w:t>(a)</w:t>
      </w:r>
      <w:r w:rsidRPr="005675B0">
        <w:tab/>
        <w:t>a Saturday or a Sunday; or</w:t>
      </w:r>
    </w:p>
    <w:p w:rsidR="00F66E20" w:rsidRPr="005675B0" w:rsidRDefault="00F66E20" w:rsidP="00970EC1">
      <w:pPr>
        <w:pStyle w:val="paragraph"/>
      </w:pPr>
      <w:r w:rsidRPr="005675B0">
        <w:tab/>
        <w:t>(b)</w:t>
      </w:r>
      <w:r w:rsidRPr="005675B0">
        <w:tab/>
        <w:t>a day that is a public holiday or an Australian Public Service holiday in that place.</w:t>
      </w:r>
    </w:p>
    <w:p w:rsidR="00F66E20" w:rsidRPr="005675B0" w:rsidRDefault="00F66E20" w:rsidP="00970EC1">
      <w:pPr>
        <w:pStyle w:val="Definition"/>
      </w:pPr>
      <w:r w:rsidRPr="005675B0">
        <w:rPr>
          <w:b/>
          <w:i/>
        </w:rPr>
        <w:t>party</w:t>
      </w:r>
      <w:r w:rsidRPr="005675B0">
        <w:t xml:space="preserve"> means a party to Panel proceedings.</w:t>
      </w:r>
    </w:p>
    <w:p w:rsidR="00F66E20" w:rsidRPr="005675B0" w:rsidRDefault="00F66E20" w:rsidP="00970EC1">
      <w:pPr>
        <w:pStyle w:val="Definition"/>
      </w:pPr>
      <w:r w:rsidRPr="005675B0">
        <w:rPr>
          <w:b/>
          <w:i/>
        </w:rPr>
        <w:t>submission</w:t>
      </w:r>
      <w:r w:rsidRPr="005675B0">
        <w:t xml:space="preserve"> means a submission lodged with the Panel under a provision of this Part.</w:t>
      </w:r>
    </w:p>
    <w:p w:rsidR="00F66E20" w:rsidRPr="005675B0" w:rsidRDefault="00F66E20" w:rsidP="00970EC1">
      <w:pPr>
        <w:pStyle w:val="ActHead5"/>
      </w:pPr>
      <w:bookmarkStart w:id="35" w:name="_Toc46238163"/>
      <w:r w:rsidRPr="005675B0">
        <w:rPr>
          <w:rStyle w:val="CharSectno"/>
        </w:rPr>
        <w:t>16</w:t>
      </w:r>
      <w:r w:rsidR="00970EC1" w:rsidRPr="005675B0">
        <w:t xml:space="preserve">  </w:t>
      </w:r>
      <w:r w:rsidRPr="005675B0">
        <w:t>Powers of Panel</w:t>
      </w:r>
      <w:bookmarkEnd w:id="35"/>
    </w:p>
    <w:p w:rsidR="00F66E20" w:rsidRPr="005675B0" w:rsidRDefault="00F66E20" w:rsidP="00970EC1">
      <w:pPr>
        <w:pStyle w:val="subsection"/>
      </w:pPr>
      <w:r w:rsidRPr="005675B0">
        <w:tab/>
        <w:t>(1)</w:t>
      </w:r>
      <w:r w:rsidRPr="005675B0">
        <w:tab/>
        <w:t>In addition to any other provision of this Part, the Panel may:</w:t>
      </w:r>
    </w:p>
    <w:p w:rsidR="00F66E20" w:rsidRPr="005675B0" w:rsidRDefault="00F66E20" w:rsidP="00970EC1">
      <w:pPr>
        <w:pStyle w:val="paragraph"/>
      </w:pPr>
      <w:r w:rsidRPr="005675B0">
        <w:tab/>
        <w:t>(a)</w:t>
      </w:r>
      <w:r w:rsidRPr="005675B0">
        <w:tab/>
        <w:t>direct that 2 or more related matters are to be considered in Panel proceedings; and</w:t>
      </w:r>
    </w:p>
    <w:p w:rsidR="00F66E20" w:rsidRPr="005675B0" w:rsidRDefault="00F66E20" w:rsidP="00970EC1">
      <w:pPr>
        <w:pStyle w:val="paragraph"/>
      </w:pPr>
      <w:r w:rsidRPr="005675B0">
        <w:tab/>
        <w:t>(b)</w:t>
      </w:r>
      <w:r w:rsidRPr="005675B0">
        <w:tab/>
        <w:t>identify the issues to be considered by the Panel in its proceedings; and</w:t>
      </w:r>
    </w:p>
    <w:p w:rsidR="00F66E20" w:rsidRPr="005675B0" w:rsidRDefault="00F66E20" w:rsidP="00970EC1">
      <w:pPr>
        <w:pStyle w:val="paragraph"/>
      </w:pPr>
      <w:r w:rsidRPr="005675B0">
        <w:tab/>
        <w:t>(c)</w:t>
      </w:r>
      <w:r w:rsidRPr="005675B0">
        <w:tab/>
        <w:t>give directions to a person about:</w:t>
      </w:r>
    </w:p>
    <w:p w:rsidR="00F66E20" w:rsidRPr="005675B0" w:rsidRDefault="00F66E20" w:rsidP="00970EC1">
      <w:pPr>
        <w:pStyle w:val="paragraphsub"/>
      </w:pPr>
      <w:r w:rsidRPr="005675B0">
        <w:lastRenderedPageBreak/>
        <w:tab/>
        <w:t>(i)</w:t>
      </w:r>
      <w:r w:rsidRPr="005675B0">
        <w:tab/>
        <w:t>the manner in which a matter may be presented, either orally or in writing, to the Panel; and</w:t>
      </w:r>
    </w:p>
    <w:p w:rsidR="00F66E20" w:rsidRPr="005675B0" w:rsidRDefault="00F66E20" w:rsidP="00970EC1">
      <w:pPr>
        <w:pStyle w:val="paragraphsub"/>
      </w:pPr>
      <w:r w:rsidRPr="005675B0">
        <w:tab/>
        <w:t>(ii)</w:t>
      </w:r>
      <w:r w:rsidRPr="005675B0">
        <w:tab/>
        <w:t>the duration of the time in which the person may address the Panel or give evidence in Panel proceedings; and</w:t>
      </w:r>
    </w:p>
    <w:p w:rsidR="00F66E20" w:rsidRPr="005675B0" w:rsidRDefault="00F66E20" w:rsidP="00970EC1">
      <w:pPr>
        <w:pStyle w:val="paragraph"/>
      </w:pPr>
      <w:r w:rsidRPr="005675B0">
        <w:tab/>
        <w:t>(d)</w:t>
      </w:r>
      <w:r w:rsidRPr="005675B0">
        <w:tab/>
        <w:t>give directions to parties to lodge with the Panel specified documents relating to Panel proceedings; and</w:t>
      </w:r>
    </w:p>
    <w:p w:rsidR="00F66E20" w:rsidRPr="005675B0" w:rsidRDefault="00F66E20" w:rsidP="00970EC1">
      <w:pPr>
        <w:pStyle w:val="paragraph"/>
      </w:pPr>
      <w:r w:rsidRPr="005675B0">
        <w:tab/>
        <w:t>(e)</w:t>
      </w:r>
      <w:r w:rsidRPr="005675B0">
        <w:tab/>
        <w:t>give directions to persons about the time at or before which documents must be lodged with the Panel; and</w:t>
      </w:r>
    </w:p>
    <w:p w:rsidR="00F66E20" w:rsidRPr="005675B0" w:rsidRDefault="00F66E20" w:rsidP="00970EC1">
      <w:pPr>
        <w:pStyle w:val="paragraph"/>
      </w:pPr>
      <w:r w:rsidRPr="005675B0">
        <w:tab/>
        <w:t>(f)</w:t>
      </w:r>
      <w:r w:rsidRPr="005675B0">
        <w:tab/>
        <w:t>extend the time at or before which documents must be lodged with the Panel; and</w:t>
      </w:r>
    </w:p>
    <w:p w:rsidR="00F66E20" w:rsidRPr="005675B0" w:rsidRDefault="00F66E20" w:rsidP="00970EC1">
      <w:pPr>
        <w:pStyle w:val="paragraph"/>
      </w:pPr>
      <w:r w:rsidRPr="005675B0">
        <w:tab/>
        <w:t>(g)</w:t>
      </w:r>
      <w:r w:rsidRPr="005675B0">
        <w:tab/>
        <w:t>invite a person who is not a party to make a submission in relation to Panel proceedings; and</w:t>
      </w:r>
    </w:p>
    <w:p w:rsidR="00F66E20" w:rsidRPr="005675B0" w:rsidRDefault="00F66E20" w:rsidP="00970EC1">
      <w:pPr>
        <w:pStyle w:val="paragraph"/>
      </w:pPr>
      <w:r w:rsidRPr="005675B0">
        <w:tab/>
        <w:t>(h)</w:t>
      </w:r>
      <w:r w:rsidRPr="005675B0">
        <w:tab/>
        <w:t>permit a person to amend or withdraw information or evidence given to, or a document lodged with, the Panel for the purposes of Panel proceedings; and</w:t>
      </w:r>
    </w:p>
    <w:p w:rsidR="00F66E20" w:rsidRPr="005675B0" w:rsidRDefault="00F66E20" w:rsidP="00970EC1">
      <w:pPr>
        <w:pStyle w:val="paragraph"/>
      </w:pPr>
      <w:r w:rsidRPr="005675B0">
        <w:tab/>
        <w:t>(i)</w:t>
      </w:r>
      <w:r w:rsidRPr="005675B0">
        <w:tab/>
        <w:t>direct that Panel proceedings be suspended for a period determined by the Panel; and</w:t>
      </w:r>
    </w:p>
    <w:p w:rsidR="00F66E20" w:rsidRPr="005675B0" w:rsidRDefault="00F66E20" w:rsidP="00970EC1">
      <w:pPr>
        <w:pStyle w:val="paragraph"/>
      </w:pPr>
      <w:r w:rsidRPr="005675B0">
        <w:tab/>
        <w:t>(j)</w:t>
      </w:r>
      <w:r w:rsidRPr="005675B0">
        <w:tab/>
        <w:t>direct that Panel proceedings be deferred until a day determined by the Panel.</w:t>
      </w:r>
    </w:p>
    <w:p w:rsidR="00F66E20" w:rsidRPr="005675B0" w:rsidRDefault="00F66E20" w:rsidP="00970EC1">
      <w:pPr>
        <w:pStyle w:val="subsection"/>
      </w:pPr>
      <w:r w:rsidRPr="005675B0">
        <w:tab/>
        <w:t>(2)</w:t>
      </w:r>
      <w:r w:rsidRPr="005675B0">
        <w:tab/>
        <w:t>In the performance of its functions and the exercise of its powers in relation to Panel proceedings, the Panel:</w:t>
      </w:r>
    </w:p>
    <w:p w:rsidR="00F66E20" w:rsidRPr="005675B0" w:rsidRDefault="00F66E20" w:rsidP="00970EC1">
      <w:pPr>
        <w:pStyle w:val="paragraph"/>
      </w:pPr>
      <w:r w:rsidRPr="005675B0">
        <w:tab/>
        <w:t>(a)</w:t>
      </w:r>
      <w:r w:rsidRPr="005675B0">
        <w:tab/>
        <w:t>is not bound by the rules of evidence; and</w:t>
      </w:r>
    </w:p>
    <w:p w:rsidR="00F66E20" w:rsidRPr="005675B0" w:rsidRDefault="00F66E20" w:rsidP="00B35A39">
      <w:pPr>
        <w:pStyle w:val="paragraph"/>
      </w:pPr>
      <w:r w:rsidRPr="005675B0">
        <w:tab/>
        <w:t>(b)</w:t>
      </w:r>
      <w:r w:rsidRPr="005675B0">
        <w:tab/>
        <w:t>must consider all relevant information contained in:</w:t>
      </w:r>
    </w:p>
    <w:p w:rsidR="00F66E20" w:rsidRPr="005675B0" w:rsidRDefault="00F66E20" w:rsidP="00970EC1">
      <w:pPr>
        <w:pStyle w:val="paragraphsub"/>
      </w:pPr>
      <w:r w:rsidRPr="005675B0">
        <w:tab/>
        <w:t>(i)</w:t>
      </w:r>
      <w:r w:rsidRPr="005675B0">
        <w:tab/>
        <w:t>a submission that is lodged with the Panel; and</w:t>
      </w:r>
    </w:p>
    <w:p w:rsidR="00F66E20" w:rsidRPr="005675B0" w:rsidRDefault="00F66E20" w:rsidP="00970EC1">
      <w:pPr>
        <w:pStyle w:val="paragraphsub"/>
      </w:pPr>
      <w:r w:rsidRPr="005675B0">
        <w:tab/>
        <w:t>(ii)</w:t>
      </w:r>
      <w:r w:rsidRPr="005675B0">
        <w:tab/>
        <w:t>other evidence that is given to the Panel; and</w:t>
      </w:r>
    </w:p>
    <w:p w:rsidR="00F66E20" w:rsidRPr="005675B0" w:rsidRDefault="00F66E20" w:rsidP="00970EC1">
      <w:pPr>
        <w:pStyle w:val="paragraph"/>
      </w:pPr>
      <w:r w:rsidRPr="005675B0">
        <w:tab/>
        <w:t>(c)</w:t>
      </w:r>
      <w:r w:rsidRPr="005675B0">
        <w:tab/>
        <w:t>must act:</w:t>
      </w:r>
    </w:p>
    <w:p w:rsidR="00F66E20" w:rsidRPr="005675B0" w:rsidRDefault="00F66E20" w:rsidP="00970EC1">
      <w:pPr>
        <w:pStyle w:val="paragraphsub"/>
      </w:pPr>
      <w:r w:rsidRPr="005675B0">
        <w:tab/>
        <w:t>(i)</w:t>
      </w:r>
      <w:r w:rsidRPr="005675B0">
        <w:tab/>
        <w:t>as fairly and reasonably; and</w:t>
      </w:r>
    </w:p>
    <w:p w:rsidR="00F66E20" w:rsidRPr="005675B0" w:rsidRDefault="00F66E20" w:rsidP="00970EC1">
      <w:pPr>
        <w:pStyle w:val="paragraphsub"/>
      </w:pPr>
      <w:r w:rsidRPr="005675B0">
        <w:tab/>
        <w:t>(ii)</w:t>
      </w:r>
      <w:r w:rsidRPr="005675B0">
        <w:tab/>
        <w:t>with as little formality; and</w:t>
      </w:r>
    </w:p>
    <w:p w:rsidR="00F66E20" w:rsidRPr="005675B0" w:rsidRDefault="00F66E20" w:rsidP="00970EC1">
      <w:pPr>
        <w:pStyle w:val="paragraphsub"/>
      </w:pPr>
      <w:r w:rsidRPr="005675B0">
        <w:tab/>
        <w:t>(iii)</w:t>
      </w:r>
      <w:r w:rsidRPr="005675B0">
        <w:tab/>
        <w:t>having regard to the time available before the decision must be made, in as timely a manner;</w:t>
      </w:r>
    </w:p>
    <w:p w:rsidR="00F66E20" w:rsidRPr="005675B0" w:rsidRDefault="00F66E20" w:rsidP="00970EC1">
      <w:pPr>
        <w:pStyle w:val="paragraph"/>
      </w:pPr>
      <w:r w:rsidRPr="005675B0">
        <w:tab/>
      </w:r>
      <w:r w:rsidRPr="005675B0">
        <w:tab/>
        <w:t>as the requirements of this Part, and the corporations legislation (other than the excluded provisions), and a proper consideration of the matters before the Panel permit.</w:t>
      </w:r>
    </w:p>
    <w:p w:rsidR="00F66E20" w:rsidRPr="005675B0" w:rsidRDefault="00970EC1" w:rsidP="00DE27A5">
      <w:pPr>
        <w:pStyle w:val="ActHead3"/>
        <w:pageBreakBefore/>
      </w:pPr>
      <w:bookmarkStart w:id="36" w:name="_Toc46238164"/>
      <w:r w:rsidRPr="005675B0">
        <w:rPr>
          <w:rStyle w:val="CharDivNo"/>
        </w:rPr>
        <w:lastRenderedPageBreak/>
        <w:t>Division</w:t>
      </w:r>
      <w:r w:rsidR="005675B0" w:rsidRPr="005675B0">
        <w:rPr>
          <w:rStyle w:val="CharDivNo"/>
        </w:rPr>
        <w:t> </w:t>
      </w:r>
      <w:r w:rsidR="00F66E20" w:rsidRPr="005675B0">
        <w:rPr>
          <w:rStyle w:val="CharDivNo"/>
        </w:rPr>
        <w:t>2</w:t>
      </w:r>
      <w:r w:rsidRPr="005675B0">
        <w:t>—</w:t>
      </w:r>
      <w:r w:rsidR="00F66E20" w:rsidRPr="005675B0">
        <w:rPr>
          <w:rStyle w:val="CharDivText"/>
        </w:rPr>
        <w:t>Applications</w:t>
      </w:r>
      <w:bookmarkEnd w:id="36"/>
    </w:p>
    <w:p w:rsidR="00F66E20" w:rsidRPr="005675B0" w:rsidRDefault="00F66E20" w:rsidP="00970EC1">
      <w:pPr>
        <w:pStyle w:val="ActHead5"/>
      </w:pPr>
      <w:bookmarkStart w:id="37" w:name="_Toc46238165"/>
      <w:r w:rsidRPr="005675B0">
        <w:rPr>
          <w:rStyle w:val="CharSectno"/>
        </w:rPr>
        <w:t>18</w:t>
      </w:r>
      <w:r w:rsidR="00970EC1" w:rsidRPr="005675B0">
        <w:t xml:space="preserve">  </w:t>
      </w:r>
      <w:r w:rsidRPr="005675B0">
        <w:t>Reference of matters to the Commission by the Panel</w:t>
      </w:r>
      <w:bookmarkEnd w:id="37"/>
    </w:p>
    <w:p w:rsidR="00F66E20" w:rsidRPr="005675B0" w:rsidRDefault="00F66E20" w:rsidP="00970EC1">
      <w:pPr>
        <w:pStyle w:val="subsection"/>
      </w:pPr>
      <w:r w:rsidRPr="005675B0">
        <w:tab/>
        <w:t>(1)</w:t>
      </w:r>
      <w:r w:rsidRPr="005675B0">
        <w:tab/>
        <w:t>The Panel may refer a matter to the Commission for the Commission to consider with a view to making an application.</w:t>
      </w:r>
    </w:p>
    <w:p w:rsidR="00F66E20" w:rsidRPr="005675B0" w:rsidRDefault="00F66E20" w:rsidP="00970EC1">
      <w:pPr>
        <w:pStyle w:val="subsection"/>
      </w:pPr>
      <w:r w:rsidRPr="005675B0">
        <w:tab/>
        <w:t>(2)</w:t>
      </w:r>
      <w:r w:rsidRPr="005675B0">
        <w:tab/>
        <w:t>If the Panel refers a matter to the Commission, the reference must be made:</w:t>
      </w:r>
    </w:p>
    <w:p w:rsidR="00F66E20" w:rsidRPr="005675B0" w:rsidRDefault="00F66E20" w:rsidP="00970EC1">
      <w:pPr>
        <w:pStyle w:val="paragraph"/>
      </w:pPr>
      <w:r w:rsidRPr="005675B0">
        <w:tab/>
        <w:t>(a)</w:t>
      </w:r>
      <w:r w:rsidRPr="005675B0">
        <w:tab/>
        <w:t>in writing; and</w:t>
      </w:r>
    </w:p>
    <w:p w:rsidR="00F66E20" w:rsidRPr="005675B0" w:rsidRDefault="00F66E20" w:rsidP="00970EC1">
      <w:pPr>
        <w:pStyle w:val="paragraph"/>
      </w:pPr>
      <w:r w:rsidRPr="005675B0">
        <w:tab/>
        <w:t>(b)</w:t>
      </w:r>
      <w:r w:rsidRPr="005675B0">
        <w:tab/>
        <w:t>in sufficient detail to allow the Commission to make a decision about the matter.</w:t>
      </w:r>
    </w:p>
    <w:p w:rsidR="00F66E20" w:rsidRPr="005675B0" w:rsidRDefault="00F66E20" w:rsidP="00970EC1">
      <w:pPr>
        <w:pStyle w:val="ActHead5"/>
      </w:pPr>
      <w:bookmarkStart w:id="38" w:name="_Toc46238166"/>
      <w:r w:rsidRPr="005675B0">
        <w:rPr>
          <w:rStyle w:val="CharSectno"/>
        </w:rPr>
        <w:t>19</w:t>
      </w:r>
      <w:r w:rsidR="00970EC1" w:rsidRPr="005675B0">
        <w:t xml:space="preserve">  </w:t>
      </w:r>
      <w:r w:rsidRPr="005675B0">
        <w:t>Making of applications</w:t>
      </w:r>
      <w:bookmarkEnd w:id="38"/>
    </w:p>
    <w:p w:rsidR="00F66E20" w:rsidRPr="005675B0" w:rsidRDefault="00F66E20" w:rsidP="00970EC1">
      <w:pPr>
        <w:pStyle w:val="subsection"/>
      </w:pPr>
      <w:r w:rsidRPr="005675B0">
        <w:tab/>
      </w:r>
      <w:r w:rsidRPr="005675B0">
        <w:tab/>
        <w:t>An application to the Panel must be in the form approved by the Panel.</w:t>
      </w:r>
    </w:p>
    <w:p w:rsidR="00F66E20" w:rsidRPr="005675B0" w:rsidRDefault="00F66E20" w:rsidP="00970EC1">
      <w:pPr>
        <w:pStyle w:val="ActHead5"/>
      </w:pPr>
      <w:bookmarkStart w:id="39" w:name="_Toc46238167"/>
      <w:r w:rsidRPr="005675B0">
        <w:rPr>
          <w:rStyle w:val="CharSectno"/>
        </w:rPr>
        <w:t>20</w:t>
      </w:r>
      <w:r w:rsidR="00970EC1" w:rsidRPr="005675B0">
        <w:t xml:space="preserve">  </w:t>
      </w:r>
      <w:r w:rsidRPr="005675B0">
        <w:t>Consideration of applications</w:t>
      </w:r>
      <w:bookmarkEnd w:id="39"/>
    </w:p>
    <w:p w:rsidR="00F66E20" w:rsidRPr="005675B0" w:rsidRDefault="00F66E20" w:rsidP="00970EC1">
      <w:pPr>
        <w:pStyle w:val="subsection"/>
      </w:pPr>
      <w:r w:rsidRPr="005675B0">
        <w:tab/>
      </w:r>
      <w:r w:rsidRPr="005675B0">
        <w:tab/>
        <w:t>As soon as practicable after receiving an application, the Panel must:</w:t>
      </w:r>
    </w:p>
    <w:p w:rsidR="00F66E20" w:rsidRPr="005675B0" w:rsidRDefault="00F66E20" w:rsidP="00970EC1">
      <w:pPr>
        <w:pStyle w:val="paragraph"/>
      </w:pPr>
      <w:r w:rsidRPr="005675B0">
        <w:tab/>
        <w:t>(a)</w:t>
      </w:r>
      <w:r w:rsidRPr="005675B0">
        <w:tab/>
        <w:t>decide whether to conduct proceedings in relation to the application; and</w:t>
      </w:r>
    </w:p>
    <w:p w:rsidR="00F66E20" w:rsidRPr="005675B0" w:rsidRDefault="00F66E20" w:rsidP="00970EC1">
      <w:pPr>
        <w:pStyle w:val="paragraph"/>
      </w:pPr>
      <w:r w:rsidRPr="005675B0">
        <w:tab/>
        <w:t>(b)</w:t>
      </w:r>
      <w:r w:rsidRPr="005675B0">
        <w:tab/>
        <w:t>if the Panel decides to conduct proceedings</w:t>
      </w:r>
      <w:r w:rsidR="00970EC1" w:rsidRPr="005675B0">
        <w:t>—</w:t>
      </w:r>
      <w:r w:rsidRPr="005675B0">
        <w:t>prepare a brief setting out:</w:t>
      </w:r>
    </w:p>
    <w:p w:rsidR="00F66E20" w:rsidRPr="005675B0" w:rsidRDefault="00F66E20" w:rsidP="00970EC1">
      <w:pPr>
        <w:pStyle w:val="paragraphsub"/>
      </w:pPr>
      <w:r w:rsidRPr="005675B0">
        <w:tab/>
        <w:t>(i)</w:t>
      </w:r>
      <w:r w:rsidRPr="005675B0">
        <w:tab/>
        <w:t>a general description of the matters to be examined in the Panel proceedings; and</w:t>
      </w:r>
    </w:p>
    <w:p w:rsidR="00F66E20" w:rsidRPr="005675B0" w:rsidRDefault="00F66E20" w:rsidP="00970EC1">
      <w:pPr>
        <w:pStyle w:val="paragraphsub"/>
      </w:pPr>
      <w:r w:rsidRPr="005675B0">
        <w:tab/>
        <w:t>(ii)</w:t>
      </w:r>
      <w:r w:rsidRPr="005675B0">
        <w:tab/>
        <w:t>the issues to be addressed in submissions for the proceedings.</w:t>
      </w:r>
    </w:p>
    <w:p w:rsidR="00F66E20" w:rsidRPr="005675B0" w:rsidRDefault="00970EC1" w:rsidP="00DE27A5">
      <w:pPr>
        <w:pStyle w:val="ActHead3"/>
        <w:pageBreakBefore/>
      </w:pPr>
      <w:bookmarkStart w:id="40" w:name="_Toc46238168"/>
      <w:r w:rsidRPr="005675B0">
        <w:rPr>
          <w:rStyle w:val="CharDivNo"/>
        </w:rPr>
        <w:lastRenderedPageBreak/>
        <w:t>Division</w:t>
      </w:r>
      <w:r w:rsidR="005675B0" w:rsidRPr="005675B0">
        <w:rPr>
          <w:rStyle w:val="CharDivNo"/>
        </w:rPr>
        <w:t> </w:t>
      </w:r>
      <w:r w:rsidR="00F66E20" w:rsidRPr="005675B0">
        <w:rPr>
          <w:rStyle w:val="CharDivNo"/>
        </w:rPr>
        <w:t>3</w:t>
      </w:r>
      <w:r w:rsidRPr="005675B0">
        <w:t>—</w:t>
      </w:r>
      <w:r w:rsidR="00F66E20" w:rsidRPr="005675B0">
        <w:rPr>
          <w:rStyle w:val="CharDivText"/>
        </w:rPr>
        <w:t>Decisions to conduct proceedings</w:t>
      </w:r>
      <w:bookmarkEnd w:id="40"/>
    </w:p>
    <w:p w:rsidR="00F66E20" w:rsidRPr="005675B0" w:rsidRDefault="00F66E20" w:rsidP="00970EC1">
      <w:pPr>
        <w:pStyle w:val="ActHead5"/>
      </w:pPr>
      <w:bookmarkStart w:id="41" w:name="_Toc46238169"/>
      <w:r w:rsidRPr="005675B0">
        <w:rPr>
          <w:rStyle w:val="CharSectno"/>
        </w:rPr>
        <w:t>21</w:t>
      </w:r>
      <w:r w:rsidR="00970EC1" w:rsidRPr="005675B0">
        <w:t xml:space="preserve">  </w:t>
      </w:r>
      <w:r w:rsidRPr="005675B0">
        <w:t>Notice of decision</w:t>
      </w:r>
      <w:bookmarkEnd w:id="41"/>
    </w:p>
    <w:p w:rsidR="00F66E20" w:rsidRPr="005675B0" w:rsidRDefault="00F66E20" w:rsidP="00970EC1">
      <w:pPr>
        <w:pStyle w:val="subsection"/>
      </w:pPr>
      <w:r w:rsidRPr="005675B0">
        <w:tab/>
        <w:t>(1)</w:t>
      </w:r>
      <w:r w:rsidRPr="005675B0">
        <w:tab/>
        <w:t>If the Panel decides, under regulation</w:t>
      </w:r>
      <w:r w:rsidR="005675B0">
        <w:t> </w:t>
      </w:r>
      <w:r w:rsidRPr="005675B0">
        <w:t>20, to conduct proceedings, the Panel must, as soon as practicable after making the decision, notify the decision to:</w:t>
      </w:r>
    </w:p>
    <w:p w:rsidR="00F66E20" w:rsidRPr="005675B0" w:rsidRDefault="00F66E20" w:rsidP="00970EC1">
      <w:pPr>
        <w:pStyle w:val="paragraph"/>
      </w:pPr>
      <w:r w:rsidRPr="005675B0">
        <w:tab/>
        <w:t>(a)</w:t>
      </w:r>
      <w:r w:rsidRPr="005675B0">
        <w:tab/>
        <w:t>the Commission; and</w:t>
      </w:r>
    </w:p>
    <w:p w:rsidR="00F66E20" w:rsidRPr="005675B0" w:rsidRDefault="00F66E20" w:rsidP="00970EC1">
      <w:pPr>
        <w:pStyle w:val="paragraph"/>
      </w:pPr>
      <w:r w:rsidRPr="005675B0">
        <w:tab/>
        <w:t>(b)</w:t>
      </w:r>
      <w:r w:rsidRPr="005675B0">
        <w:tab/>
        <w:t>each company to which, or person to whom, the relevant application relates.</w:t>
      </w:r>
    </w:p>
    <w:p w:rsidR="00F66E20" w:rsidRPr="005675B0" w:rsidRDefault="00F66E20" w:rsidP="00970EC1">
      <w:pPr>
        <w:pStyle w:val="subsection"/>
      </w:pPr>
      <w:r w:rsidRPr="005675B0">
        <w:tab/>
        <w:t>(2)</w:t>
      </w:r>
      <w:r w:rsidRPr="005675B0">
        <w:tab/>
        <w:t>If the Panel decides, under regulation</w:t>
      </w:r>
      <w:r w:rsidR="005675B0">
        <w:t> </w:t>
      </w:r>
      <w:r w:rsidRPr="005675B0">
        <w:t>20, not to conduct proceedings, the Panel must, as soon as practicable after making the decision:</w:t>
      </w:r>
    </w:p>
    <w:p w:rsidR="00F66E20" w:rsidRPr="005675B0" w:rsidRDefault="00F66E20" w:rsidP="00970EC1">
      <w:pPr>
        <w:pStyle w:val="paragraph"/>
      </w:pPr>
      <w:r w:rsidRPr="005675B0">
        <w:tab/>
        <w:t>(a)</w:t>
      </w:r>
      <w:r w:rsidRPr="005675B0">
        <w:tab/>
        <w:t>notify the decision to the Commission; and</w:t>
      </w:r>
    </w:p>
    <w:p w:rsidR="00F66E20" w:rsidRPr="005675B0" w:rsidRDefault="00F66E20" w:rsidP="00970EC1">
      <w:pPr>
        <w:pStyle w:val="paragraph"/>
      </w:pPr>
      <w:r w:rsidRPr="005675B0">
        <w:tab/>
        <w:t>(b)</w:t>
      </w:r>
      <w:r w:rsidRPr="005675B0">
        <w:tab/>
        <w:t xml:space="preserve">notify the decision to each company and person to whom the relevant application </w:t>
      </w:r>
      <w:r w:rsidR="009A4D9E" w:rsidRPr="005675B0">
        <w:t>relates.</w:t>
      </w:r>
    </w:p>
    <w:p w:rsidR="00F66E20" w:rsidRPr="005675B0" w:rsidRDefault="00F66E20" w:rsidP="00970EC1">
      <w:pPr>
        <w:pStyle w:val="ActHead5"/>
      </w:pPr>
      <w:bookmarkStart w:id="42" w:name="_Toc46238170"/>
      <w:r w:rsidRPr="005675B0">
        <w:rPr>
          <w:rStyle w:val="CharSectno"/>
        </w:rPr>
        <w:t>22</w:t>
      </w:r>
      <w:r w:rsidR="00970EC1" w:rsidRPr="005675B0">
        <w:t xml:space="preserve">  </w:t>
      </w:r>
      <w:r w:rsidRPr="005675B0">
        <w:t>Decision to hold inquiry</w:t>
      </w:r>
      <w:bookmarkEnd w:id="42"/>
    </w:p>
    <w:p w:rsidR="00F66E20" w:rsidRPr="005675B0" w:rsidRDefault="00F66E20" w:rsidP="00970EC1">
      <w:pPr>
        <w:pStyle w:val="subsection"/>
      </w:pPr>
      <w:r w:rsidRPr="005675B0">
        <w:tab/>
        <w:t>(1)</w:t>
      </w:r>
      <w:r w:rsidRPr="005675B0">
        <w:tab/>
        <w:t>If the Panel decides to conduct proceedings, it must, after receiving the application:</w:t>
      </w:r>
    </w:p>
    <w:p w:rsidR="00F66E20" w:rsidRPr="005675B0" w:rsidRDefault="00F66E20" w:rsidP="00970EC1">
      <w:pPr>
        <w:pStyle w:val="paragraph"/>
      </w:pPr>
      <w:r w:rsidRPr="005675B0">
        <w:tab/>
        <w:t>(a)</w:t>
      </w:r>
      <w:r w:rsidRPr="005675B0">
        <w:tab/>
        <w:t>give a copy of the brief for the proceedings to:</w:t>
      </w:r>
    </w:p>
    <w:p w:rsidR="00F66E20" w:rsidRPr="005675B0" w:rsidRDefault="00F66E20" w:rsidP="00970EC1">
      <w:pPr>
        <w:pStyle w:val="paragraphsub"/>
      </w:pPr>
      <w:r w:rsidRPr="005675B0">
        <w:tab/>
        <w:t>(i)</w:t>
      </w:r>
      <w:r w:rsidRPr="005675B0">
        <w:tab/>
        <w:t>the Commission; and</w:t>
      </w:r>
    </w:p>
    <w:p w:rsidR="00F66E20" w:rsidRPr="005675B0" w:rsidRDefault="00F66E20" w:rsidP="00970EC1">
      <w:pPr>
        <w:pStyle w:val="paragraphsub"/>
      </w:pPr>
      <w:r w:rsidRPr="005675B0">
        <w:tab/>
        <w:t>(ii)</w:t>
      </w:r>
      <w:r w:rsidRPr="005675B0">
        <w:tab/>
        <w:t>to each company to which, or person to whom, the application relates; and</w:t>
      </w:r>
    </w:p>
    <w:p w:rsidR="00F66E20" w:rsidRPr="005675B0" w:rsidRDefault="00F66E20" w:rsidP="00970EC1">
      <w:pPr>
        <w:pStyle w:val="paragraph"/>
      </w:pPr>
      <w:r w:rsidRPr="005675B0">
        <w:tab/>
        <w:t>(b)</w:t>
      </w:r>
      <w:r w:rsidRPr="005675B0">
        <w:tab/>
        <w:t xml:space="preserve">invite each body or person mentioned in </w:t>
      </w:r>
      <w:r w:rsidR="005675B0">
        <w:t>paragraph (</w:t>
      </w:r>
      <w:r w:rsidRPr="005675B0">
        <w:t>a) to lodge with the Panel a written submission addressing the issues identified in the brief.</w:t>
      </w:r>
    </w:p>
    <w:p w:rsidR="00F66E20" w:rsidRPr="005675B0" w:rsidRDefault="00F66E20" w:rsidP="00970EC1">
      <w:pPr>
        <w:pStyle w:val="subsection"/>
      </w:pPr>
      <w:r w:rsidRPr="005675B0">
        <w:tab/>
        <w:t>(2)</w:t>
      </w:r>
      <w:r w:rsidRPr="005675B0">
        <w:tab/>
        <w:t>If the Panel decides to conduct proceedings it may give written notice of the decision to any other body or person.</w:t>
      </w:r>
    </w:p>
    <w:p w:rsidR="00F66E20" w:rsidRPr="005675B0" w:rsidRDefault="00F66E20" w:rsidP="00970EC1">
      <w:pPr>
        <w:pStyle w:val="subsection"/>
      </w:pPr>
      <w:r w:rsidRPr="005675B0">
        <w:tab/>
        <w:t>(3)</w:t>
      </w:r>
      <w:r w:rsidRPr="005675B0">
        <w:tab/>
        <w:t>The Panel must:</w:t>
      </w:r>
    </w:p>
    <w:p w:rsidR="00F66E20" w:rsidRPr="005675B0" w:rsidRDefault="00F66E20" w:rsidP="00970EC1">
      <w:pPr>
        <w:pStyle w:val="paragraph"/>
      </w:pPr>
      <w:r w:rsidRPr="005675B0">
        <w:tab/>
        <w:t>(a)</w:t>
      </w:r>
      <w:r w:rsidRPr="005675B0">
        <w:tab/>
        <w:t>give a copy of the brief to the body or person; and</w:t>
      </w:r>
    </w:p>
    <w:p w:rsidR="00F66E20" w:rsidRPr="005675B0" w:rsidRDefault="00F66E20" w:rsidP="00970EC1">
      <w:pPr>
        <w:pStyle w:val="paragraph"/>
      </w:pPr>
      <w:r w:rsidRPr="005675B0">
        <w:tab/>
        <w:t>(b)</w:t>
      </w:r>
      <w:r w:rsidRPr="005675B0">
        <w:tab/>
        <w:t>invite the body or person to lodge with the Panel a written submission addressing the issues identified in the brief that are specified in the invitation.</w:t>
      </w:r>
    </w:p>
    <w:p w:rsidR="00F66E20" w:rsidRPr="005675B0" w:rsidRDefault="00970EC1" w:rsidP="00DE27A5">
      <w:pPr>
        <w:pStyle w:val="ActHead3"/>
        <w:pageBreakBefore/>
      </w:pPr>
      <w:bookmarkStart w:id="43" w:name="_Toc46238171"/>
      <w:r w:rsidRPr="005675B0">
        <w:rPr>
          <w:rStyle w:val="CharDivNo"/>
        </w:rPr>
        <w:lastRenderedPageBreak/>
        <w:t>Division</w:t>
      </w:r>
      <w:r w:rsidR="005675B0" w:rsidRPr="005675B0">
        <w:rPr>
          <w:rStyle w:val="CharDivNo"/>
        </w:rPr>
        <w:t> </w:t>
      </w:r>
      <w:r w:rsidR="00F66E20" w:rsidRPr="005675B0">
        <w:rPr>
          <w:rStyle w:val="CharDivNo"/>
        </w:rPr>
        <w:t>4</w:t>
      </w:r>
      <w:r w:rsidRPr="005675B0">
        <w:t>—</w:t>
      </w:r>
      <w:r w:rsidR="00F66E20" w:rsidRPr="005675B0">
        <w:rPr>
          <w:rStyle w:val="CharDivText"/>
        </w:rPr>
        <w:t>Submissions</w:t>
      </w:r>
      <w:bookmarkEnd w:id="43"/>
    </w:p>
    <w:p w:rsidR="00F66E20" w:rsidRPr="005675B0" w:rsidRDefault="00F66E20" w:rsidP="00970EC1">
      <w:pPr>
        <w:pStyle w:val="ActHead5"/>
      </w:pPr>
      <w:bookmarkStart w:id="44" w:name="_Toc46238172"/>
      <w:r w:rsidRPr="005675B0">
        <w:rPr>
          <w:rStyle w:val="CharSectno"/>
        </w:rPr>
        <w:t>23</w:t>
      </w:r>
      <w:r w:rsidR="00970EC1" w:rsidRPr="005675B0">
        <w:t xml:space="preserve">  </w:t>
      </w:r>
      <w:r w:rsidRPr="005675B0">
        <w:t>Expressions of interest by non</w:t>
      </w:r>
      <w:r w:rsidR="005675B0">
        <w:noBreakHyphen/>
      </w:r>
      <w:r w:rsidRPr="005675B0">
        <w:t>parties</w:t>
      </w:r>
      <w:bookmarkEnd w:id="44"/>
    </w:p>
    <w:p w:rsidR="00F66E20" w:rsidRPr="005675B0" w:rsidRDefault="00F66E20" w:rsidP="00970EC1">
      <w:pPr>
        <w:pStyle w:val="subsection"/>
      </w:pPr>
      <w:r w:rsidRPr="005675B0">
        <w:tab/>
        <w:t>(1)</w:t>
      </w:r>
      <w:r w:rsidRPr="005675B0">
        <w:tab/>
        <w:t>The Panel may give notice to a person, or to the public at large, of a decision by the Panel to conduct proceedings.</w:t>
      </w:r>
    </w:p>
    <w:p w:rsidR="00F66E20" w:rsidRPr="005675B0" w:rsidRDefault="00F66E20" w:rsidP="00970EC1">
      <w:pPr>
        <w:pStyle w:val="subsection"/>
      </w:pPr>
      <w:r w:rsidRPr="005675B0">
        <w:tab/>
        <w:t>(2)</w:t>
      </w:r>
      <w:r w:rsidRPr="005675B0">
        <w:tab/>
        <w:t>A notice must include a description of the nature of the proceedings.</w:t>
      </w:r>
    </w:p>
    <w:p w:rsidR="00F66E20" w:rsidRPr="005675B0" w:rsidRDefault="00F66E20" w:rsidP="00970EC1">
      <w:pPr>
        <w:pStyle w:val="subsection"/>
      </w:pPr>
      <w:r w:rsidRPr="005675B0">
        <w:tab/>
        <w:t>(3)</w:t>
      </w:r>
      <w:r w:rsidRPr="005675B0">
        <w:tab/>
        <w:t>A notice may invite a person who is not a party to the proceedings to give, within a time allowed by the Panel, a written expression of interest in the proceedings:</w:t>
      </w:r>
    </w:p>
    <w:p w:rsidR="00F66E20" w:rsidRPr="005675B0" w:rsidRDefault="00F66E20" w:rsidP="00970EC1">
      <w:pPr>
        <w:pStyle w:val="paragraph"/>
      </w:pPr>
      <w:r w:rsidRPr="005675B0">
        <w:tab/>
        <w:t>(a)</w:t>
      </w:r>
      <w:r w:rsidRPr="005675B0">
        <w:tab/>
        <w:t>stating the nature of the interest of the person in the proceedings; and</w:t>
      </w:r>
    </w:p>
    <w:p w:rsidR="00F66E20" w:rsidRPr="005675B0" w:rsidRDefault="00F66E20" w:rsidP="00970EC1">
      <w:pPr>
        <w:pStyle w:val="paragraph"/>
      </w:pPr>
      <w:r w:rsidRPr="005675B0">
        <w:tab/>
        <w:t>(b)</w:t>
      </w:r>
      <w:r w:rsidRPr="005675B0">
        <w:tab/>
        <w:t>setting out the reasons why the Panel should consider a written submission of the person in relation to the proceedings.</w:t>
      </w:r>
    </w:p>
    <w:p w:rsidR="00F66E20" w:rsidRPr="005675B0" w:rsidRDefault="00F66E20" w:rsidP="00970EC1">
      <w:pPr>
        <w:pStyle w:val="subsection"/>
      </w:pPr>
      <w:r w:rsidRPr="005675B0">
        <w:tab/>
        <w:t>(4)</w:t>
      </w:r>
      <w:r w:rsidRPr="005675B0">
        <w:tab/>
        <w:t>The Panel may, by written notice to the person, vary the period mentioned in subregulation</w:t>
      </w:r>
      <w:r w:rsidR="00091A5B" w:rsidRPr="005675B0">
        <w:t> </w:t>
      </w:r>
      <w:r w:rsidRPr="005675B0">
        <w:t>(3).</w:t>
      </w:r>
    </w:p>
    <w:p w:rsidR="00F66E20" w:rsidRPr="005675B0" w:rsidRDefault="00F66E20" w:rsidP="00970EC1">
      <w:pPr>
        <w:pStyle w:val="ActHead5"/>
      </w:pPr>
      <w:bookmarkStart w:id="45" w:name="_Toc46238173"/>
      <w:r w:rsidRPr="005675B0">
        <w:rPr>
          <w:rStyle w:val="CharSectno"/>
        </w:rPr>
        <w:t>24</w:t>
      </w:r>
      <w:r w:rsidR="00970EC1" w:rsidRPr="005675B0">
        <w:t xml:space="preserve">  </w:t>
      </w:r>
      <w:r w:rsidRPr="005675B0">
        <w:t>Panel may accept submissions from persons expressing interest</w:t>
      </w:r>
      <w:bookmarkEnd w:id="45"/>
    </w:p>
    <w:p w:rsidR="00F66E20" w:rsidRPr="005675B0" w:rsidRDefault="00F66E20" w:rsidP="00970EC1">
      <w:pPr>
        <w:pStyle w:val="subsection"/>
      </w:pPr>
      <w:r w:rsidRPr="005675B0">
        <w:tab/>
        <w:t>(1)</w:t>
      </w:r>
      <w:r w:rsidRPr="005675B0">
        <w:tab/>
        <w:t>As soon as practicable after the Panel receives the expression of interest of a person, the Panel must acknowledge the receipt in writing.</w:t>
      </w:r>
    </w:p>
    <w:p w:rsidR="00F66E20" w:rsidRPr="005675B0" w:rsidRDefault="00F66E20" w:rsidP="00970EC1">
      <w:pPr>
        <w:pStyle w:val="subsection"/>
      </w:pPr>
      <w:r w:rsidRPr="005675B0">
        <w:tab/>
        <w:t>(2)</w:t>
      </w:r>
      <w:r w:rsidRPr="005675B0">
        <w:tab/>
        <w:t>If the Panel decides to consider the written submission of a person in the proceedings, the Panel must give to the person a copy of the brief for the proceedings.</w:t>
      </w:r>
    </w:p>
    <w:p w:rsidR="00F66E20" w:rsidRPr="005675B0" w:rsidRDefault="00F66E20" w:rsidP="00970EC1">
      <w:pPr>
        <w:pStyle w:val="subsection"/>
      </w:pPr>
      <w:r w:rsidRPr="005675B0">
        <w:tab/>
        <w:t>(3)</w:t>
      </w:r>
      <w:r w:rsidRPr="005675B0">
        <w:tab/>
        <w:t>The Panel must invite the person to lodge with the Panel a written submission addressing the issues identified in the brief.</w:t>
      </w:r>
    </w:p>
    <w:p w:rsidR="00F66E20" w:rsidRPr="005675B0" w:rsidRDefault="00F66E20" w:rsidP="00970EC1">
      <w:pPr>
        <w:pStyle w:val="subsection"/>
      </w:pPr>
      <w:r w:rsidRPr="005675B0">
        <w:tab/>
        <w:t>(4)</w:t>
      </w:r>
      <w:r w:rsidRPr="005675B0">
        <w:tab/>
        <w:t>If the Panel decides not to consider any written submission of the person in the proceedings, the Panel must inform the person of the decision and of the reasons for the decision.</w:t>
      </w:r>
    </w:p>
    <w:p w:rsidR="00F66E20" w:rsidRPr="005675B0" w:rsidRDefault="00F66E20" w:rsidP="00970EC1">
      <w:pPr>
        <w:pStyle w:val="ActHead5"/>
      </w:pPr>
      <w:bookmarkStart w:id="46" w:name="_Toc46238174"/>
      <w:r w:rsidRPr="005675B0">
        <w:rPr>
          <w:rStyle w:val="CharSectno"/>
        </w:rPr>
        <w:t>25</w:t>
      </w:r>
      <w:r w:rsidR="00970EC1" w:rsidRPr="005675B0">
        <w:t xml:space="preserve">  </w:t>
      </w:r>
      <w:r w:rsidRPr="005675B0">
        <w:t>Submissions</w:t>
      </w:r>
      <w:bookmarkEnd w:id="46"/>
    </w:p>
    <w:p w:rsidR="00F66E20" w:rsidRPr="005675B0" w:rsidRDefault="00F66E20" w:rsidP="00970EC1">
      <w:pPr>
        <w:pStyle w:val="subsection"/>
      </w:pPr>
      <w:r w:rsidRPr="005675B0">
        <w:tab/>
      </w:r>
      <w:r w:rsidRPr="005675B0">
        <w:tab/>
        <w:t>A submission made by a person to proceedings of the Panel must:</w:t>
      </w:r>
    </w:p>
    <w:p w:rsidR="00F66E20" w:rsidRPr="005675B0" w:rsidRDefault="00F66E20" w:rsidP="00970EC1">
      <w:pPr>
        <w:pStyle w:val="paragraph"/>
      </w:pPr>
      <w:r w:rsidRPr="005675B0">
        <w:tab/>
        <w:t>(a)</w:t>
      </w:r>
      <w:r w:rsidRPr="005675B0">
        <w:tab/>
        <w:t>be in the form approved by the Panel; and</w:t>
      </w:r>
    </w:p>
    <w:p w:rsidR="00F66E20" w:rsidRPr="005675B0" w:rsidRDefault="00F66E20" w:rsidP="00970EC1">
      <w:pPr>
        <w:pStyle w:val="paragraph"/>
      </w:pPr>
      <w:r w:rsidRPr="005675B0">
        <w:tab/>
        <w:t>(b)</w:t>
      </w:r>
      <w:r w:rsidRPr="005675B0">
        <w:tab/>
        <w:t>if the Panel has given to the person a copy of the brief and invited the person to comment on an issue identified in the brief, address that issue.</w:t>
      </w:r>
    </w:p>
    <w:p w:rsidR="00F66E20" w:rsidRPr="005675B0" w:rsidRDefault="00F66E20" w:rsidP="00970EC1">
      <w:pPr>
        <w:pStyle w:val="ActHead5"/>
      </w:pPr>
      <w:bookmarkStart w:id="47" w:name="_Toc46238175"/>
      <w:r w:rsidRPr="005675B0">
        <w:rPr>
          <w:rStyle w:val="CharSectno"/>
        </w:rPr>
        <w:t>26</w:t>
      </w:r>
      <w:r w:rsidR="00970EC1" w:rsidRPr="005675B0">
        <w:t xml:space="preserve">  </w:t>
      </w:r>
      <w:r w:rsidRPr="005675B0">
        <w:t>Disregard of certain submissions</w:t>
      </w:r>
      <w:bookmarkEnd w:id="47"/>
    </w:p>
    <w:p w:rsidR="00F66E20" w:rsidRPr="005675B0" w:rsidRDefault="00F66E20" w:rsidP="00970EC1">
      <w:pPr>
        <w:pStyle w:val="subsection"/>
      </w:pPr>
      <w:r w:rsidRPr="005675B0">
        <w:tab/>
        <w:t>(1)</w:t>
      </w:r>
      <w:r w:rsidRPr="005675B0">
        <w:tab/>
        <w:t>The Panel may disregard any matter in a submission that:</w:t>
      </w:r>
    </w:p>
    <w:p w:rsidR="00F66E20" w:rsidRPr="005675B0" w:rsidRDefault="00F66E20" w:rsidP="00970EC1">
      <w:pPr>
        <w:pStyle w:val="paragraph"/>
      </w:pPr>
      <w:r w:rsidRPr="005675B0">
        <w:tab/>
        <w:t>(a)</w:t>
      </w:r>
      <w:r w:rsidRPr="005675B0">
        <w:tab/>
        <w:t>is not in accordance with regulation</w:t>
      </w:r>
      <w:r w:rsidR="005675B0">
        <w:t> </w:t>
      </w:r>
      <w:r w:rsidRPr="005675B0">
        <w:t>25; or</w:t>
      </w:r>
    </w:p>
    <w:p w:rsidR="00F66E20" w:rsidRPr="005675B0" w:rsidRDefault="00F66E20" w:rsidP="00970EC1">
      <w:pPr>
        <w:pStyle w:val="paragraph"/>
      </w:pPr>
      <w:r w:rsidRPr="005675B0">
        <w:tab/>
        <w:t>(b)</w:t>
      </w:r>
      <w:r w:rsidRPr="005675B0">
        <w:tab/>
        <w:t>is frivolous or vexatious.</w:t>
      </w:r>
    </w:p>
    <w:p w:rsidR="00F66E20" w:rsidRPr="005675B0" w:rsidRDefault="00F66E20" w:rsidP="00970EC1">
      <w:pPr>
        <w:pStyle w:val="subsection"/>
      </w:pPr>
      <w:r w:rsidRPr="005675B0">
        <w:tab/>
        <w:t>(2)</w:t>
      </w:r>
      <w:r w:rsidRPr="005675B0">
        <w:tab/>
        <w:t>The Panel must disregard any matter in a submission that is not relevant to the proceedings.</w:t>
      </w:r>
    </w:p>
    <w:p w:rsidR="00F66E20" w:rsidRPr="005675B0" w:rsidRDefault="00F66E20" w:rsidP="00970EC1">
      <w:pPr>
        <w:pStyle w:val="ActHead5"/>
      </w:pPr>
      <w:bookmarkStart w:id="48" w:name="_Toc46238176"/>
      <w:r w:rsidRPr="005675B0">
        <w:rPr>
          <w:rStyle w:val="CharSectno"/>
        </w:rPr>
        <w:lastRenderedPageBreak/>
        <w:t>27</w:t>
      </w:r>
      <w:r w:rsidR="00970EC1" w:rsidRPr="005675B0">
        <w:t xml:space="preserve">  </w:t>
      </w:r>
      <w:r w:rsidRPr="005675B0">
        <w:t>Abuse of Panel procedures to be noted</w:t>
      </w:r>
      <w:bookmarkEnd w:id="48"/>
    </w:p>
    <w:p w:rsidR="00F66E20" w:rsidRPr="005675B0" w:rsidRDefault="00F66E20" w:rsidP="00970EC1">
      <w:pPr>
        <w:pStyle w:val="subsection"/>
      </w:pPr>
      <w:r w:rsidRPr="005675B0">
        <w:tab/>
      </w:r>
      <w:r w:rsidRPr="005675B0">
        <w:tab/>
        <w:t>If a matter in a written submission made to the Panel is frivolous or vexatious, the Panel must place on the submission a note stating:</w:t>
      </w:r>
    </w:p>
    <w:p w:rsidR="00F66E20" w:rsidRPr="005675B0" w:rsidRDefault="00F66E20" w:rsidP="00970EC1">
      <w:pPr>
        <w:pStyle w:val="paragraph"/>
      </w:pPr>
      <w:r w:rsidRPr="005675B0">
        <w:tab/>
        <w:t>(a)</w:t>
      </w:r>
      <w:r w:rsidRPr="005675B0">
        <w:tab/>
        <w:t>that the Panel has disregarded the matter in accordance with paragraph</w:t>
      </w:r>
      <w:r w:rsidR="005675B0">
        <w:t> </w:t>
      </w:r>
      <w:r w:rsidRPr="005675B0">
        <w:t>26(1</w:t>
      </w:r>
      <w:r w:rsidR="00970EC1" w:rsidRPr="005675B0">
        <w:t>)(</w:t>
      </w:r>
      <w:r w:rsidRPr="005675B0">
        <w:t>b); and</w:t>
      </w:r>
    </w:p>
    <w:p w:rsidR="00F66E20" w:rsidRPr="005675B0" w:rsidRDefault="00F66E20" w:rsidP="00970EC1">
      <w:pPr>
        <w:pStyle w:val="paragraph"/>
      </w:pPr>
      <w:r w:rsidRPr="005675B0">
        <w:tab/>
        <w:t>(b)</w:t>
      </w:r>
      <w:r w:rsidRPr="005675B0">
        <w:tab/>
        <w:t>the reasons why the Panel believes the matter to be frivolous or vexatious.</w:t>
      </w:r>
    </w:p>
    <w:p w:rsidR="00F66E20" w:rsidRPr="005675B0" w:rsidRDefault="00F66E20" w:rsidP="00970EC1">
      <w:pPr>
        <w:pStyle w:val="ActHead5"/>
      </w:pPr>
      <w:bookmarkStart w:id="49" w:name="_Toc46238177"/>
      <w:r w:rsidRPr="005675B0">
        <w:rPr>
          <w:rStyle w:val="CharSectno"/>
        </w:rPr>
        <w:t>28</w:t>
      </w:r>
      <w:r w:rsidR="00970EC1" w:rsidRPr="005675B0">
        <w:t xml:space="preserve">  </w:t>
      </w:r>
      <w:r w:rsidRPr="005675B0">
        <w:t>Lodgment and distribution of submissions</w:t>
      </w:r>
      <w:bookmarkEnd w:id="49"/>
    </w:p>
    <w:p w:rsidR="00F66E20" w:rsidRPr="005675B0" w:rsidRDefault="00F66E20" w:rsidP="00970EC1">
      <w:pPr>
        <w:pStyle w:val="subsection"/>
      </w:pPr>
      <w:r w:rsidRPr="005675B0">
        <w:tab/>
        <w:t>(1)</w:t>
      </w:r>
      <w:r w:rsidRPr="005675B0">
        <w:tab/>
        <w:t>A submission for Panel proceedings must be lodged with the Panel within the time allowed by the Panel.</w:t>
      </w:r>
    </w:p>
    <w:p w:rsidR="00F66E20" w:rsidRPr="005675B0" w:rsidRDefault="00F66E20" w:rsidP="00970EC1">
      <w:pPr>
        <w:pStyle w:val="subsection"/>
      </w:pPr>
      <w:r w:rsidRPr="005675B0">
        <w:tab/>
        <w:t>(2)</w:t>
      </w:r>
      <w:r w:rsidRPr="005675B0">
        <w:tab/>
        <w:t>As soon as practicable after the Panel receives a submission, the Panel must give a copy of the submission to each party.</w:t>
      </w:r>
    </w:p>
    <w:p w:rsidR="00F66E20" w:rsidRPr="005675B0" w:rsidRDefault="00F66E20" w:rsidP="00970EC1">
      <w:pPr>
        <w:pStyle w:val="subsection"/>
      </w:pPr>
      <w:r w:rsidRPr="005675B0">
        <w:tab/>
        <w:t>(3)</w:t>
      </w:r>
      <w:r w:rsidRPr="005675B0">
        <w:tab/>
        <w:t>A party who receives a copy of a submission relating to an application (the</w:t>
      </w:r>
      <w:r w:rsidRPr="005675B0">
        <w:rPr>
          <w:b/>
          <w:i/>
        </w:rPr>
        <w:t xml:space="preserve"> first submission</w:t>
      </w:r>
      <w:r w:rsidRPr="005675B0">
        <w:t>) may lodge with the Panel no more than 1 submission that:</w:t>
      </w:r>
    </w:p>
    <w:p w:rsidR="00F66E20" w:rsidRPr="005675B0" w:rsidRDefault="00F66E20" w:rsidP="00970EC1">
      <w:pPr>
        <w:pStyle w:val="paragraph"/>
      </w:pPr>
      <w:r w:rsidRPr="005675B0">
        <w:tab/>
        <w:t>(a)</w:t>
      </w:r>
      <w:r w:rsidRPr="005675B0">
        <w:tab/>
        <w:t>rebuts a matter, or matters, in the first submission; and</w:t>
      </w:r>
    </w:p>
    <w:p w:rsidR="00F66E20" w:rsidRPr="005675B0" w:rsidRDefault="00F66E20" w:rsidP="00970EC1">
      <w:pPr>
        <w:pStyle w:val="paragraph"/>
      </w:pPr>
      <w:r w:rsidRPr="005675B0">
        <w:tab/>
        <w:t>(b)</w:t>
      </w:r>
      <w:r w:rsidRPr="005675B0">
        <w:tab/>
        <w:t>does not include material that is not necessary to support the rebuttal.</w:t>
      </w:r>
    </w:p>
    <w:p w:rsidR="00F66E20" w:rsidRPr="005675B0" w:rsidRDefault="00F66E20" w:rsidP="00970EC1">
      <w:pPr>
        <w:pStyle w:val="subsection"/>
      </w:pPr>
      <w:r w:rsidRPr="005675B0">
        <w:tab/>
        <w:t>(5)</w:t>
      </w:r>
      <w:r w:rsidRPr="005675B0">
        <w:tab/>
        <w:t>A submission lodged with the Panel is taken not to include any additional material that is not lodged at the same time as the submission.</w:t>
      </w:r>
    </w:p>
    <w:p w:rsidR="00F66E20" w:rsidRPr="005675B0" w:rsidRDefault="00F66E20" w:rsidP="00970EC1">
      <w:pPr>
        <w:pStyle w:val="ActHead5"/>
      </w:pPr>
      <w:bookmarkStart w:id="50" w:name="_Toc46238178"/>
      <w:r w:rsidRPr="005675B0">
        <w:rPr>
          <w:rStyle w:val="CharSectno"/>
        </w:rPr>
        <w:t>30</w:t>
      </w:r>
      <w:r w:rsidR="00970EC1" w:rsidRPr="005675B0">
        <w:t xml:space="preserve">  </w:t>
      </w:r>
      <w:r w:rsidRPr="005675B0">
        <w:t>Panel may invite further submissions</w:t>
      </w:r>
      <w:bookmarkEnd w:id="50"/>
    </w:p>
    <w:p w:rsidR="00F66E20" w:rsidRPr="005675B0" w:rsidRDefault="00F66E20" w:rsidP="00970EC1">
      <w:pPr>
        <w:pStyle w:val="subsection"/>
      </w:pPr>
      <w:r w:rsidRPr="005675B0">
        <w:tab/>
        <w:t>(1)</w:t>
      </w:r>
      <w:r w:rsidRPr="005675B0">
        <w:tab/>
        <w:t>At any time during Panel proceedings, the Panel may request a party to lodge with the Panel a submission that addresses a matter specified in the request.</w:t>
      </w:r>
    </w:p>
    <w:p w:rsidR="00F66E20" w:rsidRPr="005675B0" w:rsidRDefault="00F66E20" w:rsidP="00970EC1">
      <w:pPr>
        <w:pStyle w:val="subsection"/>
      </w:pPr>
      <w:r w:rsidRPr="005675B0">
        <w:tab/>
        <w:t>(2)</w:t>
      </w:r>
      <w:r w:rsidRPr="005675B0">
        <w:tab/>
        <w:t>The Panel may give a copy of the submission to each party.</w:t>
      </w:r>
    </w:p>
    <w:p w:rsidR="00F66E20" w:rsidRPr="005675B0" w:rsidRDefault="00F66E20" w:rsidP="00970EC1">
      <w:pPr>
        <w:pStyle w:val="subsection"/>
      </w:pPr>
      <w:r w:rsidRPr="005675B0">
        <w:tab/>
        <w:t>(3)</w:t>
      </w:r>
      <w:r w:rsidRPr="005675B0">
        <w:tab/>
        <w:t xml:space="preserve">The Panel may direct a party who receives a copy of a submission (the </w:t>
      </w:r>
      <w:r w:rsidRPr="005675B0">
        <w:rPr>
          <w:b/>
          <w:i/>
        </w:rPr>
        <w:t>first submission</w:t>
      </w:r>
      <w:r w:rsidRPr="005675B0">
        <w:t>) to lodge, at or before a time specified in writing by the Panel, with the Panel not more than 1</w:t>
      </w:r>
      <w:r w:rsidR="002B1B6B" w:rsidRPr="005675B0">
        <w:t xml:space="preserve"> </w:t>
      </w:r>
      <w:r w:rsidRPr="005675B0">
        <w:t>submission that:</w:t>
      </w:r>
    </w:p>
    <w:p w:rsidR="00F66E20" w:rsidRPr="005675B0" w:rsidRDefault="00F66E20" w:rsidP="00970EC1">
      <w:pPr>
        <w:pStyle w:val="paragraph"/>
      </w:pPr>
      <w:r w:rsidRPr="005675B0">
        <w:tab/>
        <w:t>(a)</w:t>
      </w:r>
      <w:r w:rsidRPr="005675B0">
        <w:tab/>
        <w:t>rebuts a matter, or matters, in the first submission; and</w:t>
      </w:r>
    </w:p>
    <w:p w:rsidR="00F66E20" w:rsidRPr="005675B0" w:rsidRDefault="00F66E20" w:rsidP="00970EC1">
      <w:pPr>
        <w:pStyle w:val="paragraph"/>
      </w:pPr>
      <w:r w:rsidRPr="005675B0">
        <w:tab/>
        <w:t>(b)</w:t>
      </w:r>
      <w:r w:rsidRPr="005675B0">
        <w:tab/>
        <w:t>does not include material that is not necessary to support the rebuttal.</w:t>
      </w:r>
    </w:p>
    <w:p w:rsidR="00F66E20" w:rsidRPr="005675B0" w:rsidRDefault="00F66E20" w:rsidP="00970EC1">
      <w:pPr>
        <w:pStyle w:val="ActHead5"/>
      </w:pPr>
      <w:bookmarkStart w:id="51" w:name="_Toc46238179"/>
      <w:r w:rsidRPr="005675B0">
        <w:rPr>
          <w:rStyle w:val="CharSectno"/>
        </w:rPr>
        <w:t>34</w:t>
      </w:r>
      <w:r w:rsidR="00970EC1" w:rsidRPr="005675B0">
        <w:t xml:space="preserve">  </w:t>
      </w:r>
      <w:r w:rsidRPr="005675B0">
        <w:t>Submissions that are not lodged in time</w:t>
      </w:r>
      <w:bookmarkEnd w:id="51"/>
    </w:p>
    <w:p w:rsidR="00F66E20" w:rsidRPr="005675B0" w:rsidRDefault="00F66E20" w:rsidP="00970EC1">
      <w:pPr>
        <w:pStyle w:val="subsection"/>
      </w:pPr>
      <w:r w:rsidRPr="005675B0">
        <w:tab/>
      </w:r>
      <w:r w:rsidRPr="005675B0">
        <w:tab/>
        <w:t xml:space="preserve">If a person does not lodge a document with the Panel by the time of lodgment specified in this </w:t>
      </w:r>
      <w:r w:rsidR="00970EC1" w:rsidRPr="005675B0">
        <w:t>Part</w:t>
      </w:r>
      <w:r w:rsidR="002B1B6B" w:rsidRPr="005675B0">
        <w:t xml:space="preserve"> </w:t>
      </w:r>
      <w:r w:rsidRPr="005675B0">
        <w:t>for the document, the Panel may continue with the proceedings without regard to the document.</w:t>
      </w:r>
    </w:p>
    <w:p w:rsidR="00F66E20" w:rsidRPr="005675B0" w:rsidRDefault="00970EC1" w:rsidP="00DE27A5">
      <w:pPr>
        <w:pStyle w:val="ActHead3"/>
        <w:pageBreakBefore/>
      </w:pPr>
      <w:bookmarkStart w:id="52" w:name="_Toc46238180"/>
      <w:r w:rsidRPr="005675B0">
        <w:rPr>
          <w:rStyle w:val="CharDivNo"/>
        </w:rPr>
        <w:lastRenderedPageBreak/>
        <w:t>Division</w:t>
      </w:r>
      <w:r w:rsidR="005675B0" w:rsidRPr="005675B0">
        <w:rPr>
          <w:rStyle w:val="CharDivNo"/>
        </w:rPr>
        <w:t> </w:t>
      </w:r>
      <w:r w:rsidR="00F66E20" w:rsidRPr="005675B0">
        <w:rPr>
          <w:rStyle w:val="CharDivNo"/>
        </w:rPr>
        <w:t>5</w:t>
      </w:r>
      <w:r w:rsidRPr="005675B0">
        <w:t>—</w:t>
      </w:r>
      <w:r w:rsidR="00F66E20" w:rsidRPr="005675B0">
        <w:rPr>
          <w:rStyle w:val="CharDivText"/>
        </w:rPr>
        <w:t>Conferences</w:t>
      </w:r>
      <w:bookmarkEnd w:id="52"/>
    </w:p>
    <w:p w:rsidR="00F66E20" w:rsidRPr="005675B0" w:rsidRDefault="00F66E20" w:rsidP="00970EC1">
      <w:pPr>
        <w:pStyle w:val="ActHead5"/>
      </w:pPr>
      <w:bookmarkStart w:id="53" w:name="_Toc46238181"/>
      <w:r w:rsidRPr="005675B0">
        <w:rPr>
          <w:rStyle w:val="CharSectno"/>
        </w:rPr>
        <w:t>35</w:t>
      </w:r>
      <w:r w:rsidR="00970EC1" w:rsidRPr="005675B0">
        <w:t xml:space="preserve">  </w:t>
      </w:r>
      <w:r w:rsidRPr="005675B0">
        <w:t>Purpose of conferences</w:t>
      </w:r>
      <w:bookmarkEnd w:id="53"/>
    </w:p>
    <w:p w:rsidR="00F66E20" w:rsidRPr="005675B0" w:rsidRDefault="00F66E20" w:rsidP="00970EC1">
      <w:pPr>
        <w:pStyle w:val="subsection"/>
      </w:pPr>
      <w:r w:rsidRPr="005675B0">
        <w:tab/>
        <w:t>(1)</w:t>
      </w:r>
      <w:r w:rsidRPr="005675B0">
        <w:tab/>
        <w:t>The Panel may conduct a conference during Panel proceedings to:</w:t>
      </w:r>
    </w:p>
    <w:p w:rsidR="00F66E20" w:rsidRPr="005675B0" w:rsidRDefault="00F66E20" w:rsidP="00970EC1">
      <w:pPr>
        <w:pStyle w:val="paragraph"/>
      </w:pPr>
      <w:r w:rsidRPr="005675B0">
        <w:tab/>
        <w:t>(a)</w:t>
      </w:r>
      <w:r w:rsidRPr="005675B0">
        <w:tab/>
        <w:t>clarify matters arising from documents in the possession of the Panel relating to the proceedings; or</w:t>
      </w:r>
    </w:p>
    <w:p w:rsidR="00F66E20" w:rsidRPr="005675B0" w:rsidRDefault="00F66E20" w:rsidP="00970EC1">
      <w:pPr>
        <w:pStyle w:val="paragraph"/>
      </w:pPr>
      <w:r w:rsidRPr="005675B0">
        <w:tab/>
        <w:t>(b)</w:t>
      </w:r>
      <w:r w:rsidRPr="005675B0">
        <w:tab/>
        <w:t>resolve inconsistent statements:</w:t>
      </w:r>
    </w:p>
    <w:p w:rsidR="00F66E20" w:rsidRPr="005675B0" w:rsidRDefault="00F66E20" w:rsidP="00970EC1">
      <w:pPr>
        <w:pStyle w:val="paragraphsub"/>
      </w:pPr>
      <w:r w:rsidRPr="005675B0">
        <w:tab/>
        <w:t>(i)</w:t>
      </w:r>
      <w:r w:rsidRPr="005675B0">
        <w:tab/>
        <w:t>in documents in the possession of the Panel relating to the proceedings; or</w:t>
      </w:r>
    </w:p>
    <w:p w:rsidR="00F66E20" w:rsidRPr="005675B0" w:rsidRDefault="00F66E20" w:rsidP="00970EC1">
      <w:pPr>
        <w:pStyle w:val="paragraphsub"/>
      </w:pPr>
      <w:r w:rsidRPr="005675B0">
        <w:tab/>
        <w:t>(ii)</w:t>
      </w:r>
      <w:r w:rsidRPr="005675B0">
        <w:tab/>
        <w:t>made orally to the Panel; or</w:t>
      </w:r>
    </w:p>
    <w:p w:rsidR="00F66E20" w:rsidRPr="005675B0" w:rsidRDefault="00F66E20" w:rsidP="00970EC1">
      <w:pPr>
        <w:pStyle w:val="paragraph"/>
      </w:pPr>
      <w:r w:rsidRPr="005675B0">
        <w:tab/>
        <w:t>(c)</w:t>
      </w:r>
      <w:r w:rsidRPr="005675B0">
        <w:tab/>
        <w:t>otherwise inform itself on matters relating to the proceedings.</w:t>
      </w:r>
    </w:p>
    <w:p w:rsidR="00F66E20" w:rsidRPr="005675B0" w:rsidRDefault="00F66E20" w:rsidP="00970EC1">
      <w:pPr>
        <w:pStyle w:val="subsection"/>
      </w:pPr>
      <w:r w:rsidRPr="005675B0">
        <w:tab/>
        <w:t>(2)</w:t>
      </w:r>
      <w:r w:rsidRPr="005675B0">
        <w:tab/>
        <w:t>For the purposes of these Regulations, a conference is taken to be part of Panel proceedings.</w:t>
      </w:r>
    </w:p>
    <w:p w:rsidR="00F66E20" w:rsidRPr="005675B0" w:rsidRDefault="00F66E20" w:rsidP="00970EC1">
      <w:pPr>
        <w:pStyle w:val="ActHead5"/>
      </w:pPr>
      <w:bookmarkStart w:id="54" w:name="_Toc46238182"/>
      <w:r w:rsidRPr="005675B0">
        <w:rPr>
          <w:rStyle w:val="CharSectno"/>
        </w:rPr>
        <w:t>37</w:t>
      </w:r>
      <w:r w:rsidR="00970EC1" w:rsidRPr="005675B0">
        <w:t xml:space="preserve">  </w:t>
      </w:r>
      <w:r w:rsidRPr="005675B0">
        <w:t>Conduct of conferences</w:t>
      </w:r>
      <w:bookmarkEnd w:id="54"/>
    </w:p>
    <w:p w:rsidR="00F66E20" w:rsidRPr="005675B0" w:rsidRDefault="00F66E20" w:rsidP="00970EC1">
      <w:pPr>
        <w:pStyle w:val="subsection"/>
      </w:pPr>
      <w:r w:rsidRPr="005675B0">
        <w:tab/>
        <w:t>(1)</w:t>
      </w:r>
      <w:r w:rsidRPr="005675B0">
        <w:tab/>
        <w:t>The President may convene a conference.</w:t>
      </w:r>
    </w:p>
    <w:p w:rsidR="00F66E20" w:rsidRPr="005675B0" w:rsidRDefault="00F66E20" w:rsidP="00970EC1">
      <w:pPr>
        <w:pStyle w:val="subsection"/>
      </w:pPr>
      <w:r w:rsidRPr="005675B0">
        <w:tab/>
        <w:t>(2)</w:t>
      </w:r>
      <w:r w:rsidRPr="005675B0">
        <w:tab/>
        <w:t>The President:</w:t>
      </w:r>
    </w:p>
    <w:p w:rsidR="00F66E20" w:rsidRPr="005675B0" w:rsidRDefault="00F66E20" w:rsidP="00970EC1">
      <w:pPr>
        <w:pStyle w:val="paragraph"/>
      </w:pPr>
      <w:r w:rsidRPr="005675B0">
        <w:tab/>
        <w:t>(a)</w:t>
      </w:r>
      <w:r w:rsidRPr="005675B0">
        <w:tab/>
        <w:t>must determine the place where, and the time when, a conference is to convene; and</w:t>
      </w:r>
    </w:p>
    <w:p w:rsidR="00F66E20" w:rsidRPr="005675B0" w:rsidRDefault="00F66E20" w:rsidP="00970EC1">
      <w:pPr>
        <w:pStyle w:val="paragraph"/>
      </w:pPr>
      <w:r w:rsidRPr="005675B0">
        <w:tab/>
        <w:t>(b)</w:t>
      </w:r>
      <w:r w:rsidRPr="005675B0">
        <w:tab/>
        <w:t>must give written notice of that time and place to each party.</w:t>
      </w:r>
    </w:p>
    <w:p w:rsidR="009A4D9E" w:rsidRPr="005675B0" w:rsidRDefault="009A4D9E" w:rsidP="009A4D9E">
      <w:pPr>
        <w:pStyle w:val="subsection"/>
      </w:pPr>
      <w:r w:rsidRPr="005675B0">
        <w:tab/>
        <w:t>(3)</w:t>
      </w:r>
      <w:r w:rsidRPr="005675B0">
        <w:tab/>
        <w:t>The President may permit a member of the Panel, a party to the proceedings or a person who may attend a conference to attend the conference by:</w:t>
      </w:r>
    </w:p>
    <w:p w:rsidR="009A4D9E" w:rsidRPr="005675B0" w:rsidRDefault="009A4D9E" w:rsidP="009A4D9E">
      <w:pPr>
        <w:pStyle w:val="paragraph"/>
      </w:pPr>
      <w:r w:rsidRPr="005675B0">
        <w:tab/>
        <w:t>(a)</w:t>
      </w:r>
      <w:r w:rsidRPr="005675B0">
        <w:tab/>
        <w:t>telephone; or</w:t>
      </w:r>
    </w:p>
    <w:p w:rsidR="009A4D9E" w:rsidRPr="005675B0" w:rsidRDefault="009A4D9E" w:rsidP="009A4D9E">
      <w:pPr>
        <w:pStyle w:val="paragraph"/>
      </w:pPr>
      <w:r w:rsidRPr="005675B0">
        <w:tab/>
        <w:t>(b)</w:t>
      </w:r>
      <w:r w:rsidRPr="005675B0">
        <w:tab/>
        <w:t>video conference; or</w:t>
      </w:r>
    </w:p>
    <w:p w:rsidR="009A4D9E" w:rsidRPr="005675B0" w:rsidRDefault="009A4D9E" w:rsidP="009A4D9E">
      <w:pPr>
        <w:pStyle w:val="paragraph"/>
      </w:pPr>
      <w:r w:rsidRPr="005675B0">
        <w:tab/>
        <w:t>(c)</w:t>
      </w:r>
      <w:r w:rsidRPr="005675B0">
        <w:tab/>
        <w:t>any other means of communication approved by the President.</w:t>
      </w:r>
    </w:p>
    <w:p w:rsidR="009A4D9E" w:rsidRPr="005675B0" w:rsidRDefault="009A4D9E" w:rsidP="009A4D9E">
      <w:pPr>
        <w:pStyle w:val="subsection"/>
      </w:pPr>
      <w:r w:rsidRPr="005675B0">
        <w:tab/>
        <w:t>(4)</w:t>
      </w:r>
      <w:r w:rsidRPr="005675B0">
        <w:tab/>
        <w:t>A conference for which permission has been given under subregulation</w:t>
      </w:r>
      <w:r w:rsidR="00091A5B" w:rsidRPr="005675B0">
        <w:t> </w:t>
      </w:r>
      <w:r w:rsidRPr="005675B0">
        <w:t>(3) may be held at 2 or more places at the same time.</w:t>
      </w:r>
    </w:p>
    <w:p w:rsidR="009A4D9E" w:rsidRPr="005675B0" w:rsidRDefault="009A4D9E" w:rsidP="009A4D9E">
      <w:pPr>
        <w:pStyle w:val="subsection"/>
      </w:pPr>
      <w:r w:rsidRPr="005675B0">
        <w:tab/>
        <w:t>(5)</w:t>
      </w:r>
      <w:r w:rsidRPr="005675B0">
        <w:tab/>
        <w:t>A person mentioned in subregulation</w:t>
      </w:r>
      <w:r w:rsidR="00091A5B" w:rsidRPr="005675B0">
        <w:t> </w:t>
      </w:r>
      <w:r w:rsidRPr="005675B0">
        <w:t>(3) who attends a conference in accordance with a permission under that subregulation</w:t>
      </w:r>
      <w:r w:rsidR="00091A5B" w:rsidRPr="005675B0">
        <w:t> </w:t>
      </w:r>
      <w:r w:rsidRPr="005675B0">
        <w:t xml:space="preserve">is taken to be present at the place where, and the time when, the conference is convened, as determined by the President for </w:t>
      </w:r>
      <w:r w:rsidR="005675B0">
        <w:t>paragraph (</w:t>
      </w:r>
      <w:r w:rsidRPr="005675B0">
        <w:t>2)(a).</w:t>
      </w:r>
    </w:p>
    <w:p w:rsidR="00F66E20" w:rsidRPr="005675B0" w:rsidRDefault="00F66E20" w:rsidP="00970EC1">
      <w:pPr>
        <w:pStyle w:val="ActHead5"/>
      </w:pPr>
      <w:bookmarkStart w:id="55" w:name="_Toc46238183"/>
      <w:r w:rsidRPr="005675B0">
        <w:rPr>
          <w:rStyle w:val="CharSectno"/>
        </w:rPr>
        <w:t>38</w:t>
      </w:r>
      <w:r w:rsidR="00970EC1" w:rsidRPr="005675B0">
        <w:t xml:space="preserve">  </w:t>
      </w:r>
      <w:r w:rsidRPr="005675B0">
        <w:t>Procedures at conferences</w:t>
      </w:r>
      <w:bookmarkEnd w:id="55"/>
    </w:p>
    <w:p w:rsidR="00F66E20" w:rsidRPr="005675B0" w:rsidRDefault="00F66E20" w:rsidP="00970EC1">
      <w:pPr>
        <w:pStyle w:val="subsection"/>
      </w:pPr>
      <w:r w:rsidRPr="005675B0">
        <w:tab/>
        <w:t>(1)</w:t>
      </w:r>
      <w:r w:rsidRPr="005675B0">
        <w:tab/>
        <w:t>As soon as practicable before a conference, the Panel must give to a person who may attend the conference a statement setting out:</w:t>
      </w:r>
    </w:p>
    <w:p w:rsidR="00F66E20" w:rsidRPr="005675B0" w:rsidRDefault="00F66E20" w:rsidP="00970EC1">
      <w:pPr>
        <w:pStyle w:val="paragraph"/>
      </w:pPr>
      <w:r w:rsidRPr="005675B0">
        <w:tab/>
        <w:t>(a)</w:t>
      </w:r>
      <w:r w:rsidRPr="005675B0">
        <w:tab/>
        <w:t>the matters which the Panel proposes to raise at the conference; and</w:t>
      </w:r>
    </w:p>
    <w:p w:rsidR="00F66E20" w:rsidRPr="005675B0" w:rsidRDefault="00F66E20" w:rsidP="00970EC1">
      <w:pPr>
        <w:pStyle w:val="paragraph"/>
      </w:pPr>
      <w:r w:rsidRPr="005675B0">
        <w:tab/>
        <w:t>(b)</w:t>
      </w:r>
      <w:r w:rsidRPr="005675B0">
        <w:tab/>
        <w:t>any other matter of which the Panel wishes the person to be aware for the purposes of the conference.</w:t>
      </w:r>
    </w:p>
    <w:p w:rsidR="00F66E20" w:rsidRPr="005675B0" w:rsidRDefault="00F66E20" w:rsidP="00970EC1">
      <w:pPr>
        <w:pStyle w:val="subsection"/>
      </w:pPr>
      <w:r w:rsidRPr="005675B0">
        <w:lastRenderedPageBreak/>
        <w:tab/>
        <w:t>(2)</w:t>
      </w:r>
      <w:r w:rsidRPr="005675B0">
        <w:tab/>
        <w:t>At a conference with a person, the Panel is not obliged to consider matters that are not set out in the statement given to the person before the conference.</w:t>
      </w:r>
    </w:p>
    <w:p w:rsidR="00F66E20" w:rsidRPr="005675B0" w:rsidRDefault="00F66E20" w:rsidP="00970EC1">
      <w:pPr>
        <w:pStyle w:val="subsection"/>
      </w:pPr>
      <w:r w:rsidRPr="005675B0">
        <w:tab/>
        <w:t>(3)</w:t>
      </w:r>
      <w:r w:rsidRPr="005675B0">
        <w:tab/>
        <w:t xml:space="preserve">The Panel </w:t>
      </w:r>
      <w:r w:rsidR="009A4D9E" w:rsidRPr="005675B0">
        <w:t>may make</w:t>
      </w:r>
      <w:r w:rsidRPr="005675B0">
        <w:t xml:space="preserve"> and retain a transcript of the proceedings of a conference.</w:t>
      </w:r>
    </w:p>
    <w:p w:rsidR="00F66E20" w:rsidRPr="005675B0" w:rsidRDefault="00F66E20" w:rsidP="00970EC1">
      <w:pPr>
        <w:pStyle w:val="subsection"/>
      </w:pPr>
      <w:r w:rsidRPr="005675B0">
        <w:tab/>
        <w:t>(4)</w:t>
      </w:r>
      <w:r w:rsidRPr="005675B0">
        <w:tab/>
        <w:t>If a person who may attend a conference does not attend:</w:t>
      </w:r>
    </w:p>
    <w:p w:rsidR="00F66E20" w:rsidRPr="005675B0" w:rsidRDefault="00F66E20" w:rsidP="00970EC1">
      <w:pPr>
        <w:pStyle w:val="paragraph"/>
      </w:pPr>
      <w:r w:rsidRPr="005675B0">
        <w:tab/>
        <w:t>(a)</w:t>
      </w:r>
      <w:r w:rsidRPr="005675B0">
        <w:tab/>
        <w:t>the Panel may conduct the conference in the absence of the person; and</w:t>
      </w:r>
    </w:p>
    <w:p w:rsidR="00F66E20" w:rsidRPr="005675B0" w:rsidRDefault="00F66E20" w:rsidP="00970EC1">
      <w:pPr>
        <w:pStyle w:val="paragraph"/>
      </w:pPr>
      <w:r w:rsidRPr="005675B0">
        <w:tab/>
        <w:t>(b)</w:t>
      </w:r>
      <w:r w:rsidRPr="005675B0">
        <w:tab/>
        <w:t>the person may, before the day on which the conference begins, lodge with the Panel any written submission that addresses the matters set out in the statement mentioned in subregulation</w:t>
      </w:r>
      <w:r w:rsidR="00091A5B" w:rsidRPr="005675B0">
        <w:t> </w:t>
      </w:r>
      <w:r w:rsidRPr="005675B0">
        <w:t>(1); and</w:t>
      </w:r>
    </w:p>
    <w:p w:rsidR="00F66E20" w:rsidRPr="005675B0" w:rsidRDefault="00F66E20" w:rsidP="00970EC1">
      <w:pPr>
        <w:pStyle w:val="paragraph"/>
      </w:pPr>
      <w:r w:rsidRPr="005675B0">
        <w:tab/>
        <w:t>(c)</w:t>
      </w:r>
      <w:r w:rsidRPr="005675B0">
        <w:tab/>
        <w:t>the Panel must consider the submission in the proceedings.</w:t>
      </w:r>
    </w:p>
    <w:p w:rsidR="00F66E20" w:rsidRPr="005675B0" w:rsidRDefault="00F66E20" w:rsidP="00970EC1">
      <w:pPr>
        <w:pStyle w:val="ActHead5"/>
      </w:pPr>
      <w:bookmarkStart w:id="56" w:name="_Toc46238184"/>
      <w:r w:rsidRPr="005675B0">
        <w:rPr>
          <w:rStyle w:val="CharSectno"/>
        </w:rPr>
        <w:t>39</w:t>
      </w:r>
      <w:r w:rsidR="00970EC1" w:rsidRPr="005675B0">
        <w:t xml:space="preserve">  </w:t>
      </w:r>
      <w:r w:rsidRPr="005675B0">
        <w:t>Addresses to the Panel at conferences</w:t>
      </w:r>
      <w:bookmarkEnd w:id="56"/>
    </w:p>
    <w:p w:rsidR="00F66E20" w:rsidRPr="005675B0" w:rsidRDefault="00F66E20" w:rsidP="00970EC1">
      <w:pPr>
        <w:pStyle w:val="subsection"/>
      </w:pPr>
      <w:r w:rsidRPr="005675B0">
        <w:tab/>
        <w:t>(1)</w:t>
      </w:r>
      <w:r w:rsidRPr="005675B0">
        <w:tab/>
        <w:t>A person who attends a conference may address the Panel.</w:t>
      </w:r>
    </w:p>
    <w:p w:rsidR="00F66E20" w:rsidRPr="005675B0" w:rsidRDefault="00F66E20" w:rsidP="00970EC1">
      <w:pPr>
        <w:pStyle w:val="subsection"/>
      </w:pPr>
      <w:r w:rsidRPr="005675B0">
        <w:tab/>
        <w:t>(2)</w:t>
      </w:r>
      <w:r w:rsidRPr="005675B0">
        <w:tab/>
        <w:t>Subject to subregulation</w:t>
      </w:r>
      <w:r w:rsidR="00091A5B" w:rsidRPr="005675B0">
        <w:t> </w:t>
      </w:r>
      <w:r w:rsidRPr="005675B0">
        <w:t>(3), the address of a person to the Panel must only deal with matters set out in the statement given by the Panel under subregulation</w:t>
      </w:r>
      <w:r w:rsidR="005675B0">
        <w:t> </w:t>
      </w:r>
      <w:r w:rsidRPr="005675B0">
        <w:t>38(1) for the purposes of the conference.</w:t>
      </w:r>
    </w:p>
    <w:p w:rsidR="00F66E20" w:rsidRPr="005675B0" w:rsidRDefault="00F66E20" w:rsidP="00970EC1">
      <w:pPr>
        <w:pStyle w:val="subsection"/>
      </w:pPr>
      <w:r w:rsidRPr="005675B0">
        <w:tab/>
        <w:t>(3)</w:t>
      </w:r>
      <w:r w:rsidRPr="005675B0">
        <w:tab/>
        <w:t>If the Panel invites a person at a conference to address the Panel on a matter, the person may address the Panel on the matter at the conference.</w:t>
      </w:r>
    </w:p>
    <w:p w:rsidR="00F66E20" w:rsidRPr="005675B0" w:rsidRDefault="00F66E20" w:rsidP="00970EC1">
      <w:pPr>
        <w:pStyle w:val="ActHead5"/>
      </w:pPr>
      <w:bookmarkStart w:id="57" w:name="_Toc46238185"/>
      <w:r w:rsidRPr="005675B0">
        <w:rPr>
          <w:rStyle w:val="CharSectno"/>
        </w:rPr>
        <w:t>40</w:t>
      </w:r>
      <w:r w:rsidR="00970EC1" w:rsidRPr="005675B0">
        <w:t xml:space="preserve">  </w:t>
      </w:r>
      <w:r w:rsidRPr="005675B0">
        <w:t>Witnesses</w:t>
      </w:r>
      <w:bookmarkEnd w:id="57"/>
    </w:p>
    <w:p w:rsidR="00F66E20" w:rsidRPr="005675B0" w:rsidRDefault="00F66E20" w:rsidP="00970EC1">
      <w:pPr>
        <w:pStyle w:val="subsection"/>
      </w:pPr>
      <w:r w:rsidRPr="005675B0">
        <w:tab/>
        <w:t>(1)</w:t>
      </w:r>
      <w:r w:rsidRPr="005675B0">
        <w:tab/>
        <w:t>At a conference, a person must not ask a witness about a matter unless it is a matter on which the person may address the Panel in accordance with regulation</w:t>
      </w:r>
      <w:r w:rsidR="005675B0">
        <w:t> </w:t>
      </w:r>
      <w:r w:rsidRPr="005675B0">
        <w:t>39.</w:t>
      </w:r>
    </w:p>
    <w:p w:rsidR="00F66E20" w:rsidRPr="005675B0" w:rsidRDefault="00F66E20" w:rsidP="00970EC1">
      <w:pPr>
        <w:pStyle w:val="subsection"/>
      </w:pPr>
      <w:r w:rsidRPr="005675B0">
        <w:tab/>
        <w:t>(2)</w:t>
      </w:r>
      <w:r w:rsidRPr="005675B0">
        <w:tab/>
        <w:t>A witness must not make a statement on a matter at a conference unless it is a matter on which the witness, or the person who called the witness to give evidence, may address the Panel in accordance with regulation</w:t>
      </w:r>
      <w:r w:rsidR="005675B0">
        <w:t> </w:t>
      </w:r>
      <w:r w:rsidRPr="005675B0">
        <w:t>39.</w:t>
      </w:r>
    </w:p>
    <w:p w:rsidR="00F66E20" w:rsidRPr="005675B0" w:rsidRDefault="00F66E20" w:rsidP="00970EC1">
      <w:pPr>
        <w:pStyle w:val="ActHead5"/>
      </w:pPr>
      <w:bookmarkStart w:id="58" w:name="_Toc46238186"/>
      <w:r w:rsidRPr="005675B0">
        <w:rPr>
          <w:rStyle w:val="CharSectno"/>
        </w:rPr>
        <w:t>41</w:t>
      </w:r>
      <w:r w:rsidR="00970EC1" w:rsidRPr="005675B0">
        <w:t xml:space="preserve">  </w:t>
      </w:r>
      <w:r w:rsidRPr="005675B0">
        <w:t>Misbehaviour at conferences</w:t>
      </w:r>
      <w:bookmarkEnd w:id="58"/>
    </w:p>
    <w:p w:rsidR="00F66E20" w:rsidRPr="005675B0" w:rsidRDefault="00F66E20" w:rsidP="00970EC1">
      <w:pPr>
        <w:pStyle w:val="subsection"/>
      </w:pPr>
      <w:r w:rsidRPr="005675B0">
        <w:tab/>
      </w:r>
      <w:r w:rsidRPr="005675B0">
        <w:tab/>
        <w:t>The Panel may exclude from a conference a person whose behaviour has a disruptive effect on the conference.</w:t>
      </w:r>
    </w:p>
    <w:p w:rsidR="00F66E20" w:rsidRPr="005675B0" w:rsidRDefault="00970EC1" w:rsidP="00DE27A5">
      <w:pPr>
        <w:pStyle w:val="ActHead3"/>
        <w:pageBreakBefore/>
      </w:pPr>
      <w:bookmarkStart w:id="59" w:name="_Toc46238187"/>
      <w:r w:rsidRPr="005675B0">
        <w:rPr>
          <w:rStyle w:val="CharDivNo"/>
        </w:rPr>
        <w:lastRenderedPageBreak/>
        <w:t>Division</w:t>
      </w:r>
      <w:r w:rsidR="005675B0" w:rsidRPr="005675B0">
        <w:rPr>
          <w:rStyle w:val="CharDivNo"/>
        </w:rPr>
        <w:t> </w:t>
      </w:r>
      <w:r w:rsidR="00F66E20" w:rsidRPr="005675B0">
        <w:rPr>
          <w:rStyle w:val="CharDivNo"/>
        </w:rPr>
        <w:t>6</w:t>
      </w:r>
      <w:r w:rsidRPr="005675B0">
        <w:t>—</w:t>
      </w:r>
      <w:r w:rsidR="00F66E20" w:rsidRPr="005675B0">
        <w:rPr>
          <w:rStyle w:val="CharDivText"/>
        </w:rPr>
        <w:t>Other matters</w:t>
      </w:r>
      <w:bookmarkEnd w:id="59"/>
    </w:p>
    <w:p w:rsidR="00F66E20" w:rsidRPr="005675B0" w:rsidRDefault="00F66E20" w:rsidP="00970EC1">
      <w:pPr>
        <w:pStyle w:val="ActHead5"/>
      </w:pPr>
      <w:bookmarkStart w:id="60" w:name="_Toc46238188"/>
      <w:r w:rsidRPr="005675B0">
        <w:rPr>
          <w:rStyle w:val="CharSectno"/>
        </w:rPr>
        <w:t>42</w:t>
      </w:r>
      <w:r w:rsidR="00970EC1" w:rsidRPr="005675B0">
        <w:t xml:space="preserve">  </w:t>
      </w:r>
      <w:r w:rsidRPr="005675B0">
        <w:t>Summons to witnesses by the Panel</w:t>
      </w:r>
      <w:bookmarkEnd w:id="60"/>
    </w:p>
    <w:p w:rsidR="00F66E20" w:rsidRPr="005675B0" w:rsidRDefault="00F66E20" w:rsidP="00970EC1">
      <w:pPr>
        <w:pStyle w:val="subsection"/>
      </w:pPr>
      <w:r w:rsidRPr="005675B0">
        <w:tab/>
      </w:r>
      <w:r w:rsidRPr="005675B0">
        <w:tab/>
        <w:t>For subsection</w:t>
      </w:r>
      <w:r w:rsidR="005675B0">
        <w:t> </w:t>
      </w:r>
      <w:r w:rsidRPr="005675B0">
        <w:t xml:space="preserve">192(1) of the Act (which provides for the summons of a person by the Panel), </w:t>
      </w:r>
      <w:r w:rsidR="00970EC1" w:rsidRPr="005675B0">
        <w:t>Form</w:t>
      </w:r>
      <w:r w:rsidR="002B1B6B" w:rsidRPr="005675B0">
        <w:t xml:space="preserve"> </w:t>
      </w:r>
      <w:r w:rsidRPr="005675B0">
        <w:t>3 is prescribed.</w:t>
      </w:r>
    </w:p>
    <w:p w:rsidR="00F66E20" w:rsidRPr="005675B0" w:rsidRDefault="00F66E20" w:rsidP="00970EC1">
      <w:pPr>
        <w:pStyle w:val="ActHead5"/>
      </w:pPr>
      <w:bookmarkStart w:id="61" w:name="_Toc46238189"/>
      <w:r w:rsidRPr="005675B0">
        <w:rPr>
          <w:rStyle w:val="CharSectno"/>
        </w:rPr>
        <w:t>43</w:t>
      </w:r>
      <w:r w:rsidR="00970EC1" w:rsidRPr="005675B0">
        <w:t xml:space="preserve">  </w:t>
      </w:r>
      <w:r w:rsidRPr="005675B0">
        <w:t>Allowances and expenses payable for attendances</w:t>
      </w:r>
      <w:bookmarkEnd w:id="61"/>
    </w:p>
    <w:p w:rsidR="00F66E20" w:rsidRPr="005675B0" w:rsidRDefault="00F66E20" w:rsidP="00970EC1">
      <w:pPr>
        <w:pStyle w:val="subsection"/>
      </w:pPr>
      <w:r w:rsidRPr="005675B0">
        <w:tab/>
      </w:r>
      <w:r w:rsidRPr="005675B0">
        <w:tab/>
        <w:t>For subsection</w:t>
      </w:r>
      <w:r w:rsidR="005675B0">
        <w:t> </w:t>
      </w:r>
      <w:r w:rsidRPr="005675B0">
        <w:t>192(6) of the Act (which provides for allowances and expenses to be paid in relation to Panel proceedings), a person who appears at Panel proceedings in response to a summons issued under section</w:t>
      </w:r>
      <w:r w:rsidR="005675B0">
        <w:t> </w:t>
      </w:r>
      <w:r w:rsidRPr="005675B0">
        <w:t>192 of the Act is entitled to be paid allowances and expenses in accordance with Schedule</w:t>
      </w:r>
      <w:r w:rsidR="005675B0">
        <w:t> </w:t>
      </w:r>
      <w:r w:rsidRPr="005675B0">
        <w:t>2.</w:t>
      </w:r>
    </w:p>
    <w:p w:rsidR="00F66E20" w:rsidRPr="005675B0" w:rsidRDefault="00970EC1" w:rsidP="00DE27A5">
      <w:pPr>
        <w:pStyle w:val="ActHead2"/>
        <w:pageBreakBefore/>
      </w:pPr>
      <w:bookmarkStart w:id="62" w:name="_Toc46238190"/>
      <w:r w:rsidRPr="005675B0">
        <w:rPr>
          <w:rStyle w:val="CharPartNo"/>
        </w:rPr>
        <w:lastRenderedPageBreak/>
        <w:t>Part</w:t>
      </w:r>
      <w:r w:rsidR="005675B0" w:rsidRPr="005675B0">
        <w:rPr>
          <w:rStyle w:val="CharPartNo"/>
        </w:rPr>
        <w:t> </w:t>
      </w:r>
      <w:r w:rsidR="00F66E20" w:rsidRPr="005675B0">
        <w:rPr>
          <w:rStyle w:val="CharPartNo"/>
        </w:rPr>
        <w:t>5</w:t>
      </w:r>
      <w:r w:rsidRPr="005675B0">
        <w:t>—</w:t>
      </w:r>
      <w:r w:rsidR="00F66E20" w:rsidRPr="005675B0">
        <w:rPr>
          <w:rStyle w:val="CharPartText"/>
        </w:rPr>
        <w:t>Clearing and settlement facilities</w:t>
      </w:r>
      <w:bookmarkEnd w:id="62"/>
    </w:p>
    <w:p w:rsidR="00F66E20" w:rsidRPr="005675B0" w:rsidRDefault="00DE27A5" w:rsidP="00F66E20">
      <w:pPr>
        <w:pStyle w:val="Header"/>
      </w:pPr>
      <w:r w:rsidRPr="005675B0">
        <w:rPr>
          <w:rStyle w:val="CharDivNo"/>
        </w:rPr>
        <w:t xml:space="preserve"> </w:t>
      </w:r>
      <w:r w:rsidRPr="005675B0">
        <w:rPr>
          <w:rStyle w:val="CharDivText"/>
        </w:rPr>
        <w:t xml:space="preserve"> </w:t>
      </w:r>
    </w:p>
    <w:p w:rsidR="00F66E20" w:rsidRPr="005675B0" w:rsidRDefault="00F66E20" w:rsidP="00970EC1">
      <w:pPr>
        <w:pStyle w:val="ActHead5"/>
      </w:pPr>
      <w:bookmarkStart w:id="63" w:name="_Toc46238191"/>
      <w:r w:rsidRPr="005675B0">
        <w:rPr>
          <w:rStyle w:val="CharSectno"/>
        </w:rPr>
        <w:t>45</w:t>
      </w:r>
      <w:r w:rsidR="00970EC1" w:rsidRPr="005675B0">
        <w:t xml:space="preserve">  </w:t>
      </w:r>
      <w:r w:rsidRPr="005675B0">
        <w:t xml:space="preserve">Meaning of </w:t>
      </w:r>
      <w:r w:rsidRPr="005675B0">
        <w:rPr>
          <w:i/>
        </w:rPr>
        <w:t>clearing and settlement facility</w:t>
      </w:r>
      <w:bookmarkEnd w:id="63"/>
    </w:p>
    <w:p w:rsidR="00F66E20" w:rsidRPr="005675B0" w:rsidRDefault="00F66E20" w:rsidP="00970EC1">
      <w:pPr>
        <w:pStyle w:val="subsection"/>
      </w:pPr>
      <w:r w:rsidRPr="005675B0">
        <w:tab/>
      </w:r>
      <w:r w:rsidRPr="005675B0">
        <w:tab/>
        <w:t>For paragraph</w:t>
      </w:r>
      <w:r w:rsidR="005675B0">
        <w:t> </w:t>
      </w:r>
      <w:r w:rsidRPr="005675B0">
        <w:t>12BAB(17</w:t>
      </w:r>
      <w:r w:rsidR="00970EC1" w:rsidRPr="005675B0">
        <w:t>)(</w:t>
      </w:r>
      <w:r w:rsidRPr="005675B0">
        <w:t>b) of the Act, the following obligations are prescribed:</w:t>
      </w:r>
    </w:p>
    <w:p w:rsidR="00F66E20" w:rsidRPr="005675B0" w:rsidRDefault="00F66E20" w:rsidP="00970EC1">
      <w:pPr>
        <w:pStyle w:val="paragraph"/>
      </w:pPr>
      <w:r w:rsidRPr="005675B0">
        <w:rPr>
          <w:color w:val="000000"/>
        </w:rPr>
        <w:tab/>
        <w:t>(a)</w:t>
      </w:r>
      <w:r w:rsidRPr="005675B0">
        <w:rPr>
          <w:color w:val="000000"/>
        </w:rPr>
        <w:tab/>
        <w:t>each obligation arising from a contract to transfer a financial product mentioned in paragraph</w:t>
      </w:r>
      <w:r w:rsidR="005675B0">
        <w:rPr>
          <w:color w:val="000000"/>
        </w:rPr>
        <w:t> </w:t>
      </w:r>
      <w:r w:rsidRPr="005675B0">
        <w:rPr>
          <w:color w:val="000000"/>
        </w:rPr>
        <w:t>764A(1</w:t>
      </w:r>
      <w:r w:rsidR="00970EC1" w:rsidRPr="005675B0">
        <w:rPr>
          <w:color w:val="000000"/>
        </w:rPr>
        <w:t>)(</w:t>
      </w:r>
      <w:r w:rsidRPr="005675B0">
        <w:rPr>
          <w:color w:val="000000"/>
        </w:rPr>
        <w:t>a) of the Corporations Act;</w:t>
      </w:r>
    </w:p>
    <w:p w:rsidR="00F66E20" w:rsidRPr="005675B0" w:rsidRDefault="00F66E20" w:rsidP="00970EC1">
      <w:pPr>
        <w:pStyle w:val="paragraph"/>
      </w:pPr>
      <w:r w:rsidRPr="005675B0">
        <w:tab/>
        <w:t>(b)</w:t>
      </w:r>
      <w:r w:rsidRPr="005675B0">
        <w:tab/>
        <w:t>each obligation arising from a contract to transfer a financial product mentioned in paragraph</w:t>
      </w:r>
      <w:r w:rsidR="005675B0">
        <w:t> </w:t>
      </w:r>
      <w:r w:rsidRPr="005675B0">
        <w:t>764A(1</w:t>
      </w:r>
      <w:r w:rsidR="00970EC1" w:rsidRPr="005675B0">
        <w:t>)(</w:t>
      </w:r>
      <w:r w:rsidRPr="005675B0">
        <w:t>b) of the Corporations Act;</w:t>
      </w:r>
    </w:p>
    <w:p w:rsidR="00790E0E" w:rsidRPr="005675B0" w:rsidRDefault="00790E0E" w:rsidP="00790E0E">
      <w:pPr>
        <w:pStyle w:val="paragraph"/>
      </w:pPr>
      <w:r w:rsidRPr="005675B0">
        <w:tab/>
        <w:t>(ba)</w:t>
      </w:r>
      <w:r w:rsidRPr="005675B0">
        <w:tab/>
        <w:t>each obligation arising from a contract to transfer a financial product mentioned in paragraph</w:t>
      </w:r>
      <w:r w:rsidR="005675B0">
        <w:t> </w:t>
      </w:r>
      <w:r w:rsidRPr="005675B0">
        <w:t>764A(1)(bb) of the Corporations Act;</w:t>
      </w:r>
    </w:p>
    <w:p w:rsidR="00F66E20" w:rsidRPr="005675B0" w:rsidRDefault="00F66E20" w:rsidP="00970EC1">
      <w:pPr>
        <w:pStyle w:val="paragraph"/>
      </w:pPr>
      <w:r w:rsidRPr="005675B0">
        <w:tab/>
        <w:t>(c)</w:t>
      </w:r>
      <w:r w:rsidRPr="005675B0">
        <w:tab/>
        <w:t>each obligation arising from acquiring or providing a financial product mentioned in paragraph</w:t>
      </w:r>
      <w:r w:rsidR="005675B0">
        <w:t> </w:t>
      </w:r>
      <w:r w:rsidRPr="005675B0">
        <w:t>764A(1</w:t>
      </w:r>
      <w:r w:rsidR="00970EC1" w:rsidRPr="005675B0">
        <w:t>)(</w:t>
      </w:r>
      <w:r w:rsidRPr="005675B0">
        <w:t>c) of the Corporations Act;</w:t>
      </w:r>
    </w:p>
    <w:p w:rsidR="00F66E20" w:rsidRPr="005675B0" w:rsidRDefault="00F66E20" w:rsidP="00970EC1">
      <w:pPr>
        <w:pStyle w:val="paragraph"/>
      </w:pPr>
      <w:r w:rsidRPr="005675B0">
        <w:tab/>
        <w:t>(d)</w:t>
      </w:r>
      <w:r w:rsidRPr="005675B0">
        <w:tab/>
        <w:t>each obligation arising from a contract to transfer a financial product mentioned in paragraph</w:t>
      </w:r>
      <w:r w:rsidR="005675B0">
        <w:t> </w:t>
      </w:r>
      <w:r w:rsidRPr="005675B0">
        <w:t>764A(1</w:t>
      </w:r>
      <w:r w:rsidR="00970EC1" w:rsidRPr="005675B0">
        <w:t>)(</w:t>
      </w:r>
      <w:r w:rsidRPr="005675B0">
        <w:t>j) of the Corporations Act;</w:t>
      </w:r>
    </w:p>
    <w:p w:rsidR="00F66E20" w:rsidRPr="005675B0" w:rsidRDefault="00F66E20" w:rsidP="00970EC1">
      <w:pPr>
        <w:pStyle w:val="paragraph"/>
      </w:pPr>
      <w:r w:rsidRPr="005675B0">
        <w:tab/>
        <w:t>(e)</w:t>
      </w:r>
      <w:r w:rsidRPr="005675B0">
        <w:tab/>
        <w:t>each obligation arising from a contract to transfer a financial product mentioned in paragraph</w:t>
      </w:r>
      <w:r w:rsidR="005675B0">
        <w:t> </w:t>
      </w:r>
      <w:r w:rsidRPr="005675B0">
        <w:t>764A(1</w:t>
      </w:r>
      <w:r w:rsidR="00970EC1" w:rsidRPr="005675B0">
        <w:t>)(</w:t>
      </w:r>
      <w:r w:rsidRPr="005675B0">
        <w:t xml:space="preserve">ba) of the Corporations </w:t>
      </w:r>
      <w:r w:rsidR="00D55C02" w:rsidRPr="005675B0">
        <w:t>Act;</w:t>
      </w:r>
    </w:p>
    <w:p w:rsidR="00D55C02" w:rsidRPr="005675B0" w:rsidRDefault="00D55C02" w:rsidP="00970EC1">
      <w:pPr>
        <w:pStyle w:val="paragraph"/>
      </w:pPr>
      <w:r w:rsidRPr="005675B0">
        <w:tab/>
        <w:t>(f)</w:t>
      </w:r>
      <w:r w:rsidRPr="005675B0">
        <w:tab/>
        <w:t>each obligation arising from a contract to transfer a carbon unit, an Australian carbon credit unit or an eligible international emissions unit.</w:t>
      </w:r>
    </w:p>
    <w:p w:rsidR="00F66E20" w:rsidRPr="005675B0" w:rsidRDefault="00F66E20" w:rsidP="00970EC1">
      <w:pPr>
        <w:pStyle w:val="ActHead5"/>
      </w:pPr>
      <w:bookmarkStart w:id="64" w:name="_Toc46238192"/>
      <w:r w:rsidRPr="005675B0">
        <w:rPr>
          <w:rStyle w:val="CharSectno"/>
        </w:rPr>
        <w:t>46</w:t>
      </w:r>
      <w:r w:rsidR="00970EC1" w:rsidRPr="005675B0">
        <w:t xml:space="preserve">  </w:t>
      </w:r>
      <w:r w:rsidRPr="005675B0">
        <w:t>Conduct that does not constitute operating a clearing and settlement facility</w:t>
      </w:r>
      <w:bookmarkEnd w:id="64"/>
    </w:p>
    <w:p w:rsidR="00F66E20" w:rsidRPr="005675B0" w:rsidRDefault="00F66E20" w:rsidP="00970EC1">
      <w:pPr>
        <w:pStyle w:val="subsection"/>
      </w:pPr>
      <w:r w:rsidRPr="005675B0">
        <w:tab/>
        <w:t>(2)</w:t>
      </w:r>
      <w:r w:rsidRPr="005675B0">
        <w:tab/>
        <w:t>For paragraph</w:t>
      </w:r>
      <w:r w:rsidR="005675B0">
        <w:t> </w:t>
      </w:r>
      <w:r w:rsidRPr="005675B0">
        <w:t>12BAB(18</w:t>
      </w:r>
      <w:r w:rsidR="00970EC1" w:rsidRPr="005675B0">
        <w:t>)(</w:t>
      </w:r>
      <w:r w:rsidRPr="005675B0">
        <w:t>i) of the Act, the conduct of:</w:t>
      </w:r>
    </w:p>
    <w:p w:rsidR="00F66E20" w:rsidRPr="005675B0" w:rsidRDefault="00F66E20" w:rsidP="00970EC1">
      <w:pPr>
        <w:pStyle w:val="paragraph"/>
      </w:pPr>
      <w:r w:rsidRPr="005675B0">
        <w:rPr>
          <w:color w:val="000000"/>
        </w:rPr>
        <w:tab/>
        <w:t>(a)</w:t>
      </w:r>
      <w:r w:rsidRPr="005675B0">
        <w:rPr>
          <w:color w:val="000000"/>
        </w:rPr>
        <w:tab/>
      </w:r>
      <w:r w:rsidRPr="005675B0">
        <w:t>National Stock Exchange of Australia Limited,</w:t>
      </w:r>
      <w:r w:rsidRPr="005675B0">
        <w:rPr>
          <w:color w:val="000000"/>
        </w:rPr>
        <w:t xml:space="preserve"> or an agent of that body; or</w:t>
      </w:r>
    </w:p>
    <w:p w:rsidR="00F66E20" w:rsidRPr="005675B0" w:rsidRDefault="00F66E20" w:rsidP="00970EC1">
      <w:pPr>
        <w:pStyle w:val="paragraph"/>
      </w:pPr>
      <w:r w:rsidRPr="005675B0">
        <w:tab/>
        <w:t>(b)</w:t>
      </w:r>
      <w:r w:rsidRPr="005675B0">
        <w:tab/>
        <w:t>a participant of the National Stock Exchange of Australia Limited, or an agent of the participant; or</w:t>
      </w:r>
    </w:p>
    <w:p w:rsidR="00F66E20" w:rsidRPr="005675B0" w:rsidRDefault="00F66E20" w:rsidP="00970EC1">
      <w:pPr>
        <w:pStyle w:val="paragraph"/>
      </w:pPr>
      <w:r w:rsidRPr="005675B0">
        <w:tab/>
        <w:t>(c)</w:t>
      </w:r>
      <w:r w:rsidRPr="005675B0">
        <w:tab/>
        <w:t>Bendigo Stock Exchange Limited, or an agent of that body; or</w:t>
      </w:r>
    </w:p>
    <w:p w:rsidR="00F66E20" w:rsidRPr="005675B0" w:rsidRDefault="00F66E20" w:rsidP="00970EC1">
      <w:pPr>
        <w:pStyle w:val="paragraph"/>
      </w:pPr>
      <w:r w:rsidRPr="005675B0">
        <w:tab/>
        <w:t>(d)</w:t>
      </w:r>
      <w:r w:rsidRPr="005675B0">
        <w:tab/>
        <w:t xml:space="preserve">a participant of the Bendigo Stock Exchange Limited, or an agent of the participant; </w:t>
      </w:r>
    </w:p>
    <w:p w:rsidR="00F66E20" w:rsidRPr="005675B0" w:rsidRDefault="00F66E20" w:rsidP="00970EC1">
      <w:pPr>
        <w:pStyle w:val="subsection2"/>
      </w:pPr>
      <w:r w:rsidRPr="005675B0">
        <w:rPr>
          <w:color w:val="000000"/>
        </w:rPr>
        <w:t xml:space="preserve">in operating a facility in accordance with the operating rules of a licensed market does not constitute operating a </w:t>
      </w:r>
      <w:r w:rsidRPr="005675B0">
        <w:rPr>
          <w:b/>
          <w:i/>
          <w:color w:val="000000"/>
        </w:rPr>
        <w:t>clearing and settlement facility</w:t>
      </w:r>
      <w:r w:rsidRPr="005675B0">
        <w:rPr>
          <w:color w:val="000000"/>
        </w:rPr>
        <w:t xml:space="preserve"> if the requirements of subregulation</w:t>
      </w:r>
      <w:r w:rsidR="00091A5B" w:rsidRPr="005675B0">
        <w:rPr>
          <w:color w:val="000000"/>
        </w:rPr>
        <w:t> </w:t>
      </w:r>
      <w:r w:rsidRPr="005675B0">
        <w:rPr>
          <w:color w:val="000000"/>
        </w:rPr>
        <w:t>(3) are met.</w:t>
      </w:r>
    </w:p>
    <w:p w:rsidR="00F66E20" w:rsidRPr="005675B0" w:rsidRDefault="00F66E20" w:rsidP="00970EC1">
      <w:pPr>
        <w:pStyle w:val="subsection"/>
      </w:pPr>
      <w:r w:rsidRPr="005675B0">
        <w:tab/>
        <w:t>(3)</w:t>
      </w:r>
      <w:r w:rsidRPr="005675B0">
        <w:tab/>
        <w:t>For subregulation</w:t>
      </w:r>
      <w:r w:rsidR="00091A5B" w:rsidRPr="005675B0">
        <w:t> </w:t>
      </w:r>
      <w:r w:rsidRPr="005675B0">
        <w:t>(2), the requirements are:</w:t>
      </w:r>
    </w:p>
    <w:p w:rsidR="00F66E20" w:rsidRPr="005675B0" w:rsidRDefault="00F66E20" w:rsidP="00970EC1">
      <w:pPr>
        <w:pStyle w:val="paragraph"/>
      </w:pPr>
      <w:r w:rsidRPr="005675B0">
        <w:rPr>
          <w:color w:val="000000"/>
        </w:rPr>
        <w:tab/>
        <w:t>(a)</w:t>
      </w:r>
      <w:r w:rsidRPr="005675B0">
        <w:rPr>
          <w:color w:val="000000"/>
        </w:rPr>
        <w:tab/>
        <w:t>the market licensee must have, and must be responsible for enforcing, operating rules that apply to a participant of the licensed market in relation to the participant’s obligations arising from transactions carried out on the licensed market; and</w:t>
      </w:r>
    </w:p>
    <w:p w:rsidR="00F66E20" w:rsidRPr="005675B0" w:rsidRDefault="00F66E20" w:rsidP="00970EC1">
      <w:pPr>
        <w:pStyle w:val="paragraph"/>
      </w:pPr>
      <w:r w:rsidRPr="005675B0">
        <w:tab/>
        <w:t>(b)</w:t>
      </w:r>
      <w:r w:rsidRPr="005675B0">
        <w:tab/>
        <w:t xml:space="preserve">a participant mentioned in </w:t>
      </w:r>
      <w:r w:rsidR="005675B0">
        <w:t>paragraph (</w:t>
      </w:r>
      <w:r w:rsidRPr="005675B0">
        <w:t>a), or an agent of the participant, must be responsible for fulfilling the obligations owed to another participant or agent arising from transactions carried out on the licensed market; and</w:t>
      </w:r>
    </w:p>
    <w:p w:rsidR="00F66E20" w:rsidRPr="005675B0" w:rsidRDefault="00F66E20" w:rsidP="00970EC1">
      <w:pPr>
        <w:pStyle w:val="paragraph"/>
      </w:pPr>
      <w:r w:rsidRPr="005675B0">
        <w:tab/>
        <w:t>(c)</w:t>
      </w:r>
      <w:r w:rsidRPr="005675B0">
        <w:tab/>
        <w:t>the market licensee is not the operator of any other clearing and settlement facility; and</w:t>
      </w:r>
    </w:p>
    <w:p w:rsidR="00F66E20" w:rsidRPr="005675B0" w:rsidRDefault="00F66E20" w:rsidP="00970EC1">
      <w:pPr>
        <w:pStyle w:val="paragraph"/>
      </w:pPr>
      <w:r w:rsidRPr="005675B0">
        <w:lastRenderedPageBreak/>
        <w:tab/>
        <w:t>(d)</w:t>
      </w:r>
      <w:r w:rsidRPr="005675B0">
        <w:tab/>
        <w:t>each participant of the licensed market is not the operator of any other clearing and settlement facility; and</w:t>
      </w:r>
    </w:p>
    <w:p w:rsidR="00F66E20" w:rsidRPr="005675B0" w:rsidRDefault="00F66E20" w:rsidP="00970EC1">
      <w:pPr>
        <w:pStyle w:val="paragraph"/>
      </w:pPr>
      <w:r w:rsidRPr="005675B0">
        <w:tab/>
        <w:t>(e)</w:t>
      </w:r>
      <w:r w:rsidRPr="005675B0">
        <w:tab/>
        <w:t>each agent of a participant of the licensed market is not the operator of any other clearing and settlement facility.</w:t>
      </w:r>
    </w:p>
    <w:p w:rsidR="00F66E20" w:rsidRPr="005675B0" w:rsidRDefault="00F66E20" w:rsidP="00970EC1">
      <w:pPr>
        <w:pStyle w:val="ActHead5"/>
      </w:pPr>
      <w:bookmarkStart w:id="65" w:name="_Toc46238193"/>
      <w:r w:rsidRPr="005675B0">
        <w:rPr>
          <w:rStyle w:val="CharSectno"/>
        </w:rPr>
        <w:t>47</w:t>
      </w:r>
      <w:r w:rsidR="00970EC1" w:rsidRPr="005675B0">
        <w:t xml:space="preserve">  </w:t>
      </w:r>
      <w:r w:rsidRPr="005675B0">
        <w:t>Financial transaction reports</w:t>
      </w:r>
      <w:bookmarkEnd w:id="65"/>
    </w:p>
    <w:p w:rsidR="00F66E20" w:rsidRPr="005675B0" w:rsidRDefault="00F66E20" w:rsidP="00970EC1">
      <w:pPr>
        <w:pStyle w:val="subsection"/>
      </w:pPr>
      <w:r w:rsidRPr="005675B0">
        <w:tab/>
      </w:r>
      <w:r w:rsidRPr="005675B0">
        <w:tab/>
        <w:t>For paragraph</w:t>
      </w:r>
      <w:r w:rsidR="005675B0">
        <w:t> </w:t>
      </w:r>
      <w:r w:rsidRPr="005675B0">
        <w:t>243D(j) of the Act, neither subsection</w:t>
      </w:r>
      <w:r w:rsidR="005675B0">
        <w:t> </w:t>
      </w:r>
      <w:r w:rsidRPr="005675B0">
        <w:t xml:space="preserve">16(5A) nor (5AA) of the </w:t>
      </w:r>
      <w:r w:rsidRPr="005675B0">
        <w:rPr>
          <w:i/>
        </w:rPr>
        <w:t>Financial Transaction Reports Act 1988</w:t>
      </w:r>
      <w:r w:rsidRPr="005675B0">
        <w:t xml:space="preserve"> prohibits a cash dealer from communicating or disclosing a fact or information referred to in either of those subsections:</w:t>
      </w:r>
    </w:p>
    <w:p w:rsidR="00F66E20" w:rsidRPr="005675B0" w:rsidRDefault="00F66E20" w:rsidP="00970EC1">
      <w:pPr>
        <w:pStyle w:val="paragraph"/>
      </w:pPr>
      <w:r w:rsidRPr="005675B0">
        <w:tab/>
        <w:t>(a)</w:t>
      </w:r>
      <w:r w:rsidRPr="005675B0">
        <w:tab/>
        <w:t>to a body corporate approved under section</w:t>
      </w:r>
      <w:r w:rsidR="005675B0">
        <w:t> </w:t>
      </w:r>
      <w:r w:rsidRPr="005675B0">
        <w:t xml:space="preserve">770 of the Corporations Act as an approved securities organisation; or </w:t>
      </w:r>
    </w:p>
    <w:p w:rsidR="00F66E20" w:rsidRPr="005675B0" w:rsidRDefault="00F66E20" w:rsidP="00970EC1">
      <w:pPr>
        <w:pStyle w:val="paragraph"/>
      </w:pPr>
      <w:r w:rsidRPr="005675B0">
        <w:tab/>
        <w:t>(b)</w:t>
      </w:r>
      <w:r w:rsidRPr="005675B0">
        <w:tab/>
        <w:t>in accordance with conditions imposed by the Minister when approving under section</w:t>
      </w:r>
      <w:r w:rsidR="005675B0">
        <w:t> </w:t>
      </w:r>
      <w:r w:rsidRPr="005675B0">
        <w:t xml:space="preserve">770A of the Corporations Act a stock market for electronic trading of interests in a registered scheme; or </w:t>
      </w:r>
    </w:p>
    <w:p w:rsidR="00F66E20" w:rsidRPr="005675B0" w:rsidRDefault="00F66E20" w:rsidP="00970EC1">
      <w:pPr>
        <w:pStyle w:val="paragraph"/>
      </w:pPr>
      <w:r w:rsidRPr="005675B0">
        <w:tab/>
        <w:t>(c)</w:t>
      </w:r>
      <w:r w:rsidRPr="005675B0">
        <w:tab/>
        <w:t>in accordance with conditions imposed by the Minister when declaring a specified stock market to be an exempt stock market under section</w:t>
      </w:r>
      <w:r w:rsidR="005675B0">
        <w:t> </w:t>
      </w:r>
      <w:r w:rsidRPr="005675B0">
        <w:t xml:space="preserve">771 of the Corporations Act; or </w:t>
      </w:r>
    </w:p>
    <w:p w:rsidR="00F66E20" w:rsidRPr="005675B0" w:rsidRDefault="00F66E20" w:rsidP="00970EC1">
      <w:pPr>
        <w:pStyle w:val="paragraph"/>
      </w:pPr>
      <w:r w:rsidRPr="005675B0">
        <w:tab/>
        <w:t>(d)</w:t>
      </w:r>
      <w:r w:rsidRPr="005675B0">
        <w:tab/>
        <w:t>in accordance with conditions imposed by the Minister when declaring a specified futures market to be an exempt futures market under section</w:t>
      </w:r>
      <w:r w:rsidR="005675B0">
        <w:t> </w:t>
      </w:r>
      <w:r w:rsidRPr="005675B0">
        <w:t>1127 of the Corporations Act.</w:t>
      </w:r>
    </w:p>
    <w:p w:rsidR="00F66E20" w:rsidRPr="005675B0" w:rsidRDefault="00970EC1" w:rsidP="00970EC1">
      <w:pPr>
        <w:pStyle w:val="notetext"/>
      </w:pPr>
      <w:r w:rsidRPr="005675B0">
        <w:t>Note:</w:t>
      </w:r>
      <w:r w:rsidRPr="005675B0">
        <w:tab/>
      </w:r>
      <w:r w:rsidR="00F66E20" w:rsidRPr="005675B0">
        <w:t>Although sections</w:t>
      </w:r>
      <w:r w:rsidR="005675B0">
        <w:t> </w:t>
      </w:r>
      <w:r w:rsidR="00F66E20" w:rsidRPr="005675B0">
        <w:t xml:space="preserve">770, 770A, 771 and 1127 of the Corporations Act were repealed by the </w:t>
      </w:r>
      <w:r w:rsidR="00F66E20" w:rsidRPr="005675B0">
        <w:rPr>
          <w:i/>
        </w:rPr>
        <w:t>Financial Services Reform Act 2001</w:t>
      </w:r>
      <w:r w:rsidR="00F66E20" w:rsidRPr="005675B0">
        <w:t>, the sections are still relevant for specific purposes in the period of 2 years after the commencement of the Financial Services Reform Act.</w:t>
      </w:r>
    </w:p>
    <w:p w:rsidR="00FE1311" w:rsidRPr="005675B0" w:rsidRDefault="00FE1311" w:rsidP="003B6413">
      <w:pPr>
        <w:sectPr w:rsidR="00FE1311" w:rsidRPr="005675B0" w:rsidSect="0020514D">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bookmarkStart w:id="66" w:name="OPCSB_BodyPrincipleB5"/>
    </w:p>
    <w:p w:rsidR="00F66E20" w:rsidRPr="005675B0" w:rsidRDefault="00970EC1" w:rsidP="00DE27A5">
      <w:pPr>
        <w:pStyle w:val="ActHead1"/>
        <w:pageBreakBefore/>
        <w:spacing w:before="240"/>
      </w:pPr>
      <w:bookmarkStart w:id="67" w:name="_Toc46238194"/>
      <w:bookmarkEnd w:id="66"/>
      <w:r w:rsidRPr="005675B0">
        <w:rPr>
          <w:rStyle w:val="CharChapNo"/>
        </w:rPr>
        <w:lastRenderedPageBreak/>
        <w:t>Schedule</w:t>
      </w:r>
      <w:r w:rsidR="005675B0" w:rsidRPr="005675B0">
        <w:rPr>
          <w:rStyle w:val="CharChapNo"/>
        </w:rPr>
        <w:t> </w:t>
      </w:r>
      <w:r w:rsidR="00F66E20" w:rsidRPr="005675B0">
        <w:rPr>
          <w:rStyle w:val="CharChapNo"/>
        </w:rPr>
        <w:t>1</w:t>
      </w:r>
      <w:r w:rsidRPr="005675B0">
        <w:t>—</w:t>
      </w:r>
      <w:r w:rsidR="00F66E20" w:rsidRPr="005675B0">
        <w:rPr>
          <w:rStyle w:val="CharChapText"/>
        </w:rPr>
        <w:t>Forms</w:t>
      </w:r>
      <w:bookmarkEnd w:id="67"/>
    </w:p>
    <w:p w:rsidR="00F66E20" w:rsidRPr="005675B0" w:rsidRDefault="00F66E20" w:rsidP="00970EC1">
      <w:pPr>
        <w:pStyle w:val="notemargin"/>
      </w:pPr>
      <w:bookmarkStart w:id="68" w:name="BK_S4P24L2C1"/>
      <w:bookmarkEnd w:id="68"/>
      <w:r w:rsidRPr="005675B0">
        <w:t>(regulation</w:t>
      </w:r>
      <w:r w:rsidR="005675B0">
        <w:t> </w:t>
      </w:r>
      <w:r w:rsidRPr="005675B0">
        <w:t>2)</w:t>
      </w:r>
    </w:p>
    <w:p w:rsidR="00F66E20" w:rsidRPr="005675B0" w:rsidRDefault="00970EC1" w:rsidP="005D0622">
      <w:pPr>
        <w:pStyle w:val="ActHead2"/>
        <w:spacing w:before="240"/>
      </w:pPr>
      <w:bookmarkStart w:id="69" w:name="_Toc46238195"/>
      <w:r w:rsidRPr="005675B0">
        <w:rPr>
          <w:rStyle w:val="CharPartNo"/>
        </w:rPr>
        <w:t>Form</w:t>
      </w:r>
      <w:r w:rsidR="002B1B6B" w:rsidRPr="005675B0">
        <w:rPr>
          <w:rStyle w:val="CharPartNo"/>
        </w:rPr>
        <w:t xml:space="preserve"> </w:t>
      </w:r>
      <w:r w:rsidR="00F66E20" w:rsidRPr="005675B0">
        <w:rPr>
          <w:rStyle w:val="CharPartNo"/>
        </w:rPr>
        <w:t>1</w:t>
      </w:r>
      <w:r w:rsidRPr="005675B0">
        <w:t>—</w:t>
      </w:r>
      <w:r w:rsidR="00F66E20" w:rsidRPr="005675B0">
        <w:rPr>
          <w:rStyle w:val="CharPartText"/>
        </w:rPr>
        <w:t>Notice requiring appearance at an examination or reasonable assistance in connection with an investigation</w:t>
      </w:r>
      <w:bookmarkEnd w:id="69"/>
    </w:p>
    <w:p w:rsidR="00F66E20" w:rsidRPr="005675B0" w:rsidRDefault="00F66E20" w:rsidP="00013EDF">
      <w:pPr>
        <w:pStyle w:val="notemargin"/>
      </w:pPr>
      <w:bookmarkStart w:id="70" w:name="BK_S4P24L6C1"/>
      <w:bookmarkEnd w:id="70"/>
      <w:r w:rsidRPr="005675B0">
        <w:t>(regulation</w:t>
      </w:r>
      <w:r w:rsidR="005675B0">
        <w:t> </w:t>
      </w:r>
      <w:r w:rsidRPr="005675B0">
        <w:t>4)</w:t>
      </w:r>
    </w:p>
    <w:p w:rsidR="00013EDF" w:rsidRPr="005675B0" w:rsidRDefault="00013EDF" w:rsidP="001B3335">
      <w:pPr>
        <w:keepNext/>
        <w:spacing w:before="280"/>
        <w:rPr>
          <w:i/>
          <w:sz w:val="24"/>
          <w:szCs w:val="24"/>
        </w:rPr>
      </w:pPr>
      <w:r w:rsidRPr="005675B0">
        <w:rPr>
          <w:i/>
          <w:sz w:val="24"/>
          <w:szCs w:val="24"/>
        </w:rPr>
        <w:t>Australian Securities and Investment Commission Regulations</w:t>
      </w:r>
      <w:r w:rsidR="005675B0">
        <w:rPr>
          <w:i/>
          <w:sz w:val="24"/>
          <w:szCs w:val="24"/>
        </w:rPr>
        <w:t> </w:t>
      </w:r>
      <w:r w:rsidRPr="005675B0">
        <w:rPr>
          <w:i/>
          <w:sz w:val="24"/>
          <w:szCs w:val="24"/>
        </w:rPr>
        <w:t>2001</w:t>
      </w:r>
    </w:p>
    <w:p w:rsidR="00013EDF" w:rsidRPr="005675B0" w:rsidRDefault="00013EDF" w:rsidP="001B3335">
      <w:pPr>
        <w:keepNext/>
        <w:spacing w:before="280"/>
        <w:rPr>
          <w:b/>
        </w:rPr>
      </w:pPr>
      <w:r w:rsidRPr="005675B0">
        <w:rPr>
          <w:b/>
        </w:rPr>
        <w:t>Australian Securities and Investments Commission</w:t>
      </w:r>
    </w:p>
    <w:p w:rsidR="00013EDF" w:rsidRPr="005675B0" w:rsidRDefault="00013EDF" w:rsidP="001B3335">
      <w:pPr>
        <w:keepNext/>
        <w:keepLines/>
        <w:tabs>
          <w:tab w:val="left" w:pos="426"/>
          <w:tab w:val="left" w:pos="851"/>
        </w:tabs>
        <w:spacing w:before="240"/>
        <w:jc w:val="both"/>
        <w:rPr>
          <w:sz w:val="20"/>
        </w:rPr>
      </w:pPr>
      <w:r w:rsidRPr="005675B0">
        <w:rPr>
          <w:sz w:val="20"/>
        </w:rPr>
        <w:t>NOTICE REQUIRING APPEARANCE AT AN EXAMINATION OR REASONABLE ASSISTANCE IN CONNECTION WITH AN INVESTIGATION</w:t>
      </w:r>
    </w:p>
    <w:p w:rsidR="00013EDF" w:rsidRPr="005675B0" w:rsidRDefault="00013EDF" w:rsidP="00013EDF">
      <w:pPr>
        <w:tabs>
          <w:tab w:val="left" w:pos="3969"/>
        </w:tabs>
        <w:spacing w:before="60"/>
      </w:pPr>
      <w:r w:rsidRPr="005675B0">
        <w:t>To:</w:t>
      </w:r>
      <w:r w:rsidRPr="005675B0">
        <w:tab/>
      </w:r>
      <w:r w:rsidRPr="005675B0">
        <w:rPr>
          <w:vertAlign w:val="superscript"/>
        </w:rPr>
        <w:t>1</w:t>
      </w:r>
    </w:p>
    <w:p w:rsidR="00013EDF" w:rsidRPr="005675B0" w:rsidRDefault="00013EDF" w:rsidP="00013EDF">
      <w:pPr>
        <w:tabs>
          <w:tab w:val="left" w:pos="3969"/>
        </w:tabs>
        <w:spacing w:before="60"/>
      </w:pPr>
      <w:r w:rsidRPr="005675B0">
        <w:t>In relation to an investigation of</w:t>
      </w:r>
      <w:r w:rsidRPr="005675B0">
        <w:tab/>
      </w:r>
      <w:r w:rsidRPr="005675B0">
        <w:rPr>
          <w:vertAlign w:val="superscript"/>
        </w:rPr>
        <w:t>2</w:t>
      </w:r>
    </w:p>
    <w:p w:rsidR="00013EDF" w:rsidRPr="005675B0" w:rsidRDefault="00013EDF" w:rsidP="00451858">
      <w:pPr>
        <w:spacing w:before="60"/>
      </w:pPr>
      <w:r w:rsidRPr="005675B0">
        <w:t>you are notified that under subsection</w:t>
      </w:r>
      <w:r w:rsidR="005675B0">
        <w:t> </w:t>
      </w:r>
      <w:r w:rsidRPr="005675B0">
        <w:t xml:space="preserve">19(2) of the </w:t>
      </w:r>
      <w:r w:rsidRPr="005675B0">
        <w:rPr>
          <w:i/>
          <w:szCs w:val="22"/>
        </w:rPr>
        <w:t>Australian Securities and Investments Commission Act 2001</w:t>
      </w:r>
      <w:r w:rsidRPr="005675B0">
        <w:rPr>
          <w:szCs w:val="22"/>
        </w:rPr>
        <w:t xml:space="preserve"> (</w:t>
      </w:r>
      <w:r w:rsidRPr="005675B0">
        <w:t xml:space="preserve">‘the Act’) you are required: </w:t>
      </w:r>
    </w:p>
    <w:p w:rsidR="00013EDF" w:rsidRPr="005675B0" w:rsidRDefault="00013EDF" w:rsidP="00013EDF">
      <w:pPr>
        <w:tabs>
          <w:tab w:val="left" w:pos="426"/>
          <w:tab w:val="left" w:pos="851"/>
          <w:tab w:val="left" w:pos="2835"/>
        </w:tabs>
        <w:spacing w:before="60"/>
      </w:pPr>
      <w:r w:rsidRPr="005675B0">
        <w:tab/>
        <w:t>(a)</w:t>
      </w:r>
      <w:r w:rsidRPr="005675B0">
        <w:tab/>
        <w:t>to appear at</w:t>
      </w:r>
      <w:r w:rsidRPr="005675B0">
        <w:tab/>
      </w:r>
      <w:r w:rsidRPr="005675B0">
        <w:rPr>
          <w:vertAlign w:val="superscript"/>
        </w:rPr>
        <w:t>3</w:t>
      </w:r>
      <w:r w:rsidRPr="005675B0">
        <w:t xml:space="preserve"> on</w:t>
      </w:r>
    </w:p>
    <w:p w:rsidR="00013EDF" w:rsidRPr="005675B0" w:rsidRDefault="00013EDF" w:rsidP="00013EDF">
      <w:pPr>
        <w:tabs>
          <w:tab w:val="left" w:pos="4536"/>
        </w:tabs>
        <w:spacing w:before="60"/>
      </w:pPr>
      <w:r w:rsidRPr="005675B0">
        <w:tab/>
      </w:r>
      <w:r w:rsidRPr="005675B0">
        <w:rPr>
          <w:vertAlign w:val="superscript"/>
        </w:rPr>
        <w:t xml:space="preserve">4 </w:t>
      </w:r>
      <w:r w:rsidRPr="005675B0">
        <w:t>at</w:t>
      </w:r>
    </w:p>
    <w:p w:rsidR="00013EDF" w:rsidRPr="005675B0" w:rsidRDefault="00013EDF" w:rsidP="00013EDF">
      <w:pPr>
        <w:tabs>
          <w:tab w:val="left" w:pos="3261"/>
          <w:tab w:val="left" w:pos="5670"/>
        </w:tabs>
        <w:spacing w:before="240"/>
      </w:pPr>
      <w:r w:rsidRPr="005675B0">
        <w:tab/>
      </w:r>
      <w:r w:rsidRPr="005675B0">
        <w:rPr>
          <w:vertAlign w:val="superscript"/>
        </w:rPr>
        <w:t>5</w:t>
      </w:r>
      <w:r w:rsidRPr="005675B0">
        <w:t xml:space="preserve"> before</w:t>
      </w:r>
      <w:r w:rsidRPr="005675B0">
        <w:tab/>
      </w:r>
      <w:r w:rsidRPr="005675B0">
        <w:rPr>
          <w:vertAlign w:val="superscript"/>
        </w:rPr>
        <w:t>6</w:t>
      </w:r>
    </w:p>
    <w:p w:rsidR="00013EDF" w:rsidRPr="005675B0" w:rsidRDefault="00013EDF" w:rsidP="00013EDF">
      <w:pPr>
        <w:tabs>
          <w:tab w:val="left" w:pos="851"/>
        </w:tabs>
        <w:spacing w:before="60"/>
        <w:ind w:left="851" w:hanging="851"/>
        <w:jc w:val="both"/>
      </w:pPr>
      <w:r w:rsidRPr="005675B0">
        <w:tab/>
        <w:t xml:space="preserve">for examination on oath or affirmation and to answer questions put to you in relation to the investigation; and </w:t>
      </w:r>
    </w:p>
    <w:p w:rsidR="00013EDF" w:rsidRPr="005675B0" w:rsidRDefault="00013EDF" w:rsidP="00013EDF">
      <w:pPr>
        <w:tabs>
          <w:tab w:val="left" w:pos="426"/>
          <w:tab w:val="left" w:pos="851"/>
        </w:tabs>
        <w:spacing w:before="60"/>
        <w:ind w:left="851" w:hanging="851"/>
        <w:jc w:val="both"/>
      </w:pPr>
      <w:r w:rsidRPr="005675B0">
        <w:tab/>
        <w:t>(b)</w:t>
      </w:r>
      <w:r w:rsidRPr="005675B0">
        <w:tab/>
        <w:t xml:space="preserve">to give the Australian Securities and Investments Commission all reasonable assistance in connection with the investigation. </w:t>
      </w:r>
    </w:p>
    <w:p w:rsidR="00013EDF" w:rsidRPr="005675B0" w:rsidRDefault="00013EDF" w:rsidP="008047AB">
      <w:pPr>
        <w:spacing w:before="40"/>
        <w:jc w:val="both"/>
      </w:pPr>
      <w:r w:rsidRPr="005675B0">
        <w:t>Please note the provisions of subsection</w:t>
      </w:r>
      <w:r w:rsidR="005675B0">
        <w:t> </w:t>
      </w:r>
      <w:r w:rsidRPr="005675B0">
        <w:t>23(1) of the Act (relating to legal representation) and section</w:t>
      </w:r>
      <w:r w:rsidR="005675B0">
        <w:t> </w:t>
      </w:r>
      <w:r w:rsidRPr="005675B0">
        <w:t>68 of the Act (relating to self</w:t>
      </w:r>
      <w:r w:rsidR="005675B0">
        <w:noBreakHyphen/>
      </w:r>
      <w:r w:rsidRPr="005675B0">
        <w:t xml:space="preserve">incrimination). The effect of those provisions is set out at the end of this form. </w:t>
      </w:r>
    </w:p>
    <w:p w:rsidR="00013EDF" w:rsidRPr="005675B0" w:rsidRDefault="00013EDF" w:rsidP="008047AB">
      <w:pPr>
        <w:tabs>
          <w:tab w:val="left" w:pos="2835"/>
        </w:tabs>
        <w:spacing w:before="60"/>
      </w:pPr>
      <w:r w:rsidRPr="005675B0">
        <w:t>Dated</w:t>
      </w:r>
      <w:r w:rsidRPr="005675B0">
        <w:tab/>
      </w:r>
      <w:r w:rsidRPr="005675B0">
        <w:rPr>
          <w:vertAlign w:val="superscript"/>
        </w:rPr>
        <w:t>4</w:t>
      </w:r>
      <w:r w:rsidRPr="005675B0">
        <w:t>.</w:t>
      </w:r>
    </w:p>
    <w:p w:rsidR="00013EDF" w:rsidRPr="005675B0" w:rsidRDefault="00013EDF" w:rsidP="00451858">
      <w:pPr>
        <w:spacing w:before="60"/>
      </w:pPr>
      <w:r w:rsidRPr="005675B0">
        <w:t xml:space="preserve">Signature of person authorised </w:t>
      </w:r>
    </w:p>
    <w:p w:rsidR="00013EDF" w:rsidRPr="005675B0" w:rsidRDefault="00013EDF" w:rsidP="00451858">
      <w:r w:rsidRPr="005675B0">
        <w:t xml:space="preserve">by the Commission to conduct the </w:t>
      </w:r>
    </w:p>
    <w:p w:rsidR="00013EDF" w:rsidRPr="005675B0" w:rsidRDefault="00013EDF" w:rsidP="00451858">
      <w:pPr>
        <w:spacing w:after="60"/>
      </w:pPr>
      <w:r w:rsidRPr="005675B0">
        <w:t>examination:</w:t>
      </w:r>
    </w:p>
    <w:p w:rsidR="00013EDF" w:rsidRPr="005675B0" w:rsidRDefault="00013EDF" w:rsidP="008047AB">
      <w:pPr>
        <w:pBdr>
          <w:top w:val="single" w:sz="4" w:space="1" w:color="auto"/>
        </w:pBdr>
        <w:spacing w:line="0" w:lineRule="atLeast"/>
        <w:rPr>
          <w:sz w:val="16"/>
          <w:szCs w:val="16"/>
        </w:rPr>
      </w:pPr>
    </w:p>
    <w:p w:rsidR="00013EDF" w:rsidRPr="005675B0" w:rsidRDefault="00013EDF" w:rsidP="005D0622">
      <w:pPr>
        <w:keepNext/>
        <w:keepLines/>
        <w:tabs>
          <w:tab w:val="left" w:pos="426"/>
          <w:tab w:val="left" w:pos="851"/>
        </w:tabs>
        <w:jc w:val="both"/>
        <w:rPr>
          <w:sz w:val="20"/>
        </w:rPr>
      </w:pPr>
      <w:r w:rsidRPr="005675B0">
        <w:rPr>
          <w:sz w:val="20"/>
        </w:rPr>
        <w:t>NOTICE OF RELEVANT</w:t>
      </w:r>
      <w:r w:rsidR="00D00278" w:rsidRPr="005675B0">
        <w:rPr>
          <w:sz w:val="20"/>
        </w:rPr>
        <w:t xml:space="preserve"> STATUTORY PROVISIONS</w:t>
      </w:r>
    </w:p>
    <w:p w:rsidR="00013EDF" w:rsidRPr="005675B0" w:rsidRDefault="00013EDF" w:rsidP="00013EDF">
      <w:pPr>
        <w:tabs>
          <w:tab w:val="left" w:pos="426"/>
          <w:tab w:val="left" w:pos="851"/>
        </w:tabs>
        <w:spacing w:before="60"/>
        <w:ind w:left="426" w:hanging="426"/>
        <w:jc w:val="both"/>
      </w:pPr>
      <w:r w:rsidRPr="005675B0">
        <w:t>1.</w:t>
      </w:r>
      <w:r w:rsidRPr="005675B0">
        <w:tab/>
        <w:t>Subsection</w:t>
      </w:r>
      <w:r w:rsidR="005675B0">
        <w:t> </w:t>
      </w:r>
      <w:r w:rsidRPr="005675B0">
        <w:t xml:space="preserve">23(1) of the Act provides that a person who is required to submit to an examination is entitled to have his or her lawyer attend the examination. It also provides that the person’s lawyer may address the inspector or ask the person questions about matters raised with the person by the inspector. </w:t>
      </w:r>
    </w:p>
    <w:p w:rsidR="00013EDF" w:rsidRPr="005675B0" w:rsidRDefault="00013EDF" w:rsidP="00B701E6">
      <w:pPr>
        <w:tabs>
          <w:tab w:val="left" w:pos="426"/>
          <w:tab w:val="left" w:pos="851"/>
        </w:tabs>
        <w:spacing w:before="60"/>
        <w:ind w:left="426" w:hanging="426"/>
        <w:jc w:val="both"/>
      </w:pPr>
      <w:r w:rsidRPr="005675B0">
        <w:t>2.</w:t>
      </w:r>
      <w:r w:rsidRPr="005675B0">
        <w:tab/>
        <w:t>(1)</w:t>
      </w:r>
      <w:r w:rsidRPr="005675B0">
        <w:tab/>
        <w:t>You must not fail to comply with this notice without reasonable excuse (see subsection</w:t>
      </w:r>
      <w:r w:rsidR="005675B0">
        <w:t> </w:t>
      </w:r>
      <w:r w:rsidRPr="005675B0">
        <w:t xml:space="preserve">63(1) of the Act). </w:t>
      </w:r>
    </w:p>
    <w:p w:rsidR="00013EDF" w:rsidRPr="005675B0" w:rsidRDefault="00013EDF" w:rsidP="00B701E6">
      <w:pPr>
        <w:tabs>
          <w:tab w:val="left" w:pos="426"/>
          <w:tab w:val="left" w:pos="851"/>
        </w:tabs>
        <w:spacing w:before="60"/>
        <w:ind w:left="426" w:hanging="426"/>
        <w:jc w:val="both"/>
      </w:pPr>
      <w:r w:rsidRPr="005675B0">
        <w:lastRenderedPageBreak/>
        <w:tab/>
        <w:t>(2)</w:t>
      </w:r>
      <w:r w:rsidRPr="005675B0">
        <w:tab/>
        <w:t>It is not a reasonable excuse for failure to comply with this notice that giving information or signing a record or producing a book might tend to incriminate you or expose you to a penalty (see subsection</w:t>
      </w:r>
      <w:r w:rsidR="005675B0">
        <w:t> </w:t>
      </w:r>
      <w:r w:rsidRPr="005675B0">
        <w:t xml:space="preserve">68(1) of the Act). </w:t>
      </w:r>
    </w:p>
    <w:p w:rsidR="00013EDF" w:rsidRPr="005675B0" w:rsidRDefault="00013EDF" w:rsidP="00B701E6">
      <w:pPr>
        <w:tabs>
          <w:tab w:val="left" w:pos="426"/>
          <w:tab w:val="left" w:pos="851"/>
        </w:tabs>
        <w:spacing w:before="60"/>
        <w:ind w:left="426" w:hanging="426"/>
        <w:jc w:val="both"/>
      </w:pPr>
      <w:r w:rsidRPr="005675B0">
        <w:tab/>
        <w:t>(3)</w:t>
      </w:r>
      <w:r w:rsidRPr="005675B0">
        <w:tab/>
        <w:t xml:space="preserve">However, if: </w:t>
      </w:r>
    </w:p>
    <w:p w:rsidR="00013EDF" w:rsidRPr="005675B0" w:rsidRDefault="00013EDF" w:rsidP="006F7605">
      <w:pPr>
        <w:pStyle w:val="paragraph"/>
      </w:pPr>
      <w:r w:rsidRPr="005675B0">
        <w:tab/>
        <w:t>(a)</w:t>
      </w:r>
      <w:r w:rsidRPr="005675B0">
        <w:tab/>
        <w:t xml:space="preserve">before making an oral statement or signing a record in answer to this notice you claim that making the statement or signing the record might tend to incriminate you or expose you to a penalty; and </w:t>
      </w:r>
    </w:p>
    <w:p w:rsidR="00013EDF" w:rsidRPr="005675B0" w:rsidRDefault="00013EDF" w:rsidP="006F7605">
      <w:pPr>
        <w:pStyle w:val="paragraph"/>
      </w:pPr>
      <w:r w:rsidRPr="005675B0">
        <w:tab/>
        <w:t>(b)</w:t>
      </w:r>
      <w:r w:rsidRPr="005675B0">
        <w:tab/>
        <w:t xml:space="preserve">making the statement or signing the record might in fact tend to incriminate you or expose you to a penalty; </w:t>
      </w:r>
    </w:p>
    <w:p w:rsidR="00013EDF" w:rsidRPr="005675B0" w:rsidRDefault="00013EDF" w:rsidP="00B701E6">
      <w:pPr>
        <w:tabs>
          <w:tab w:val="left" w:pos="426"/>
          <w:tab w:val="left" w:pos="851"/>
        </w:tabs>
        <w:spacing w:before="60"/>
        <w:ind w:left="426" w:hanging="426"/>
        <w:jc w:val="both"/>
      </w:pPr>
      <w:r w:rsidRPr="005675B0">
        <w:tab/>
        <w:t xml:space="preserve">the statement, or the fact that you have signed the record, is not admissible in evidence in any criminal proceedings, or proceedings for the imposition of a penalty, against you other than proceedings in respect of the falsity of the statement or the record. </w:t>
      </w:r>
    </w:p>
    <w:p w:rsidR="00013EDF" w:rsidRPr="005675B0" w:rsidRDefault="00013EDF" w:rsidP="00013EDF">
      <w:pPr>
        <w:tabs>
          <w:tab w:val="left" w:pos="851"/>
        </w:tabs>
        <w:spacing w:before="60" w:after="60"/>
        <w:ind w:left="425"/>
      </w:pPr>
      <w:r w:rsidRPr="005675B0">
        <w:t>(4)</w:t>
      </w:r>
      <w:r w:rsidRPr="005675B0">
        <w:tab/>
        <w:t>The right to make a claim of this kind is not available to a body corporate (see subsections</w:t>
      </w:r>
      <w:r w:rsidR="005675B0">
        <w:t> </w:t>
      </w:r>
      <w:r w:rsidRPr="005675B0">
        <w:t>68(2) and (3) of the Act).</w:t>
      </w:r>
    </w:p>
    <w:p w:rsidR="00013EDF" w:rsidRPr="005675B0" w:rsidRDefault="00013EDF" w:rsidP="00013EDF">
      <w:pPr>
        <w:keepNext/>
        <w:keepLines/>
        <w:pBdr>
          <w:top w:val="single" w:sz="4" w:space="1" w:color="auto"/>
        </w:pBdr>
        <w:rPr>
          <w:sz w:val="16"/>
        </w:rPr>
      </w:pPr>
    </w:p>
    <w:p w:rsidR="00013EDF" w:rsidRPr="005675B0" w:rsidRDefault="00013EDF" w:rsidP="00DE27A5">
      <w:pPr>
        <w:pStyle w:val="ENotesText"/>
      </w:pPr>
      <w:r w:rsidRPr="005675B0">
        <w:t>1</w:t>
      </w:r>
      <w:r w:rsidRPr="005675B0">
        <w:tab/>
      </w:r>
      <w:r w:rsidRPr="005675B0">
        <w:rPr>
          <w:i/>
        </w:rPr>
        <w:t xml:space="preserve">insert full name and address of the person to whom the notice is to be given </w:t>
      </w:r>
    </w:p>
    <w:p w:rsidR="00013EDF" w:rsidRPr="005675B0" w:rsidRDefault="00013EDF" w:rsidP="00DE27A5">
      <w:pPr>
        <w:pStyle w:val="ENotesText"/>
      </w:pPr>
      <w:r w:rsidRPr="005675B0">
        <w:t>2</w:t>
      </w:r>
      <w:r w:rsidRPr="005675B0">
        <w:tab/>
      </w:r>
      <w:r w:rsidRPr="005675B0">
        <w:rPr>
          <w:i/>
        </w:rPr>
        <w:t xml:space="preserve">insert the nature of the matter to which the investigation relates </w:t>
      </w:r>
    </w:p>
    <w:p w:rsidR="00013EDF" w:rsidRPr="005675B0" w:rsidRDefault="00013EDF" w:rsidP="00DE27A5">
      <w:pPr>
        <w:pStyle w:val="ENotesText"/>
      </w:pPr>
      <w:r w:rsidRPr="005675B0">
        <w:t>3</w:t>
      </w:r>
      <w:r w:rsidRPr="005675B0">
        <w:tab/>
      </w:r>
      <w:r w:rsidRPr="005675B0">
        <w:rPr>
          <w:i/>
        </w:rPr>
        <w:t xml:space="preserve">insert time of day </w:t>
      </w:r>
    </w:p>
    <w:p w:rsidR="00013EDF" w:rsidRPr="005675B0" w:rsidRDefault="00013EDF" w:rsidP="00DE27A5">
      <w:pPr>
        <w:pStyle w:val="ENotesText"/>
      </w:pPr>
      <w:r w:rsidRPr="005675B0">
        <w:t>4</w:t>
      </w:r>
      <w:r w:rsidRPr="005675B0">
        <w:tab/>
      </w:r>
      <w:r w:rsidRPr="005675B0">
        <w:rPr>
          <w:i/>
        </w:rPr>
        <w:t xml:space="preserve">insert date </w:t>
      </w:r>
    </w:p>
    <w:p w:rsidR="00013EDF" w:rsidRPr="005675B0" w:rsidRDefault="00013EDF" w:rsidP="00136797">
      <w:pPr>
        <w:pStyle w:val="ENotesText"/>
        <w:ind w:left="720" w:hanging="720"/>
      </w:pPr>
      <w:r w:rsidRPr="005675B0">
        <w:t>5</w:t>
      </w:r>
      <w:r w:rsidRPr="005675B0">
        <w:tab/>
      </w:r>
      <w:r w:rsidRPr="005675B0">
        <w:rPr>
          <w:i/>
        </w:rPr>
        <w:t xml:space="preserve">insert full particulars of the address of the place at which the requirement is to be satisfied </w:t>
      </w:r>
    </w:p>
    <w:p w:rsidR="00013EDF" w:rsidRPr="005675B0" w:rsidRDefault="00013EDF" w:rsidP="00DE27A5">
      <w:pPr>
        <w:pStyle w:val="ENotesText"/>
      </w:pPr>
      <w:r w:rsidRPr="005675B0">
        <w:t>6</w:t>
      </w:r>
      <w:r w:rsidRPr="005675B0">
        <w:tab/>
      </w:r>
      <w:r w:rsidRPr="005675B0">
        <w:rPr>
          <w:i/>
        </w:rPr>
        <w:t xml:space="preserve">insert full name of the person conducting the examination </w:t>
      </w:r>
    </w:p>
    <w:p w:rsidR="00F66E20" w:rsidRPr="005675B0" w:rsidRDefault="00970EC1" w:rsidP="00DE27A5">
      <w:pPr>
        <w:pStyle w:val="ActHead2"/>
        <w:pageBreakBefore/>
      </w:pPr>
      <w:bookmarkStart w:id="71" w:name="_Toc46238196"/>
      <w:r w:rsidRPr="005675B0">
        <w:rPr>
          <w:rStyle w:val="CharPartNo"/>
        </w:rPr>
        <w:lastRenderedPageBreak/>
        <w:t>Form</w:t>
      </w:r>
      <w:r w:rsidR="002B1B6B" w:rsidRPr="005675B0">
        <w:rPr>
          <w:rStyle w:val="CharPartNo"/>
        </w:rPr>
        <w:t xml:space="preserve"> </w:t>
      </w:r>
      <w:r w:rsidR="00F66E20" w:rsidRPr="005675B0">
        <w:rPr>
          <w:rStyle w:val="CharPartNo"/>
        </w:rPr>
        <w:t>2</w:t>
      </w:r>
      <w:r w:rsidRPr="005675B0">
        <w:t>—</w:t>
      </w:r>
      <w:r w:rsidR="00F66E20" w:rsidRPr="005675B0">
        <w:rPr>
          <w:rStyle w:val="CharPartText"/>
        </w:rPr>
        <w:t>Notice requiring the production of books</w:t>
      </w:r>
      <w:bookmarkEnd w:id="71"/>
    </w:p>
    <w:p w:rsidR="00F66E20" w:rsidRPr="005675B0" w:rsidRDefault="00F66E20" w:rsidP="00970EC1">
      <w:pPr>
        <w:pStyle w:val="notemargin"/>
      </w:pPr>
      <w:bookmarkStart w:id="72" w:name="BK_S4P26L2C1"/>
      <w:bookmarkEnd w:id="72"/>
      <w:r w:rsidRPr="005675B0">
        <w:t>(regulation</w:t>
      </w:r>
      <w:r w:rsidR="005675B0">
        <w:t> </w:t>
      </w:r>
      <w:r w:rsidRPr="005675B0">
        <w:t>5)</w:t>
      </w:r>
    </w:p>
    <w:p w:rsidR="00013EDF" w:rsidRPr="005675B0" w:rsidRDefault="00013EDF" w:rsidP="001B3335">
      <w:pPr>
        <w:keepNext/>
        <w:spacing w:before="280"/>
      </w:pPr>
      <w:r w:rsidRPr="005675B0">
        <w:rPr>
          <w:i/>
        </w:rPr>
        <w:t xml:space="preserve">Australian Securities </w:t>
      </w:r>
      <w:r w:rsidRPr="005675B0">
        <w:rPr>
          <w:i/>
          <w:sz w:val="24"/>
          <w:szCs w:val="24"/>
        </w:rPr>
        <w:t>and</w:t>
      </w:r>
      <w:r w:rsidRPr="005675B0">
        <w:rPr>
          <w:i/>
        </w:rPr>
        <w:t xml:space="preserve"> Investment Commission Regulations</w:t>
      </w:r>
      <w:r w:rsidR="005675B0">
        <w:rPr>
          <w:i/>
        </w:rPr>
        <w:t> </w:t>
      </w:r>
      <w:r w:rsidRPr="005675B0">
        <w:rPr>
          <w:i/>
        </w:rPr>
        <w:t>2001</w:t>
      </w:r>
    </w:p>
    <w:p w:rsidR="00013EDF" w:rsidRPr="005675B0" w:rsidRDefault="00013EDF" w:rsidP="001B3335">
      <w:pPr>
        <w:keepNext/>
        <w:spacing w:before="280"/>
        <w:rPr>
          <w:b/>
          <w:sz w:val="24"/>
          <w:szCs w:val="24"/>
        </w:rPr>
      </w:pPr>
      <w:r w:rsidRPr="005675B0">
        <w:rPr>
          <w:b/>
          <w:sz w:val="24"/>
          <w:szCs w:val="24"/>
        </w:rPr>
        <w:t>Australian Securities and Investments Commission</w:t>
      </w:r>
    </w:p>
    <w:p w:rsidR="00013EDF" w:rsidRPr="005675B0" w:rsidRDefault="00013EDF" w:rsidP="001B3335">
      <w:pPr>
        <w:keepNext/>
        <w:keepLines/>
        <w:tabs>
          <w:tab w:val="left" w:pos="426"/>
          <w:tab w:val="left" w:pos="851"/>
        </w:tabs>
        <w:spacing w:before="240"/>
        <w:jc w:val="both"/>
        <w:rPr>
          <w:sz w:val="20"/>
        </w:rPr>
      </w:pPr>
      <w:r w:rsidRPr="005675B0">
        <w:rPr>
          <w:sz w:val="20"/>
        </w:rPr>
        <w:t>NOTICE REQUIRING THE PRODUCTION OF BOOKS</w:t>
      </w:r>
    </w:p>
    <w:p w:rsidR="00013EDF" w:rsidRPr="005675B0" w:rsidRDefault="00013EDF" w:rsidP="00013EDF">
      <w:pPr>
        <w:tabs>
          <w:tab w:val="left" w:pos="4395"/>
        </w:tabs>
        <w:spacing w:before="120"/>
      </w:pPr>
      <w:r w:rsidRPr="005675B0">
        <w:t>To:</w:t>
      </w:r>
      <w:r w:rsidRPr="005675B0">
        <w:tab/>
      </w:r>
      <w:r w:rsidRPr="005675B0">
        <w:rPr>
          <w:vertAlign w:val="superscript"/>
        </w:rPr>
        <w:t>1</w:t>
      </w:r>
    </w:p>
    <w:p w:rsidR="00013EDF" w:rsidRPr="005675B0" w:rsidRDefault="00013EDF" w:rsidP="00013EDF">
      <w:pPr>
        <w:tabs>
          <w:tab w:val="left" w:pos="3969"/>
        </w:tabs>
        <w:spacing w:before="120"/>
      </w:pPr>
      <w:r w:rsidRPr="005675B0">
        <w:t>In relation to</w:t>
      </w:r>
      <w:r w:rsidRPr="005675B0">
        <w:tab/>
      </w:r>
      <w:r w:rsidRPr="005675B0">
        <w:rPr>
          <w:vertAlign w:val="subscript"/>
        </w:rPr>
        <w:t>2</w:t>
      </w:r>
    </w:p>
    <w:p w:rsidR="00013EDF" w:rsidRPr="005675B0" w:rsidRDefault="00013EDF" w:rsidP="00013EDF">
      <w:pPr>
        <w:spacing w:before="240"/>
        <w:jc w:val="both"/>
      </w:pPr>
      <w:r w:rsidRPr="005675B0">
        <w:t>you are notified that, under section</w:t>
      </w:r>
      <w:r w:rsidR="005675B0">
        <w:t> </w:t>
      </w:r>
      <w:r w:rsidRPr="005675B0">
        <w:t>30</w:t>
      </w:r>
      <w:r w:rsidRPr="005675B0">
        <w:rPr>
          <w:vertAlign w:val="superscript"/>
        </w:rPr>
        <w:t>3</w:t>
      </w:r>
      <w:r w:rsidRPr="005675B0">
        <w:t>/subsection</w:t>
      </w:r>
      <w:r w:rsidR="005675B0">
        <w:t> </w:t>
      </w:r>
      <w:r w:rsidRPr="005675B0">
        <w:t>31(1)</w:t>
      </w:r>
      <w:r w:rsidRPr="005675B0">
        <w:rPr>
          <w:vertAlign w:val="superscript"/>
        </w:rPr>
        <w:t>3</w:t>
      </w:r>
      <w:r w:rsidRPr="005675B0">
        <w:t>/section</w:t>
      </w:r>
      <w:r w:rsidR="005675B0">
        <w:t> </w:t>
      </w:r>
      <w:r w:rsidRPr="005675B0">
        <w:t>32A</w:t>
      </w:r>
      <w:r w:rsidRPr="005675B0">
        <w:rPr>
          <w:vertAlign w:val="superscript"/>
        </w:rPr>
        <w:t>3</w:t>
      </w:r>
      <w:r w:rsidRPr="005675B0">
        <w:t>/section</w:t>
      </w:r>
      <w:r w:rsidR="005675B0">
        <w:t> </w:t>
      </w:r>
      <w:r w:rsidRPr="005675B0">
        <w:t>33</w:t>
      </w:r>
      <w:r w:rsidRPr="005675B0">
        <w:rPr>
          <w:vertAlign w:val="superscript"/>
        </w:rPr>
        <w:t>3</w:t>
      </w:r>
      <w:r w:rsidRPr="005675B0">
        <w:t xml:space="preserve"> of the </w:t>
      </w:r>
      <w:r w:rsidRPr="005675B0">
        <w:rPr>
          <w:i/>
          <w:szCs w:val="22"/>
        </w:rPr>
        <w:t>Australian Securities and Investments Commission Act 2001</w:t>
      </w:r>
      <w:r w:rsidRPr="005675B0">
        <w:rPr>
          <w:szCs w:val="22"/>
        </w:rPr>
        <w:t xml:space="preserve"> </w:t>
      </w:r>
      <w:r w:rsidRPr="005675B0">
        <w:t>you are required to produce to</w:t>
      </w:r>
    </w:p>
    <w:p w:rsidR="00013EDF" w:rsidRPr="005675B0" w:rsidRDefault="00013EDF" w:rsidP="00013EDF">
      <w:pPr>
        <w:tabs>
          <w:tab w:val="left" w:pos="4395"/>
          <w:tab w:val="left" w:pos="7230"/>
        </w:tabs>
        <w:spacing w:before="60"/>
      </w:pPr>
      <w:r w:rsidRPr="005675B0">
        <w:tab/>
      </w:r>
      <w:r w:rsidRPr="005675B0">
        <w:rPr>
          <w:vertAlign w:val="superscript"/>
        </w:rPr>
        <w:t>4</w:t>
      </w:r>
      <w:r w:rsidRPr="005675B0">
        <w:t xml:space="preserve"> at</w:t>
      </w:r>
      <w:r w:rsidRPr="005675B0">
        <w:tab/>
      </w:r>
      <w:r w:rsidRPr="005675B0">
        <w:rPr>
          <w:vertAlign w:val="superscript"/>
        </w:rPr>
        <w:t>5</w:t>
      </w:r>
    </w:p>
    <w:p w:rsidR="00013EDF" w:rsidRPr="005675B0" w:rsidRDefault="00013EDF" w:rsidP="00013EDF">
      <w:pPr>
        <w:tabs>
          <w:tab w:val="left" w:pos="4253"/>
          <w:tab w:val="left" w:pos="7230"/>
        </w:tabs>
        <w:spacing w:before="60"/>
      </w:pPr>
      <w:r w:rsidRPr="005675B0">
        <w:t>on</w:t>
      </w:r>
      <w:r w:rsidRPr="005675B0">
        <w:tab/>
      </w:r>
      <w:r w:rsidRPr="005675B0">
        <w:rPr>
          <w:vertAlign w:val="superscript"/>
        </w:rPr>
        <w:t xml:space="preserve">6 </w:t>
      </w:r>
      <w:r w:rsidRPr="005675B0">
        <w:t>at</w:t>
      </w:r>
      <w:r w:rsidRPr="005675B0">
        <w:tab/>
      </w:r>
      <w:r w:rsidRPr="005675B0">
        <w:rPr>
          <w:vertAlign w:val="superscript"/>
        </w:rPr>
        <w:t>7</w:t>
      </w:r>
    </w:p>
    <w:p w:rsidR="00013EDF" w:rsidRPr="005675B0" w:rsidRDefault="00013EDF" w:rsidP="00013EDF">
      <w:pPr>
        <w:tabs>
          <w:tab w:val="left" w:pos="4536"/>
        </w:tabs>
        <w:spacing w:before="60"/>
      </w:pPr>
      <w:r w:rsidRPr="005675B0">
        <w:t>the following books:</w:t>
      </w:r>
    </w:p>
    <w:p w:rsidR="00013EDF" w:rsidRPr="005675B0" w:rsidRDefault="00013EDF" w:rsidP="00013EDF">
      <w:pPr>
        <w:tabs>
          <w:tab w:val="left" w:pos="3969"/>
        </w:tabs>
        <w:spacing w:before="60"/>
      </w:pPr>
      <w:r w:rsidRPr="005675B0">
        <w:tab/>
      </w:r>
      <w:r w:rsidRPr="005675B0">
        <w:rPr>
          <w:vertAlign w:val="superscript"/>
        </w:rPr>
        <w:t>8</w:t>
      </w:r>
    </w:p>
    <w:p w:rsidR="00013EDF" w:rsidRPr="005675B0" w:rsidRDefault="00013EDF" w:rsidP="00013EDF">
      <w:pPr>
        <w:tabs>
          <w:tab w:val="left" w:pos="2835"/>
        </w:tabs>
        <w:spacing w:before="60"/>
      </w:pPr>
      <w:r w:rsidRPr="005675B0">
        <w:t>Dated</w:t>
      </w:r>
      <w:r w:rsidRPr="005675B0">
        <w:tab/>
      </w:r>
      <w:r w:rsidRPr="005675B0">
        <w:rPr>
          <w:vertAlign w:val="superscript"/>
        </w:rPr>
        <w:t>6</w:t>
      </w:r>
      <w:r w:rsidRPr="005675B0">
        <w:t>.</w:t>
      </w:r>
    </w:p>
    <w:p w:rsidR="00013EDF" w:rsidRPr="005675B0" w:rsidRDefault="00013EDF" w:rsidP="00013EDF">
      <w:pPr>
        <w:tabs>
          <w:tab w:val="left" w:pos="426"/>
          <w:tab w:val="left" w:pos="851"/>
        </w:tabs>
        <w:spacing w:before="240"/>
      </w:pPr>
      <w:r w:rsidRPr="005675B0">
        <w:t>Signature of the person requiring</w:t>
      </w:r>
    </w:p>
    <w:p w:rsidR="00013EDF" w:rsidRPr="005675B0" w:rsidRDefault="00013EDF" w:rsidP="00013EDF">
      <w:pPr>
        <w:tabs>
          <w:tab w:val="left" w:pos="426"/>
          <w:tab w:val="left" w:pos="851"/>
        </w:tabs>
        <w:spacing w:after="60"/>
      </w:pPr>
      <w:r w:rsidRPr="005675B0">
        <w:t>the production of books:</w:t>
      </w:r>
    </w:p>
    <w:p w:rsidR="00013EDF" w:rsidRPr="005675B0" w:rsidRDefault="00013EDF" w:rsidP="00013EDF">
      <w:pPr>
        <w:keepNext/>
        <w:keepLines/>
        <w:pBdr>
          <w:top w:val="single" w:sz="4" w:space="1" w:color="auto"/>
        </w:pBdr>
        <w:rPr>
          <w:sz w:val="16"/>
        </w:rPr>
      </w:pPr>
    </w:p>
    <w:p w:rsidR="00013EDF" w:rsidRPr="005675B0" w:rsidRDefault="00013EDF" w:rsidP="00DE27A5">
      <w:pPr>
        <w:pStyle w:val="ENotesText"/>
      </w:pPr>
      <w:r w:rsidRPr="005675B0">
        <w:t>1</w:t>
      </w:r>
      <w:r w:rsidRPr="005675B0">
        <w:rPr>
          <w:i/>
        </w:rPr>
        <w:tab/>
        <w:t>insert full name and address of the person to</w:t>
      </w:r>
      <w:r w:rsidR="00707709" w:rsidRPr="005675B0">
        <w:rPr>
          <w:i/>
        </w:rPr>
        <w:t xml:space="preserve"> whom the notice is to be given</w:t>
      </w:r>
    </w:p>
    <w:p w:rsidR="00013EDF" w:rsidRPr="005675B0" w:rsidRDefault="00013EDF" w:rsidP="00DE27A5">
      <w:pPr>
        <w:pStyle w:val="ENotesText"/>
      </w:pPr>
      <w:r w:rsidRPr="005675B0">
        <w:t>2</w:t>
      </w:r>
      <w:r w:rsidRPr="005675B0">
        <w:tab/>
      </w:r>
      <w:r w:rsidRPr="005675B0">
        <w:rPr>
          <w:i/>
        </w:rPr>
        <w:t>insert the nature of the matter to which the request for production of books relates</w:t>
      </w:r>
    </w:p>
    <w:p w:rsidR="00013EDF" w:rsidRPr="005675B0" w:rsidRDefault="00013EDF" w:rsidP="00DE27A5">
      <w:pPr>
        <w:pStyle w:val="ENotesText"/>
      </w:pPr>
      <w:r w:rsidRPr="005675B0">
        <w:t>3</w:t>
      </w:r>
      <w:r w:rsidRPr="005675B0">
        <w:tab/>
      </w:r>
      <w:r w:rsidRPr="005675B0">
        <w:rPr>
          <w:i/>
        </w:rPr>
        <w:t>strik</w:t>
      </w:r>
      <w:r w:rsidR="00707709" w:rsidRPr="005675B0">
        <w:rPr>
          <w:i/>
        </w:rPr>
        <w:t>e out or delete if inapplicable</w:t>
      </w:r>
    </w:p>
    <w:p w:rsidR="00013EDF" w:rsidRPr="005675B0" w:rsidRDefault="00013EDF" w:rsidP="00DE27A5">
      <w:pPr>
        <w:pStyle w:val="ENotesText"/>
      </w:pPr>
      <w:r w:rsidRPr="005675B0">
        <w:t>4</w:t>
      </w:r>
      <w:r w:rsidRPr="005675B0">
        <w:tab/>
      </w:r>
      <w:r w:rsidRPr="005675B0">
        <w:rPr>
          <w:i/>
        </w:rPr>
        <w:t>insert the full name of the person to whom the b</w:t>
      </w:r>
      <w:r w:rsidR="00707709" w:rsidRPr="005675B0">
        <w:rPr>
          <w:i/>
        </w:rPr>
        <w:t>ooks are to be produced</w:t>
      </w:r>
    </w:p>
    <w:p w:rsidR="00013EDF" w:rsidRPr="005675B0" w:rsidRDefault="00013EDF" w:rsidP="00DE27A5">
      <w:pPr>
        <w:pStyle w:val="ENotesText"/>
      </w:pPr>
      <w:r w:rsidRPr="005675B0">
        <w:t>5</w:t>
      </w:r>
      <w:r w:rsidRPr="005675B0">
        <w:tab/>
      </w:r>
      <w:r w:rsidR="00707709" w:rsidRPr="005675B0">
        <w:rPr>
          <w:i/>
        </w:rPr>
        <w:t>insert time of day</w:t>
      </w:r>
    </w:p>
    <w:p w:rsidR="00013EDF" w:rsidRPr="005675B0" w:rsidRDefault="00013EDF" w:rsidP="00DE27A5">
      <w:pPr>
        <w:pStyle w:val="ENotesText"/>
      </w:pPr>
      <w:r w:rsidRPr="005675B0">
        <w:t>6</w:t>
      </w:r>
      <w:r w:rsidRPr="005675B0">
        <w:tab/>
      </w:r>
      <w:r w:rsidRPr="005675B0">
        <w:rPr>
          <w:i/>
        </w:rPr>
        <w:t>insert date</w:t>
      </w:r>
    </w:p>
    <w:p w:rsidR="00013EDF" w:rsidRPr="005675B0" w:rsidRDefault="00013EDF" w:rsidP="00DE27A5">
      <w:pPr>
        <w:pStyle w:val="ENotesText"/>
      </w:pPr>
      <w:r w:rsidRPr="005675B0">
        <w:t>7</w:t>
      </w:r>
      <w:r w:rsidRPr="005675B0">
        <w:tab/>
      </w:r>
      <w:r w:rsidRPr="005675B0">
        <w:rPr>
          <w:i/>
        </w:rPr>
        <w:t>insert full particulars of the address of the place at whi</w:t>
      </w:r>
      <w:r w:rsidR="00707709" w:rsidRPr="005675B0">
        <w:rPr>
          <w:i/>
        </w:rPr>
        <w:t xml:space="preserve">ch the books are to be </w:t>
      </w:r>
      <w:r w:rsidR="00707709" w:rsidRPr="005675B0">
        <w:rPr>
          <w:i/>
        </w:rPr>
        <w:tab/>
        <w:t>produced</w:t>
      </w:r>
    </w:p>
    <w:p w:rsidR="00013EDF" w:rsidRPr="005675B0" w:rsidRDefault="00013EDF" w:rsidP="00DE27A5">
      <w:pPr>
        <w:pStyle w:val="ENotesText"/>
      </w:pPr>
      <w:r w:rsidRPr="005675B0">
        <w:t>8</w:t>
      </w:r>
      <w:r w:rsidRPr="005675B0">
        <w:tab/>
      </w:r>
      <w:r w:rsidRPr="005675B0">
        <w:rPr>
          <w:i/>
        </w:rPr>
        <w:t>insert description(s) of th</w:t>
      </w:r>
      <w:r w:rsidR="00707709" w:rsidRPr="005675B0">
        <w:rPr>
          <w:i/>
        </w:rPr>
        <w:t>e books that are to be produced</w:t>
      </w:r>
    </w:p>
    <w:p w:rsidR="00F66E20" w:rsidRPr="005675B0" w:rsidRDefault="00970EC1" w:rsidP="00DE27A5">
      <w:pPr>
        <w:pStyle w:val="ActHead2"/>
        <w:pageBreakBefore/>
      </w:pPr>
      <w:bookmarkStart w:id="73" w:name="_Toc46238197"/>
      <w:r w:rsidRPr="005675B0">
        <w:rPr>
          <w:rStyle w:val="CharPartNo"/>
        </w:rPr>
        <w:lastRenderedPageBreak/>
        <w:t>Form</w:t>
      </w:r>
      <w:r w:rsidR="002B1B6B" w:rsidRPr="005675B0">
        <w:rPr>
          <w:rStyle w:val="CharPartNo"/>
        </w:rPr>
        <w:t xml:space="preserve"> </w:t>
      </w:r>
      <w:r w:rsidR="00F66E20" w:rsidRPr="005675B0">
        <w:rPr>
          <w:rStyle w:val="CharPartNo"/>
        </w:rPr>
        <w:t>3</w:t>
      </w:r>
      <w:r w:rsidRPr="005675B0">
        <w:t>—</w:t>
      </w:r>
      <w:r w:rsidR="00F66E20" w:rsidRPr="005675B0">
        <w:rPr>
          <w:rStyle w:val="CharPartText"/>
        </w:rPr>
        <w:t>Summons to witness</w:t>
      </w:r>
      <w:bookmarkEnd w:id="73"/>
    </w:p>
    <w:p w:rsidR="00F66E20" w:rsidRPr="005675B0" w:rsidRDefault="00F66E20" w:rsidP="00970EC1">
      <w:pPr>
        <w:pStyle w:val="notemargin"/>
      </w:pPr>
      <w:bookmarkStart w:id="74" w:name="BK_S4P27L2C1"/>
      <w:bookmarkEnd w:id="74"/>
      <w:r w:rsidRPr="005675B0">
        <w:t>(regulations</w:t>
      </w:r>
      <w:r w:rsidR="005675B0">
        <w:t> </w:t>
      </w:r>
      <w:r w:rsidRPr="005675B0">
        <w:t>7, 11 and 42)</w:t>
      </w:r>
    </w:p>
    <w:p w:rsidR="00013EDF" w:rsidRPr="005675B0" w:rsidRDefault="00013EDF" w:rsidP="001B3335">
      <w:pPr>
        <w:keepNext/>
        <w:spacing w:before="280"/>
        <w:rPr>
          <w:i/>
        </w:rPr>
      </w:pPr>
      <w:r w:rsidRPr="005675B0">
        <w:rPr>
          <w:i/>
        </w:rPr>
        <w:t>Australian Securities and Investment Commission Regulations</w:t>
      </w:r>
      <w:r w:rsidR="005675B0">
        <w:rPr>
          <w:i/>
        </w:rPr>
        <w:t> </w:t>
      </w:r>
      <w:r w:rsidRPr="005675B0">
        <w:rPr>
          <w:i/>
        </w:rPr>
        <w:t>2001</w:t>
      </w:r>
    </w:p>
    <w:p w:rsidR="00013EDF" w:rsidRPr="005675B0" w:rsidRDefault="00013EDF" w:rsidP="001B3335">
      <w:pPr>
        <w:keepNext/>
        <w:spacing w:before="280"/>
        <w:rPr>
          <w:b/>
          <w:sz w:val="24"/>
          <w:szCs w:val="24"/>
        </w:rPr>
      </w:pPr>
      <w:r w:rsidRPr="005675B0">
        <w:rPr>
          <w:b/>
          <w:sz w:val="24"/>
          <w:szCs w:val="24"/>
        </w:rPr>
        <w:t>Australian Securities and Investments Commission</w:t>
      </w:r>
    </w:p>
    <w:p w:rsidR="00013EDF" w:rsidRPr="005675B0" w:rsidRDefault="00013EDF" w:rsidP="00D00278">
      <w:pPr>
        <w:keepNext/>
        <w:keepLines/>
        <w:tabs>
          <w:tab w:val="left" w:pos="426"/>
          <w:tab w:val="left" w:pos="851"/>
        </w:tabs>
        <w:spacing w:before="240"/>
        <w:jc w:val="both"/>
        <w:rPr>
          <w:sz w:val="20"/>
        </w:rPr>
      </w:pPr>
      <w:r w:rsidRPr="005675B0">
        <w:rPr>
          <w:sz w:val="20"/>
        </w:rPr>
        <w:t>SUMMONS TO WITNESS</w:t>
      </w:r>
    </w:p>
    <w:p w:rsidR="00013EDF" w:rsidRPr="005675B0" w:rsidRDefault="00013EDF" w:rsidP="00013EDF">
      <w:pPr>
        <w:tabs>
          <w:tab w:val="left" w:pos="3119"/>
        </w:tabs>
        <w:spacing w:before="60"/>
      </w:pPr>
      <w:r w:rsidRPr="005675B0">
        <w:t>In the matter of</w:t>
      </w:r>
      <w:r w:rsidRPr="005675B0">
        <w:tab/>
      </w:r>
      <w:r w:rsidRPr="005675B0">
        <w:rPr>
          <w:vertAlign w:val="superscript"/>
        </w:rPr>
        <w:t>1</w:t>
      </w:r>
    </w:p>
    <w:p w:rsidR="00013EDF" w:rsidRPr="005675B0" w:rsidRDefault="00013EDF" w:rsidP="00013EDF">
      <w:pPr>
        <w:tabs>
          <w:tab w:val="left" w:pos="4253"/>
        </w:tabs>
        <w:spacing w:before="120"/>
      </w:pPr>
      <w:r w:rsidRPr="005675B0">
        <w:t>To:</w:t>
      </w:r>
      <w:r w:rsidRPr="005675B0">
        <w:tab/>
      </w:r>
      <w:r w:rsidRPr="005675B0">
        <w:rPr>
          <w:vertAlign w:val="subscript"/>
        </w:rPr>
        <w:t>2</w:t>
      </w:r>
    </w:p>
    <w:p w:rsidR="00013EDF" w:rsidRPr="005675B0" w:rsidRDefault="00013EDF" w:rsidP="00013EDF">
      <w:pPr>
        <w:tabs>
          <w:tab w:val="left" w:pos="2127"/>
        </w:tabs>
        <w:spacing w:before="120"/>
        <w:jc w:val="both"/>
      </w:pPr>
      <w:r w:rsidRPr="005675B0">
        <w:t>at</w:t>
      </w:r>
      <w:r w:rsidRPr="005675B0">
        <w:tab/>
      </w:r>
      <w:r w:rsidRPr="005675B0">
        <w:rPr>
          <w:vertAlign w:val="superscript"/>
        </w:rPr>
        <w:t>4</w:t>
      </w:r>
      <w:r w:rsidRPr="005675B0">
        <w:t>you are summoned to appear before the Australian Securities and Investments Commission</w:t>
      </w:r>
      <w:r w:rsidRPr="005675B0">
        <w:rPr>
          <w:vertAlign w:val="superscript"/>
        </w:rPr>
        <w:t>3</w:t>
      </w:r>
      <w:r w:rsidRPr="005675B0">
        <w:t>/Takeovers Panel</w:t>
      </w:r>
      <w:r w:rsidRPr="005675B0">
        <w:rPr>
          <w:vertAlign w:val="superscript"/>
        </w:rPr>
        <w:t>3</w:t>
      </w:r>
      <w:r w:rsidRPr="005675B0">
        <w:t>/Companies Auditors Disciplinary Board</w:t>
      </w:r>
      <w:r w:rsidRPr="005675B0">
        <w:rPr>
          <w:vertAlign w:val="superscript"/>
        </w:rPr>
        <w:t>3</w:t>
      </w:r>
    </w:p>
    <w:p w:rsidR="00013EDF" w:rsidRPr="005675B0" w:rsidRDefault="00013EDF" w:rsidP="00013EDF">
      <w:pPr>
        <w:tabs>
          <w:tab w:val="left" w:pos="2694"/>
        </w:tabs>
        <w:rPr>
          <w:sz w:val="16"/>
          <w:szCs w:val="16"/>
        </w:rPr>
      </w:pPr>
    </w:p>
    <w:p w:rsidR="00013EDF" w:rsidRPr="005675B0" w:rsidRDefault="00013EDF" w:rsidP="00013EDF">
      <w:pPr>
        <w:tabs>
          <w:tab w:val="left" w:pos="3828"/>
        </w:tabs>
        <w:spacing w:before="60"/>
      </w:pPr>
      <w:r w:rsidRPr="005675B0">
        <w:t>on</w:t>
      </w:r>
      <w:r w:rsidRPr="005675B0">
        <w:tab/>
      </w:r>
      <w:r w:rsidRPr="005675B0">
        <w:rPr>
          <w:vertAlign w:val="superscript"/>
        </w:rPr>
        <w:t>5</w:t>
      </w:r>
    </w:p>
    <w:p w:rsidR="00013EDF" w:rsidRPr="005675B0" w:rsidRDefault="00013EDF" w:rsidP="00013EDF">
      <w:pPr>
        <w:tabs>
          <w:tab w:val="left" w:pos="4820"/>
        </w:tabs>
        <w:spacing w:before="60"/>
        <w:jc w:val="both"/>
        <w:rPr>
          <w:vertAlign w:val="superscript"/>
        </w:rPr>
      </w:pPr>
      <w:r w:rsidRPr="005675B0">
        <w:t>at</w:t>
      </w:r>
      <w:r w:rsidRPr="005675B0">
        <w:tab/>
      </w:r>
      <w:r w:rsidRPr="005675B0">
        <w:rPr>
          <w:vertAlign w:val="superscript"/>
        </w:rPr>
        <w:t xml:space="preserve">6 </w:t>
      </w:r>
      <w:r w:rsidRPr="005675B0">
        <w:t>and thereafter to attend from day to day until the hearing in this matter is completed or you are excused or released from further attendance by a member of the Commission</w:t>
      </w:r>
      <w:r w:rsidRPr="005675B0">
        <w:rPr>
          <w:vertAlign w:val="superscript"/>
        </w:rPr>
        <w:t>3</w:t>
      </w:r>
      <w:r w:rsidRPr="005675B0">
        <w:t>/ Panel</w:t>
      </w:r>
      <w:r w:rsidRPr="005675B0">
        <w:rPr>
          <w:vertAlign w:val="superscript"/>
        </w:rPr>
        <w:t>3</w:t>
      </w:r>
      <w:r w:rsidRPr="005675B0">
        <w:t>/Board</w:t>
      </w:r>
      <w:r w:rsidRPr="005675B0">
        <w:rPr>
          <w:vertAlign w:val="superscript"/>
        </w:rPr>
        <w:t>3</w:t>
      </w:r>
      <w:r w:rsidRPr="005675B0">
        <w:t>.</w:t>
      </w:r>
    </w:p>
    <w:p w:rsidR="00013EDF" w:rsidRPr="005675B0" w:rsidRDefault="00013EDF" w:rsidP="00013EDF">
      <w:pPr>
        <w:tabs>
          <w:tab w:val="left" w:pos="426"/>
          <w:tab w:val="left" w:pos="851"/>
        </w:tabs>
        <w:spacing w:before="180"/>
        <w:jc w:val="both"/>
      </w:pPr>
      <w:r w:rsidRPr="005675B0">
        <w:rPr>
          <w:vertAlign w:val="superscript"/>
        </w:rPr>
        <w:t>3</w:t>
      </w:r>
      <w:r w:rsidRPr="005675B0">
        <w:t xml:space="preserve">You are required to produce the following document(s) at the hearing: </w:t>
      </w:r>
    </w:p>
    <w:p w:rsidR="00013EDF" w:rsidRPr="005675B0" w:rsidRDefault="00013EDF" w:rsidP="00013EDF">
      <w:pPr>
        <w:tabs>
          <w:tab w:val="left" w:pos="3686"/>
        </w:tabs>
        <w:spacing w:before="60"/>
      </w:pPr>
      <w:r w:rsidRPr="005675B0">
        <w:tab/>
      </w:r>
      <w:r w:rsidRPr="005675B0">
        <w:rPr>
          <w:vertAlign w:val="superscript"/>
        </w:rPr>
        <w:t>7</w:t>
      </w:r>
    </w:p>
    <w:p w:rsidR="00013EDF" w:rsidRPr="005675B0" w:rsidRDefault="00013EDF" w:rsidP="00013EDF">
      <w:pPr>
        <w:tabs>
          <w:tab w:val="left" w:pos="3119"/>
        </w:tabs>
        <w:spacing w:before="60"/>
      </w:pPr>
      <w:r w:rsidRPr="005675B0">
        <w:t>Dated</w:t>
      </w:r>
      <w:r w:rsidRPr="005675B0">
        <w:tab/>
      </w:r>
      <w:r w:rsidRPr="005675B0">
        <w:rPr>
          <w:vertAlign w:val="superscript"/>
        </w:rPr>
        <w:t>4</w:t>
      </w:r>
      <w:r w:rsidRPr="005675B0">
        <w:t>.</w:t>
      </w:r>
    </w:p>
    <w:p w:rsidR="00013EDF" w:rsidRPr="005675B0" w:rsidRDefault="00013EDF" w:rsidP="00013EDF">
      <w:pPr>
        <w:tabs>
          <w:tab w:val="left" w:pos="426"/>
          <w:tab w:val="left" w:pos="851"/>
        </w:tabs>
        <w:spacing w:before="120"/>
        <w:jc w:val="both"/>
      </w:pPr>
      <w:r w:rsidRPr="005675B0">
        <w:t>Signature of person authorised by</w:t>
      </w:r>
    </w:p>
    <w:p w:rsidR="00013EDF" w:rsidRPr="005675B0" w:rsidRDefault="00013EDF" w:rsidP="00013EDF">
      <w:pPr>
        <w:tabs>
          <w:tab w:val="left" w:pos="426"/>
          <w:tab w:val="left" w:pos="851"/>
        </w:tabs>
        <w:spacing w:after="60"/>
        <w:jc w:val="both"/>
      </w:pPr>
      <w:r w:rsidRPr="005675B0">
        <w:t>the Commission</w:t>
      </w:r>
      <w:r w:rsidRPr="005675B0">
        <w:rPr>
          <w:vertAlign w:val="superscript"/>
        </w:rPr>
        <w:t>3</w:t>
      </w:r>
      <w:r w:rsidRPr="005675B0">
        <w:t>/Panel</w:t>
      </w:r>
      <w:r w:rsidRPr="005675B0">
        <w:rPr>
          <w:vertAlign w:val="superscript"/>
        </w:rPr>
        <w:t>3</w:t>
      </w:r>
      <w:r w:rsidRPr="005675B0">
        <w:t>/Board</w:t>
      </w:r>
      <w:r w:rsidRPr="005675B0">
        <w:rPr>
          <w:vertAlign w:val="superscript"/>
        </w:rPr>
        <w:t>3</w:t>
      </w:r>
      <w:r w:rsidRPr="005675B0">
        <w:t xml:space="preserve"> to issue summons:</w:t>
      </w:r>
    </w:p>
    <w:p w:rsidR="00013EDF" w:rsidRPr="005675B0" w:rsidRDefault="00013EDF" w:rsidP="00013EDF">
      <w:pPr>
        <w:pBdr>
          <w:top w:val="single" w:sz="4" w:space="1" w:color="auto"/>
        </w:pBdr>
        <w:tabs>
          <w:tab w:val="left" w:pos="426"/>
          <w:tab w:val="left" w:pos="851"/>
        </w:tabs>
        <w:jc w:val="both"/>
        <w:rPr>
          <w:sz w:val="16"/>
        </w:rPr>
      </w:pPr>
    </w:p>
    <w:p w:rsidR="00013EDF" w:rsidRPr="005675B0" w:rsidRDefault="00013EDF" w:rsidP="00DE27A5">
      <w:pPr>
        <w:pStyle w:val="ENotesText"/>
      </w:pPr>
      <w:r w:rsidRPr="005675B0">
        <w:t>1</w:t>
      </w:r>
      <w:r w:rsidR="00707709" w:rsidRPr="005675B0">
        <w:rPr>
          <w:i/>
        </w:rPr>
        <w:tab/>
        <w:t>insert description of matter</w:t>
      </w:r>
    </w:p>
    <w:p w:rsidR="00013EDF" w:rsidRPr="005675B0" w:rsidRDefault="00013EDF" w:rsidP="00DE27A5">
      <w:pPr>
        <w:pStyle w:val="ENotesText"/>
      </w:pPr>
      <w:r w:rsidRPr="005675B0">
        <w:t>2</w:t>
      </w:r>
      <w:r w:rsidRPr="005675B0">
        <w:tab/>
      </w:r>
      <w:r w:rsidRPr="005675B0">
        <w:rPr>
          <w:i/>
        </w:rPr>
        <w:t xml:space="preserve">insert full name and address of the person to </w:t>
      </w:r>
      <w:r w:rsidR="00707709" w:rsidRPr="005675B0">
        <w:rPr>
          <w:i/>
        </w:rPr>
        <w:t>be summoned to appear</w:t>
      </w:r>
    </w:p>
    <w:p w:rsidR="00013EDF" w:rsidRPr="005675B0" w:rsidRDefault="00013EDF" w:rsidP="00DE27A5">
      <w:pPr>
        <w:pStyle w:val="ENotesText"/>
      </w:pPr>
      <w:r w:rsidRPr="005675B0">
        <w:t>3</w:t>
      </w:r>
      <w:r w:rsidRPr="005675B0">
        <w:tab/>
      </w:r>
      <w:r w:rsidRPr="005675B0">
        <w:rPr>
          <w:i/>
        </w:rPr>
        <w:t>strik</w:t>
      </w:r>
      <w:r w:rsidR="00707709" w:rsidRPr="005675B0">
        <w:rPr>
          <w:i/>
        </w:rPr>
        <w:t>e out or delete if inapplicable</w:t>
      </w:r>
    </w:p>
    <w:p w:rsidR="00013EDF" w:rsidRPr="005675B0" w:rsidRDefault="00707709" w:rsidP="00DE27A5">
      <w:pPr>
        <w:pStyle w:val="ENotesText"/>
      </w:pPr>
      <w:r w:rsidRPr="005675B0">
        <w:t>4</w:t>
      </w:r>
      <w:r w:rsidRPr="005675B0">
        <w:tab/>
      </w:r>
      <w:r w:rsidRPr="005675B0">
        <w:rPr>
          <w:i/>
        </w:rPr>
        <w:t>insert time of day</w:t>
      </w:r>
    </w:p>
    <w:p w:rsidR="00013EDF" w:rsidRPr="005675B0" w:rsidRDefault="00707709" w:rsidP="00DE27A5">
      <w:pPr>
        <w:pStyle w:val="ENotesText"/>
      </w:pPr>
      <w:r w:rsidRPr="005675B0">
        <w:t>5</w:t>
      </w:r>
      <w:r w:rsidRPr="005675B0">
        <w:tab/>
      </w:r>
      <w:r w:rsidRPr="005675B0">
        <w:rPr>
          <w:i/>
        </w:rPr>
        <w:t>insert date</w:t>
      </w:r>
    </w:p>
    <w:p w:rsidR="00013EDF" w:rsidRPr="005675B0" w:rsidRDefault="00013EDF" w:rsidP="00DE27A5">
      <w:pPr>
        <w:pStyle w:val="ENotesText"/>
      </w:pPr>
      <w:r w:rsidRPr="005675B0">
        <w:t>6</w:t>
      </w:r>
      <w:r w:rsidRPr="005675B0">
        <w:tab/>
      </w:r>
      <w:r w:rsidRPr="005675B0">
        <w:rPr>
          <w:i/>
        </w:rPr>
        <w:t xml:space="preserve">insert full particulars of the address of the place </w:t>
      </w:r>
      <w:r w:rsidR="00707709" w:rsidRPr="005675B0">
        <w:rPr>
          <w:i/>
        </w:rPr>
        <w:t>where the hearing is to be held</w:t>
      </w:r>
    </w:p>
    <w:p w:rsidR="00013EDF" w:rsidRPr="005675B0" w:rsidRDefault="00013EDF" w:rsidP="00DE27A5">
      <w:pPr>
        <w:pStyle w:val="ENotesText"/>
      </w:pPr>
      <w:r w:rsidRPr="005675B0">
        <w:t>7</w:t>
      </w:r>
      <w:r w:rsidRPr="005675B0">
        <w:tab/>
      </w:r>
      <w:r w:rsidRPr="005675B0">
        <w:rPr>
          <w:i/>
        </w:rPr>
        <w:t>insert description(s) of the documents that are to be produced at t</w:t>
      </w:r>
      <w:r w:rsidR="00707709" w:rsidRPr="005675B0">
        <w:rPr>
          <w:i/>
        </w:rPr>
        <w:t>he hearing</w:t>
      </w:r>
    </w:p>
    <w:p w:rsidR="00F66E20" w:rsidRPr="005675B0" w:rsidRDefault="00970EC1" w:rsidP="00DE27A5">
      <w:pPr>
        <w:pStyle w:val="ActHead1"/>
        <w:pageBreakBefore/>
      </w:pPr>
      <w:bookmarkStart w:id="75" w:name="BK_S4P28L1C1"/>
      <w:bookmarkStart w:id="76" w:name="_Toc46238198"/>
      <w:bookmarkEnd w:id="75"/>
      <w:r w:rsidRPr="005675B0">
        <w:rPr>
          <w:rStyle w:val="CharChapNo"/>
        </w:rPr>
        <w:lastRenderedPageBreak/>
        <w:t>Schedule</w:t>
      </w:r>
      <w:r w:rsidR="005675B0" w:rsidRPr="005675B0">
        <w:rPr>
          <w:rStyle w:val="CharChapNo"/>
        </w:rPr>
        <w:t> </w:t>
      </w:r>
      <w:r w:rsidR="00F66E20" w:rsidRPr="005675B0">
        <w:rPr>
          <w:rStyle w:val="CharChapNo"/>
        </w:rPr>
        <w:t>2</w:t>
      </w:r>
      <w:r w:rsidRPr="005675B0">
        <w:t>—</w:t>
      </w:r>
      <w:r w:rsidR="00F66E20" w:rsidRPr="005675B0">
        <w:rPr>
          <w:rStyle w:val="CharChapText"/>
        </w:rPr>
        <w:t>Witnesses fees and allowances for expenses</w:t>
      </w:r>
      <w:bookmarkEnd w:id="76"/>
    </w:p>
    <w:p w:rsidR="00F66E20" w:rsidRPr="005675B0" w:rsidRDefault="00F66E20" w:rsidP="00970EC1">
      <w:pPr>
        <w:pStyle w:val="notemargin"/>
      </w:pPr>
      <w:bookmarkStart w:id="77" w:name="BK_S4P28L3C1"/>
      <w:bookmarkEnd w:id="77"/>
      <w:r w:rsidRPr="005675B0">
        <w:t>(regulations</w:t>
      </w:r>
      <w:r w:rsidR="005675B0">
        <w:t> </w:t>
      </w:r>
      <w:r w:rsidRPr="005675B0">
        <w:t>8, 12 and 43)</w:t>
      </w:r>
    </w:p>
    <w:p w:rsidR="00F66E20" w:rsidRPr="005675B0" w:rsidRDefault="00DE27A5" w:rsidP="00F66E20">
      <w:pPr>
        <w:pStyle w:val="Header"/>
      </w:pPr>
      <w:bookmarkStart w:id="78" w:name="f_Check_Lines_below"/>
      <w:bookmarkEnd w:id="78"/>
      <w:r w:rsidRPr="005675B0">
        <w:rPr>
          <w:rStyle w:val="CharPartNo"/>
        </w:rPr>
        <w:t xml:space="preserve"> </w:t>
      </w:r>
      <w:r w:rsidRPr="005675B0">
        <w:rPr>
          <w:rStyle w:val="CharPartText"/>
        </w:rPr>
        <w:t xml:space="preserve"> </w:t>
      </w:r>
    </w:p>
    <w:p w:rsidR="00F66E20" w:rsidRPr="005675B0" w:rsidRDefault="00EF5671" w:rsidP="00EF5671">
      <w:pPr>
        <w:pStyle w:val="subsection"/>
      </w:pPr>
      <w:r w:rsidRPr="005675B0">
        <w:tab/>
      </w:r>
      <w:r w:rsidR="00F66E20" w:rsidRPr="005675B0">
        <w:t>1.</w:t>
      </w:r>
      <w:r w:rsidR="00F66E20" w:rsidRPr="005675B0">
        <w:tab/>
        <w:t xml:space="preserve">A person summoned to appear as a witness, because of his or her professional, scientific or other special skill or knowledge, before the Commission, the Panel or the Board must be paid: </w:t>
      </w:r>
    </w:p>
    <w:p w:rsidR="00F66E20" w:rsidRPr="005675B0" w:rsidRDefault="00F66E20" w:rsidP="00970EC1">
      <w:pPr>
        <w:pStyle w:val="paragraph"/>
      </w:pPr>
      <w:r w:rsidRPr="005675B0">
        <w:tab/>
        <w:t>(a)</w:t>
      </w:r>
      <w:r w:rsidRPr="005675B0">
        <w:tab/>
        <w:t>if the person is remunerated in his or her occupation by wages, salary or fees</w:t>
      </w:r>
      <w:r w:rsidR="00970EC1" w:rsidRPr="005675B0">
        <w:t>—</w:t>
      </w:r>
      <w:r w:rsidRPr="005675B0">
        <w:t xml:space="preserve">an amount equal to the amount of wages, salary or fees not paid to the person because of his or her attendance for that purpose; and </w:t>
      </w:r>
    </w:p>
    <w:p w:rsidR="00F66E20" w:rsidRPr="005675B0" w:rsidRDefault="00F66E20" w:rsidP="00970EC1">
      <w:pPr>
        <w:pStyle w:val="paragraph"/>
      </w:pPr>
      <w:r w:rsidRPr="005675B0">
        <w:tab/>
        <w:t>(b)</w:t>
      </w:r>
      <w:r w:rsidRPr="005675B0">
        <w:tab/>
        <w:t>in any other case</w:t>
      </w:r>
      <w:r w:rsidR="00970EC1" w:rsidRPr="005675B0">
        <w:t>—</w:t>
      </w:r>
      <w:r w:rsidRPr="005675B0">
        <w:t xml:space="preserve">an amount of not less than $81, or more than $407, for each day on which he or she so attends. </w:t>
      </w:r>
    </w:p>
    <w:p w:rsidR="00F66E20" w:rsidRPr="005675B0" w:rsidRDefault="00EF5671" w:rsidP="00EF5671">
      <w:pPr>
        <w:pStyle w:val="subsection"/>
      </w:pPr>
      <w:r w:rsidRPr="005675B0">
        <w:tab/>
      </w:r>
      <w:r w:rsidR="00F66E20" w:rsidRPr="005675B0">
        <w:t>2.</w:t>
      </w:r>
      <w:r w:rsidR="00F66E20" w:rsidRPr="005675B0">
        <w:tab/>
        <w:t>A person summoned to appear as a witness, other than a witness referred to in item</w:t>
      </w:r>
      <w:r w:rsidR="005675B0">
        <w:t> </w:t>
      </w:r>
      <w:r w:rsidR="00F66E20" w:rsidRPr="005675B0">
        <w:t xml:space="preserve">1, before the Commission, the Panel or the Board must be paid: </w:t>
      </w:r>
    </w:p>
    <w:p w:rsidR="00F66E20" w:rsidRPr="005675B0" w:rsidRDefault="00F66E20" w:rsidP="00EF5671">
      <w:pPr>
        <w:pStyle w:val="paragraph"/>
      </w:pPr>
      <w:r w:rsidRPr="005675B0">
        <w:tab/>
        <w:t>(a)</w:t>
      </w:r>
      <w:r w:rsidRPr="005675B0">
        <w:tab/>
        <w:t>if the person is remunerated in his or her occupation by wages, salary or fees</w:t>
      </w:r>
      <w:r w:rsidR="00970EC1" w:rsidRPr="005675B0">
        <w:t>—</w:t>
      </w:r>
      <w:r w:rsidRPr="005675B0">
        <w:t xml:space="preserve">an amount equal to the amount of wages, salary or fees not paid to the person because of his or her attendance for that purpose; and </w:t>
      </w:r>
    </w:p>
    <w:p w:rsidR="00F66E20" w:rsidRPr="005675B0" w:rsidRDefault="00F66E20" w:rsidP="00EF5671">
      <w:pPr>
        <w:pStyle w:val="paragraph"/>
      </w:pPr>
      <w:r w:rsidRPr="005675B0">
        <w:tab/>
        <w:t>(b)</w:t>
      </w:r>
      <w:r w:rsidRPr="005675B0">
        <w:tab/>
        <w:t>in any other case</w:t>
      </w:r>
      <w:r w:rsidR="00970EC1" w:rsidRPr="005675B0">
        <w:t>—</w:t>
      </w:r>
      <w:r w:rsidRPr="005675B0">
        <w:t xml:space="preserve">an amount of not less than $46, or more than $76, for each day on which he or she so attends. </w:t>
      </w:r>
    </w:p>
    <w:p w:rsidR="00F66E20" w:rsidRPr="005675B0" w:rsidRDefault="00EF5671" w:rsidP="00EF5671">
      <w:pPr>
        <w:pStyle w:val="subsection"/>
      </w:pPr>
      <w:r w:rsidRPr="005675B0">
        <w:tab/>
      </w:r>
      <w:r w:rsidR="00F66E20" w:rsidRPr="005675B0">
        <w:t>3.</w:t>
      </w:r>
      <w:r w:rsidR="00F66E20" w:rsidRPr="005675B0">
        <w:tab/>
        <w:t xml:space="preserve">A person summoned to appear as a witness before the Commission, the Panel or the Board must be paid a reasonable amount for allowances for: </w:t>
      </w:r>
    </w:p>
    <w:p w:rsidR="00F66E20" w:rsidRPr="005675B0" w:rsidRDefault="00F66E20" w:rsidP="00EF5671">
      <w:pPr>
        <w:pStyle w:val="paragraph"/>
      </w:pPr>
      <w:r w:rsidRPr="005675B0">
        <w:tab/>
        <w:t>(a)</w:t>
      </w:r>
      <w:r w:rsidRPr="005675B0">
        <w:tab/>
        <w:t xml:space="preserve">transport between the usual place of residence of the person and the place that he or she attends for that purpose; and </w:t>
      </w:r>
    </w:p>
    <w:p w:rsidR="00F66E20" w:rsidRPr="005675B0" w:rsidRDefault="00F66E20" w:rsidP="00EF5671">
      <w:pPr>
        <w:pStyle w:val="paragraph"/>
      </w:pPr>
      <w:r w:rsidRPr="005675B0">
        <w:tab/>
        <w:t>(b)</w:t>
      </w:r>
      <w:r w:rsidRPr="005675B0">
        <w:tab/>
        <w:t>if he or she is required to be absent overnight from his or her usual place of residence</w:t>
      </w:r>
      <w:r w:rsidR="00970EC1" w:rsidRPr="005675B0">
        <w:t>—</w:t>
      </w:r>
      <w:r w:rsidRPr="005675B0">
        <w:t xml:space="preserve">meals and accommodation during the absence. </w:t>
      </w:r>
    </w:p>
    <w:p w:rsidR="00F66E20" w:rsidRPr="005675B0" w:rsidRDefault="00970EC1" w:rsidP="00DE27A5">
      <w:pPr>
        <w:pStyle w:val="ActHead1"/>
        <w:pageBreakBefore/>
      </w:pPr>
      <w:bookmarkStart w:id="79" w:name="_Toc46238199"/>
      <w:r w:rsidRPr="005675B0">
        <w:rPr>
          <w:rStyle w:val="CharChapNo"/>
        </w:rPr>
        <w:lastRenderedPageBreak/>
        <w:t>Schedule</w:t>
      </w:r>
      <w:r w:rsidR="005675B0" w:rsidRPr="005675B0">
        <w:rPr>
          <w:rStyle w:val="CharChapNo"/>
        </w:rPr>
        <w:t> </w:t>
      </w:r>
      <w:r w:rsidR="00F66E20" w:rsidRPr="005675B0">
        <w:rPr>
          <w:rStyle w:val="CharChapNo"/>
        </w:rPr>
        <w:t>3</w:t>
      </w:r>
      <w:r w:rsidRPr="005675B0">
        <w:t>—</w:t>
      </w:r>
      <w:r w:rsidR="00F66E20" w:rsidRPr="005675B0">
        <w:rPr>
          <w:rStyle w:val="CharChapText"/>
        </w:rPr>
        <w:t>Bodies corporate to which information may be disclosed</w:t>
      </w:r>
      <w:bookmarkEnd w:id="79"/>
      <w:r w:rsidR="00F66E20" w:rsidRPr="005675B0">
        <w:rPr>
          <w:rStyle w:val="CharChapText"/>
        </w:rPr>
        <w:t xml:space="preserve"> </w:t>
      </w:r>
    </w:p>
    <w:p w:rsidR="00F66E20" w:rsidRPr="005675B0" w:rsidRDefault="00F66E20" w:rsidP="00970EC1">
      <w:pPr>
        <w:pStyle w:val="notemargin"/>
      </w:pPr>
      <w:bookmarkStart w:id="80" w:name="BK_S4P29L3C1"/>
      <w:bookmarkEnd w:id="80"/>
      <w:r w:rsidRPr="005675B0">
        <w:t>(regulation</w:t>
      </w:r>
      <w:r w:rsidR="005675B0">
        <w:t> </w:t>
      </w:r>
      <w:r w:rsidRPr="005675B0">
        <w:t>8A)</w:t>
      </w:r>
    </w:p>
    <w:p w:rsidR="00245C1C" w:rsidRPr="005675B0" w:rsidRDefault="00970EC1" w:rsidP="00970EC1">
      <w:pPr>
        <w:pStyle w:val="ActHead2"/>
      </w:pPr>
      <w:bookmarkStart w:id="81" w:name="BK_S4P29L4C1"/>
      <w:bookmarkStart w:id="82" w:name="_Toc46238200"/>
      <w:bookmarkEnd w:id="81"/>
      <w:r w:rsidRPr="005675B0">
        <w:rPr>
          <w:rStyle w:val="CharPartNo"/>
        </w:rPr>
        <w:t>Part</w:t>
      </w:r>
      <w:r w:rsidR="005675B0" w:rsidRPr="005675B0">
        <w:rPr>
          <w:rStyle w:val="CharPartNo"/>
        </w:rPr>
        <w:t> </w:t>
      </w:r>
      <w:r w:rsidR="00245C1C" w:rsidRPr="005675B0">
        <w:rPr>
          <w:rStyle w:val="CharPartNo"/>
        </w:rPr>
        <w:t>1</w:t>
      </w:r>
      <w:r w:rsidRPr="005675B0">
        <w:t>—</w:t>
      </w:r>
      <w:r w:rsidR="00245C1C" w:rsidRPr="005675B0">
        <w:rPr>
          <w:rStyle w:val="CharPartText"/>
        </w:rPr>
        <w:t>Australian bodies corporate</w:t>
      </w:r>
      <w:bookmarkEnd w:id="82"/>
    </w:p>
    <w:p w:rsidR="00970EC1" w:rsidRPr="005675B0" w:rsidRDefault="00970EC1" w:rsidP="00DE27A5">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983"/>
        <w:gridCol w:w="7546"/>
      </w:tblGrid>
      <w:tr w:rsidR="00245C1C" w:rsidRPr="005675B0" w:rsidTr="00FE1311">
        <w:trPr>
          <w:tblHeader/>
        </w:trPr>
        <w:tc>
          <w:tcPr>
            <w:tcW w:w="576" w:type="pct"/>
            <w:tcBorders>
              <w:top w:val="single" w:sz="12" w:space="0" w:color="auto"/>
              <w:bottom w:val="single" w:sz="12" w:space="0" w:color="auto"/>
            </w:tcBorders>
            <w:shd w:val="clear" w:color="auto" w:fill="auto"/>
            <w:hideMark/>
          </w:tcPr>
          <w:p w:rsidR="00245C1C" w:rsidRPr="005675B0" w:rsidRDefault="00245C1C" w:rsidP="00DB6102">
            <w:pPr>
              <w:pStyle w:val="TableHeading"/>
            </w:pPr>
            <w:r w:rsidRPr="005675B0">
              <w:t>Item</w:t>
            </w:r>
          </w:p>
        </w:tc>
        <w:tc>
          <w:tcPr>
            <w:tcW w:w="4424" w:type="pct"/>
            <w:tcBorders>
              <w:top w:val="single" w:sz="12" w:space="0" w:color="auto"/>
              <w:bottom w:val="single" w:sz="12" w:space="0" w:color="auto"/>
            </w:tcBorders>
            <w:shd w:val="clear" w:color="auto" w:fill="auto"/>
            <w:hideMark/>
          </w:tcPr>
          <w:p w:rsidR="00245C1C" w:rsidRPr="005675B0" w:rsidRDefault="00245C1C" w:rsidP="00DB6102">
            <w:pPr>
              <w:pStyle w:val="TableHeading"/>
            </w:pPr>
            <w:r w:rsidRPr="005675B0">
              <w:t>Body Corporate</w:t>
            </w:r>
          </w:p>
        </w:tc>
      </w:tr>
      <w:tr w:rsidR="00245C1C" w:rsidRPr="005675B0" w:rsidTr="00FE1311">
        <w:tc>
          <w:tcPr>
            <w:tcW w:w="576" w:type="pct"/>
            <w:tcBorders>
              <w:top w:val="single" w:sz="12" w:space="0" w:color="auto"/>
            </w:tcBorders>
            <w:shd w:val="clear" w:color="auto" w:fill="auto"/>
            <w:hideMark/>
          </w:tcPr>
          <w:p w:rsidR="00245C1C" w:rsidRPr="005675B0" w:rsidRDefault="00245C1C" w:rsidP="00970EC1">
            <w:pPr>
              <w:pStyle w:val="Tabletext"/>
            </w:pPr>
            <w:r w:rsidRPr="005675B0">
              <w:t>1</w:t>
            </w:r>
          </w:p>
        </w:tc>
        <w:tc>
          <w:tcPr>
            <w:tcW w:w="4424" w:type="pct"/>
            <w:tcBorders>
              <w:top w:val="single" w:sz="12" w:space="0" w:color="auto"/>
            </w:tcBorders>
            <w:shd w:val="clear" w:color="auto" w:fill="auto"/>
            <w:hideMark/>
          </w:tcPr>
          <w:p w:rsidR="00245C1C" w:rsidRPr="005675B0" w:rsidRDefault="00245C1C" w:rsidP="00970EC1">
            <w:pPr>
              <w:pStyle w:val="Tabletext"/>
            </w:pPr>
            <w:r w:rsidRPr="005675B0">
              <w:t>Asia Pacific Exchange Limited</w:t>
            </w:r>
          </w:p>
        </w:tc>
      </w:tr>
      <w:tr w:rsidR="00245C1C" w:rsidRPr="005675B0" w:rsidTr="00FE1311">
        <w:tc>
          <w:tcPr>
            <w:tcW w:w="576" w:type="pct"/>
            <w:shd w:val="clear" w:color="auto" w:fill="auto"/>
            <w:hideMark/>
          </w:tcPr>
          <w:p w:rsidR="00245C1C" w:rsidRPr="005675B0" w:rsidRDefault="00245C1C" w:rsidP="00970EC1">
            <w:pPr>
              <w:pStyle w:val="Tabletext"/>
            </w:pPr>
            <w:r w:rsidRPr="005675B0">
              <w:t>2</w:t>
            </w:r>
          </w:p>
        </w:tc>
        <w:tc>
          <w:tcPr>
            <w:tcW w:w="4424" w:type="pct"/>
            <w:shd w:val="clear" w:color="auto" w:fill="auto"/>
            <w:hideMark/>
          </w:tcPr>
          <w:p w:rsidR="00245C1C" w:rsidRPr="005675B0" w:rsidRDefault="00245C1C" w:rsidP="00970EC1">
            <w:pPr>
              <w:pStyle w:val="Tabletext"/>
            </w:pPr>
            <w:r w:rsidRPr="005675B0">
              <w:t>ASX Clear (Futures) Pty Limited</w:t>
            </w:r>
          </w:p>
        </w:tc>
      </w:tr>
      <w:tr w:rsidR="00245C1C" w:rsidRPr="005675B0" w:rsidTr="00FE1311">
        <w:tc>
          <w:tcPr>
            <w:tcW w:w="576" w:type="pct"/>
            <w:shd w:val="clear" w:color="auto" w:fill="auto"/>
            <w:hideMark/>
          </w:tcPr>
          <w:p w:rsidR="00245C1C" w:rsidRPr="005675B0" w:rsidRDefault="00245C1C" w:rsidP="00970EC1">
            <w:pPr>
              <w:pStyle w:val="Tabletext"/>
            </w:pPr>
            <w:r w:rsidRPr="005675B0">
              <w:t>3</w:t>
            </w:r>
          </w:p>
        </w:tc>
        <w:tc>
          <w:tcPr>
            <w:tcW w:w="4424" w:type="pct"/>
            <w:shd w:val="clear" w:color="auto" w:fill="auto"/>
            <w:hideMark/>
          </w:tcPr>
          <w:p w:rsidR="00245C1C" w:rsidRPr="005675B0" w:rsidRDefault="00245C1C" w:rsidP="00970EC1">
            <w:pPr>
              <w:pStyle w:val="Tabletext"/>
            </w:pPr>
            <w:r w:rsidRPr="005675B0">
              <w:t xml:space="preserve">ASX Clear Pty Limited </w:t>
            </w:r>
          </w:p>
        </w:tc>
      </w:tr>
      <w:tr w:rsidR="00245C1C" w:rsidRPr="005675B0" w:rsidTr="00FE1311">
        <w:tc>
          <w:tcPr>
            <w:tcW w:w="576" w:type="pct"/>
            <w:shd w:val="clear" w:color="auto" w:fill="auto"/>
          </w:tcPr>
          <w:p w:rsidR="00245C1C" w:rsidRPr="005675B0" w:rsidRDefault="00245C1C" w:rsidP="00970EC1">
            <w:pPr>
              <w:pStyle w:val="Tabletext"/>
            </w:pPr>
            <w:r w:rsidRPr="005675B0">
              <w:t>4</w:t>
            </w:r>
          </w:p>
        </w:tc>
        <w:tc>
          <w:tcPr>
            <w:tcW w:w="4424" w:type="pct"/>
            <w:shd w:val="clear" w:color="auto" w:fill="auto"/>
          </w:tcPr>
          <w:p w:rsidR="00245C1C" w:rsidRPr="005675B0" w:rsidRDefault="00245C1C" w:rsidP="00970EC1">
            <w:pPr>
              <w:pStyle w:val="Tabletext"/>
            </w:pPr>
            <w:r w:rsidRPr="005675B0">
              <w:t>ASX Compliance Pty Limited</w:t>
            </w:r>
          </w:p>
        </w:tc>
      </w:tr>
      <w:tr w:rsidR="00245C1C" w:rsidRPr="005675B0" w:rsidTr="00FE1311">
        <w:tc>
          <w:tcPr>
            <w:tcW w:w="576" w:type="pct"/>
            <w:shd w:val="clear" w:color="auto" w:fill="auto"/>
            <w:hideMark/>
          </w:tcPr>
          <w:p w:rsidR="00245C1C" w:rsidRPr="005675B0" w:rsidRDefault="00245C1C" w:rsidP="00970EC1">
            <w:pPr>
              <w:pStyle w:val="Tabletext"/>
            </w:pPr>
            <w:r w:rsidRPr="005675B0">
              <w:t>5</w:t>
            </w:r>
          </w:p>
        </w:tc>
        <w:tc>
          <w:tcPr>
            <w:tcW w:w="4424" w:type="pct"/>
            <w:shd w:val="clear" w:color="auto" w:fill="auto"/>
            <w:hideMark/>
          </w:tcPr>
          <w:p w:rsidR="00245C1C" w:rsidRPr="005675B0" w:rsidRDefault="00245C1C" w:rsidP="00970EC1">
            <w:pPr>
              <w:pStyle w:val="Tabletext"/>
            </w:pPr>
            <w:r w:rsidRPr="005675B0">
              <w:t xml:space="preserve">ASX Limited </w:t>
            </w:r>
          </w:p>
        </w:tc>
      </w:tr>
      <w:tr w:rsidR="00245C1C" w:rsidRPr="005675B0" w:rsidTr="00FE1311">
        <w:tc>
          <w:tcPr>
            <w:tcW w:w="576" w:type="pct"/>
            <w:shd w:val="clear" w:color="auto" w:fill="auto"/>
          </w:tcPr>
          <w:p w:rsidR="00245C1C" w:rsidRPr="005675B0" w:rsidRDefault="00245C1C" w:rsidP="00970EC1">
            <w:pPr>
              <w:pStyle w:val="Tabletext"/>
            </w:pPr>
            <w:r w:rsidRPr="005675B0">
              <w:t>6</w:t>
            </w:r>
          </w:p>
        </w:tc>
        <w:tc>
          <w:tcPr>
            <w:tcW w:w="4424" w:type="pct"/>
            <w:shd w:val="clear" w:color="auto" w:fill="auto"/>
          </w:tcPr>
          <w:p w:rsidR="00245C1C" w:rsidRPr="005675B0" w:rsidRDefault="00245C1C" w:rsidP="00970EC1">
            <w:pPr>
              <w:pStyle w:val="Tabletext"/>
            </w:pPr>
            <w:r w:rsidRPr="005675B0">
              <w:t>ASX Operations Pty Ltd</w:t>
            </w:r>
          </w:p>
        </w:tc>
      </w:tr>
      <w:tr w:rsidR="00245C1C" w:rsidRPr="005675B0" w:rsidTr="00FE1311">
        <w:tc>
          <w:tcPr>
            <w:tcW w:w="576" w:type="pct"/>
            <w:shd w:val="clear" w:color="auto" w:fill="auto"/>
            <w:hideMark/>
          </w:tcPr>
          <w:p w:rsidR="00245C1C" w:rsidRPr="005675B0" w:rsidRDefault="00245C1C" w:rsidP="00970EC1">
            <w:pPr>
              <w:pStyle w:val="Tabletext"/>
            </w:pPr>
            <w:r w:rsidRPr="005675B0">
              <w:t>7</w:t>
            </w:r>
          </w:p>
        </w:tc>
        <w:tc>
          <w:tcPr>
            <w:tcW w:w="4424" w:type="pct"/>
            <w:shd w:val="clear" w:color="auto" w:fill="auto"/>
            <w:hideMark/>
          </w:tcPr>
          <w:p w:rsidR="00245C1C" w:rsidRPr="005675B0" w:rsidRDefault="00245C1C" w:rsidP="00970EC1">
            <w:pPr>
              <w:pStyle w:val="Tabletext"/>
            </w:pPr>
            <w:r w:rsidRPr="005675B0">
              <w:t xml:space="preserve">ASX Settlement Pty Limited </w:t>
            </w:r>
          </w:p>
        </w:tc>
      </w:tr>
      <w:tr w:rsidR="00245C1C" w:rsidRPr="005675B0" w:rsidTr="00FE1311">
        <w:tc>
          <w:tcPr>
            <w:tcW w:w="576" w:type="pct"/>
            <w:shd w:val="clear" w:color="auto" w:fill="auto"/>
            <w:hideMark/>
          </w:tcPr>
          <w:p w:rsidR="00245C1C" w:rsidRPr="005675B0" w:rsidRDefault="00245C1C" w:rsidP="00970EC1">
            <w:pPr>
              <w:pStyle w:val="Tabletext"/>
            </w:pPr>
            <w:r w:rsidRPr="005675B0">
              <w:t>8</w:t>
            </w:r>
          </w:p>
        </w:tc>
        <w:tc>
          <w:tcPr>
            <w:tcW w:w="4424" w:type="pct"/>
            <w:shd w:val="clear" w:color="auto" w:fill="auto"/>
            <w:hideMark/>
          </w:tcPr>
          <w:p w:rsidR="00245C1C" w:rsidRPr="005675B0" w:rsidRDefault="00245C1C" w:rsidP="00970EC1">
            <w:pPr>
              <w:pStyle w:val="Tabletext"/>
            </w:pPr>
            <w:r w:rsidRPr="005675B0">
              <w:t>Austraclear Ltd</w:t>
            </w:r>
          </w:p>
        </w:tc>
      </w:tr>
      <w:tr w:rsidR="00245C1C" w:rsidRPr="005675B0" w:rsidTr="00FE1311">
        <w:tc>
          <w:tcPr>
            <w:tcW w:w="576" w:type="pct"/>
            <w:shd w:val="clear" w:color="auto" w:fill="auto"/>
            <w:hideMark/>
          </w:tcPr>
          <w:p w:rsidR="00245C1C" w:rsidRPr="005675B0" w:rsidRDefault="00245C1C" w:rsidP="00970EC1">
            <w:pPr>
              <w:pStyle w:val="Tabletext"/>
            </w:pPr>
            <w:r w:rsidRPr="005675B0">
              <w:t>9</w:t>
            </w:r>
          </w:p>
        </w:tc>
        <w:tc>
          <w:tcPr>
            <w:tcW w:w="4424" w:type="pct"/>
            <w:shd w:val="clear" w:color="auto" w:fill="auto"/>
            <w:hideMark/>
          </w:tcPr>
          <w:p w:rsidR="00245C1C" w:rsidRPr="005675B0" w:rsidRDefault="00245C1C" w:rsidP="00970EC1">
            <w:pPr>
              <w:pStyle w:val="Tabletext"/>
            </w:pPr>
            <w:r w:rsidRPr="005675B0">
              <w:t>Australian Securities Exchange Limited</w:t>
            </w:r>
          </w:p>
        </w:tc>
      </w:tr>
      <w:tr w:rsidR="00245C1C" w:rsidRPr="005675B0" w:rsidTr="00FE1311">
        <w:tc>
          <w:tcPr>
            <w:tcW w:w="576" w:type="pct"/>
            <w:shd w:val="clear" w:color="auto" w:fill="auto"/>
            <w:hideMark/>
          </w:tcPr>
          <w:p w:rsidR="00245C1C" w:rsidRPr="005675B0" w:rsidRDefault="00245C1C" w:rsidP="00970EC1">
            <w:pPr>
              <w:pStyle w:val="Tabletext"/>
            </w:pPr>
            <w:r w:rsidRPr="005675B0">
              <w:t>10</w:t>
            </w:r>
          </w:p>
        </w:tc>
        <w:tc>
          <w:tcPr>
            <w:tcW w:w="4424" w:type="pct"/>
            <w:shd w:val="clear" w:color="auto" w:fill="auto"/>
            <w:hideMark/>
          </w:tcPr>
          <w:p w:rsidR="00245C1C" w:rsidRPr="005675B0" w:rsidRDefault="00245C1C" w:rsidP="00970EC1">
            <w:pPr>
              <w:pStyle w:val="Tabletext"/>
            </w:pPr>
            <w:r w:rsidRPr="005675B0">
              <w:t>BGC Partners (Australia) Pty Limited</w:t>
            </w:r>
          </w:p>
        </w:tc>
      </w:tr>
      <w:tr w:rsidR="00245C1C" w:rsidRPr="005675B0" w:rsidTr="00FE1311">
        <w:tc>
          <w:tcPr>
            <w:tcW w:w="576" w:type="pct"/>
            <w:shd w:val="clear" w:color="auto" w:fill="auto"/>
            <w:hideMark/>
          </w:tcPr>
          <w:p w:rsidR="00245C1C" w:rsidRPr="005675B0" w:rsidRDefault="00245C1C" w:rsidP="00970EC1">
            <w:pPr>
              <w:pStyle w:val="Tabletext"/>
            </w:pPr>
            <w:r w:rsidRPr="005675B0">
              <w:t>11</w:t>
            </w:r>
          </w:p>
        </w:tc>
        <w:tc>
          <w:tcPr>
            <w:tcW w:w="4424" w:type="pct"/>
            <w:shd w:val="clear" w:color="auto" w:fill="auto"/>
            <w:hideMark/>
          </w:tcPr>
          <w:p w:rsidR="00245C1C" w:rsidRPr="005675B0" w:rsidRDefault="00245C1C" w:rsidP="00970EC1">
            <w:pPr>
              <w:pStyle w:val="Tabletext"/>
            </w:pPr>
            <w:r w:rsidRPr="005675B0">
              <w:t>Bloomberg Tradebook Australia Pty Ltd</w:t>
            </w:r>
          </w:p>
        </w:tc>
      </w:tr>
      <w:tr w:rsidR="00245C1C" w:rsidRPr="005675B0" w:rsidTr="00FE1311">
        <w:tc>
          <w:tcPr>
            <w:tcW w:w="576" w:type="pct"/>
            <w:shd w:val="clear" w:color="auto" w:fill="auto"/>
          </w:tcPr>
          <w:p w:rsidR="00245C1C" w:rsidRPr="005675B0" w:rsidRDefault="00245C1C" w:rsidP="00970EC1">
            <w:pPr>
              <w:pStyle w:val="Tabletext"/>
            </w:pPr>
            <w:r w:rsidRPr="005675B0">
              <w:t>12</w:t>
            </w:r>
          </w:p>
        </w:tc>
        <w:tc>
          <w:tcPr>
            <w:tcW w:w="4424" w:type="pct"/>
            <w:shd w:val="clear" w:color="auto" w:fill="auto"/>
          </w:tcPr>
          <w:p w:rsidR="00245C1C" w:rsidRPr="005675B0" w:rsidRDefault="00245C1C" w:rsidP="00970EC1">
            <w:pPr>
              <w:pStyle w:val="Tabletext"/>
            </w:pPr>
            <w:r w:rsidRPr="005675B0">
              <w:t>Chi</w:t>
            </w:r>
            <w:r w:rsidR="005675B0">
              <w:noBreakHyphen/>
            </w:r>
            <w:r w:rsidRPr="005675B0">
              <w:t>X Australia Pty Ltd</w:t>
            </w:r>
          </w:p>
        </w:tc>
      </w:tr>
      <w:tr w:rsidR="00245C1C" w:rsidRPr="005675B0" w:rsidTr="00FE1311">
        <w:tc>
          <w:tcPr>
            <w:tcW w:w="576" w:type="pct"/>
            <w:shd w:val="clear" w:color="auto" w:fill="auto"/>
            <w:hideMark/>
          </w:tcPr>
          <w:p w:rsidR="00245C1C" w:rsidRPr="005675B0" w:rsidRDefault="00245C1C" w:rsidP="00970EC1">
            <w:pPr>
              <w:pStyle w:val="Tabletext"/>
            </w:pPr>
            <w:r w:rsidRPr="005675B0">
              <w:t>13</w:t>
            </w:r>
          </w:p>
        </w:tc>
        <w:tc>
          <w:tcPr>
            <w:tcW w:w="4424" w:type="pct"/>
            <w:shd w:val="clear" w:color="auto" w:fill="auto"/>
            <w:hideMark/>
          </w:tcPr>
          <w:p w:rsidR="00245C1C" w:rsidRPr="005675B0" w:rsidRDefault="00245C1C" w:rsidP="00970EC1">
            <w:pPr>
              <w:pStyle w:val="Tabletext"/>
            </w:pPr>
            <w:r w:rsidRPr="005675B0">
              <w:t>ICAP Brokers Pty Limited</w:t>
            </w:r>
          </w:p>
        </w:tc>
      </w:tr>
      <w:tr w:rsidR="00245C1C" w:rsidRPr="005675B0" w:rsidTr="00FE1311">
        <w:tc>
          <w:tcPr>
            <w:tcW w:w="576" w:type="pct"/>
            <w:shd w:val="clear" w:color="auto" w:fill="auto"/>
            <w:hideMark/>
          </w:tcPr>
          <w:p w:rsidR="00245C1C" w:rsidRPr="005675B0" w:rsidRDefault="00245C1C" w:rsidP="00970EC1">
            <w:pPr>
              <w:pStyle w:val="Tabletext"/>
            </w:pPr>
            <w:r w:rsidRPr="005675B0">
              <w:t>14</w:t>
            </w:r>
          </w:p>
        </w:tc>
        <w:tc>
          <w:tcPr>
            <w:tcW w:w="4424" w:type="pct"/>
            <w:shd w:val="clear" w:color="auto" w:fill="auto"/>
            <w:hideMark/>
          </w:tcPr>
          <w:p w:rsidR="00245C1C" w:rsidRPr="005675B0" w:rsidRDefault="00245C1C" w:rsidP="00970EC1">
            <w:pPr>
              <w:pStyle w:val="Tabletext"/>
            </w:pPr>
            <w:r w:rsidRPr="005675B0">
              <w:t>IMB Ltd</w:t>
            </w:r>
          </w:p>
        </w:tc>
      </w:tr>
      <w:tr w:rsidR="00245C1C" w:rsidRPr="005675B0" w:rsidTr="00FE1311">
        <w:tc>
          <w:tcPr>
            <w:tcW w:w="576" w:type="pct"/>
            <w:shd w:val="clear" w:color="auto" w:fill="auto"/>
            <w:hideMark/>
          </w:tcPr>
          <w:p w:rsidR="00245C1C" w:rsidRPr="005675B0" w:rsidRDefault="00245C1C" w:rsidP="00970EC1">
            <w:pPr>
              <w:pStyle w:val="Tabletext"/>
            </w:pPr>
            <w:r w:rsidRPr="005675B0">
              <w:t>15</w:t>
            </w:r>
          </w:p>
        </w:tc>
        <w:tc>
          <w:tcPr>
            <w:tcW w:w="4424" w:type="pct"/>
            <w:shd w:val="clear" w:color="auto" w:fill="auto"/>
            <w:hideMark/>
          </w:tcPr>
          <w:p w:rsidR="00245C1C" w:rsidRPr="005675B0" w:rsidRDefault="00245C1C" w:rsidP="00970EC1">
            <w:pPr>
              <w:pStyle w:val="Tabletext"/>
            </w:pPr>
            <w:r w:rsidRPr="005675B0">
              <w:t>Mercari Pty Ltd</w:t>
            </w:r>
          </w:p>
        </w:tc>
      </w:tr>
      <w:tr w:rsidR="00245C1C" w:rsidRPr="005675B0" w:rsidTr="00FE1311">
        <w:tc>
          <w:tcPr>
            <w:tcW w:w="576" w:type="pct"/>
            <w:shd w:val="clear" w:color="auto" w:fill="auto"/>
            <w:hideMark/>
          </w:tcPr>
          <w:p w:rsidR="00245C1C" w:rsidRPr="005675B0" w:rsidRDefault="00245C1C" w:rsidP="00970EC1">
            <w:pPr>
              <w:pStyle w:val="Tabletext"/>
            </w:pPr>
            <w:r w:rsidRPr="005675B0">
              <w:t>16</w:t>
            </w:r>
          </w:p>
        </w:tc>
        <w:tc>
          <w:tcPr>
            <w:tcW w:w="4424" w:type="pct"/>
            <w:shd w:val="clear" w:color="auto" w:fill="auto"/>
            <w:hideMark/>
          </w:tcPr>
          <w:p w:rsidR="00245C1C" w:rsidRPr="005675B0" w:rsidRDefault="00245C1C" w:rsidP="00970EC1">
            <w:pPr>
              <w:pStyle w:val="Tabletext"/>
            </w:pPr>
            <w:r w:rsidRPr="005675B0">
              <w:t>National Stock Exchange of Australia Limited</w:t>
            </w:r>
          </w:p>
        </w:tc>
      </w:tr>
      <w:tr w:rsidR="00245C1C" w:rsidRPr="005675B0" w:rsidTr="00FE1311">
        <w:tc>
          <w:tcPr>
            <w:tcW w:w="576" w:type="pct"/>
            <w:tcBorders>
              <w:bottom w:val="single" w:sz="2" w:space="0" w:color="auto"/>
            </w:tcBorders>
            <w:shd w:val="clear" w:color="auto" w:fill="auto"/>
            <w:hideMark/>
          </w:tcPr>
          <w:p w:rsidR="00245C1C" w:rsidRPr="005675B0" w:rsidRDefault="00245C1C" w:rsidP="00970EC1">
            <w:pPr>
              <w:pStyle w:val="Tabletext"/>
            </w:pPr>
            <w:r w:rsidRPr="005675B0">
              <w:t>17</w:t>
            </w:r>
          </w:p>
        </w:tc>
        <w:tc>
          <w:tcPr>
            <w:tcW w:w="4424" w:type="pct"/>
            <w:tcBorders>
              <w:bottom w:val="single" w:sz="2" w:space="0" w:color="auto"/>
            </w:tcBorders>
            <w:shd w:val="clear" w:color="auto" w:fill="auto"/>
            <w:hideMark/>
          </w:tcPr>
          <w:p w:rsidR="00245C1C" w:rsidRPr="005675B0" w:rsidRDefault="00245C1C" w:rsidP="00970EC1">
            <w:pPr>
              <w:pStyle w:val="Tabletext"/>
            </w:pPr>
            <w:r w:rsidRPr="005675B0">
              <w:t>SIM Venture Securities Exchange Ltd</w:t>
            </w:r>
          </w:p>
        </w:tc>
      </w:tr>
      <w:tr w:rsidR="00245C1C" w:rsidRPr="005675B0" w:rsidTr="00FE1311">
        <w:tc>
          <w:tcPr>
            <w:tcW w:w="576" w:type="pct"/>
            <w:tcBorders>
              <w:top w:val="single" w:sz="2" w:space="0" w:color="auto"/>
              <w:bottom w:val="single" w:sz="12" w:space="0" w:color="auto"/>
            </w:tcBorders>
            <w:shd w:val="clear" w:color="auto" w:fill="auto"/>
            <w:hideMark/>
          </w:tcPr>
          <w:p w:rsidR="00245C1C" w:rsidRPr="005675B0" w:rsidRDefault="00245C1C" w:rsidP="00970EC1">
            <w:pPr>
              <w:pStyle w:val="Tabletext"/>
            </w:pPr>
            <w:r w:rsidRPr="005675B0">
              <w:t>18</w:t>
            </w:r>
          </w:p>
        </w:tc>
        <w:tc>
          <w:tcPr>
            <w:tcW w:w="4424" w:type="pct"/>
            <w:tcBorders>
              <w:top w:val="single" w:sz="2" w:space="0" w:color="auto"/>
              <w:bottom w:val="single" w:sz="12" w:space="0" w:color="auto"/>
            </w:tcBorders>
            <w:shd w:val="clear" w:color="auto" w:fill="auto"/>
            <w:hideMark/>
          </w:tcPr>
          <w:p w:rsidR="00245C1C" w:rsidRPr="005675B0" w:rsidRDefault="00245C1C" w:rsidP="00970EC1">
            <w:pPr>
              <w:pStyle w:val="Tabletext"/>
            </w:pPr>
            <w:r w:rsidRPr="005675B0">
              <w:t>Yieldbroker Pty Limited</w:t>
            </w:r>
          </w:p>
        </w:tc>
      </w:tr>
    </w:tbl>
    <w:p w:rsidR="00F66E20" w:rsidRPr="005675B0" w:rsidRDefault="00970EC1" w:rsidP="00DE27A5">
      <w:pPr>
        <w:pStyle w:val="ActHead2"/>
        <w:pageBreakBefore/>
      </w:pPr>
      <w:bookmarkStart w:id="83" w:name="f_Check_Lines_above"/>
      <w:bookmarkStart w:id="84" w:name="BK_S4P30L1C1"/>
      <w:bookmarkStart w:id="85" w:name="_Toc46238201"/>
      <w:bookmarkEnd w:id="83"/>
      <w:bookmarkEnd w:id="84"/>
      <w:r w:rsidRPr="005675B0">
        <w:rPr>
          <w:rStyle w:val="CharPartNo"/>
        </w:rPr>
        <w:lastRenderedPageBreak/>
        <w:t>Part</w:t>
      </w:r>
      <w:r w:rsidR="005675B0" w:rsidRPr="005675B0">
        <w:rPr>
          <w:rStyle w:val="CharPartNo"/>
        </w:rPr>
        <w:t> </w:t>
      </w:r>
      <w:r w:rsidR="00F66E20" w:rsidRPr="005675B0">
        <w:rPr>
          <w:rStyle w:val="CharPartNo"/>
        </w:rPr>
        <w:t>2</w:t>
      </w:r>
      <w:r w:rsidRPr="005675B0">
        <w:t>—</w:t>
      </w:r>
      <w:r w:rsidR="00F66E20" w:rsidRPr="005675B0">
        <w:rPr>
          <w:rStyle w:val="CharPartText"/>
        </w:rPr>
        <w:t>Foreign bodies corporate</w:t>
      </w:r>
      <w:bookmarkEnd w:id="85"/>
    </w:p>
    <w:p w:rsidR="00970EC1" w:rsidRPr="005675B0" w:rsidRDefault="00970EC1" w:rsidP="00DE27A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1"/>
        <w:gridCol w:w="5535"/>
        <w:gridCol w:w="2013"/>
      </w:tblGrid>
      <w:tr w:rsidR="00F66E20" w:rsidRPr="005675B0" w:rsidTr="00FE1311">
        <w:trPr>
          <w:tblHeader/>
        </w:trPr>
        <w:tc>
          <w:tcPr>
            <w:tcW w:w="575" w:type="pct"/>
            <w:tcBorders>
              <w:top w:val="single" w:sz="12" w:space="0" w:color="auto"/>
              <w:bottom w:val="single" w:sz="12" w:space="0" w:color="auto"/>
            </w:tcBorders>
            <w:shd w:val="clear" w:color="auto" w:fill="auto"/>
          </w:tcPr>
          <w:p w:rsidR="00F66E20" w:rsidRPr="005675B0" w:rsidRDefault="00F66E20" w:rsidP="00B20898">
            <w:pPr>
              <w:pStyle w:val="TableHeading"/>
            </w:pPr>
            <w:r w:rsidRPr="005675B0">
              <w:t>Item</w:t>
            </w:r>
          </w:p>
        </w:tc>
        <w:tc>
          <w:tcPr>
            <w:tcW w:w="3245" w:type="pct"/>
            <w:tcBorders>
              <w:top w:val="single" w:sz="12" w:space="0" w:color="auto"/>
              <w:bottom w:val="single" w:sz="12" w:space="0" w:color="auto"/>
            </w:tcBorders>
            <w:shd w:val="clear" w:color="auto" w:fill="auto"/>
          </w:tcPr>
          <w:p w:rsidR="00F66E20" w:rsidRPr="005675B0" w:rsidRDefault="00F66E20" w:rsidP="00B20898">
            <w:pPr>
              <w:pStyle w:val="TableHeading"/>
            </w:pPr>
            <w:r w:rsidRPr="005675B0">
              <w:t>Body</w:t>
            </w:r>
          </w:p>
        </w:tc>
        <w:tc>
          <w:tcPr>
            <w:tcW w:w="1180" w:type="pct"/>
            <w:tcBorders>
              <w:top w:val="single" w:sz="12" w:space="0" w:color="auto"/>
              <w:bottom w:val="single" w:sz="12" w:space="0" w:color="auto"/>
            </w:tcBorders>
            <w:shd w:val="clear" w:color="auto" w:fill="auto"/>
          </w:tcPr>
          <w:p w:rsidR="00F66E20" w:rsidRPr="005675B0" w:rsidRDefault="00F66E20" w:rsidP="00B20898">
            <w:pPr>
              <w:pStyle w:val="TableHeading"/>
            </w:pPr>
            <w:r w:rsidRPr="005675B0">
              <w:t>Location</w:t>
            </w:r>
          </w:p>
        </w:tc>
      </w:tr>
      <w:tr w:rsidR="00F66E20" w:rsidRPr="005675B0" w:rsidTr="00FE1311">
        <w:tc>
          <w:tcPr>
            <w:tcW w:w="575" w:type="pct"/>
            <w:tcBorders>
              <w:top w:val="single" w:sz="12" w:space="0" w:color="auto"/>
            </w:tcBorders>
            <w:shd w:val="clear" w:color="auto" w:fill="auto"/>
          </w:tcPr>
          <w:p w:rsidR="00F66E20" w:rsidRPr="005675B0" w:rsidRDefault="00F66E20" w:rsidP="00970EC1">
            <w:pPr>
              <w:pStyle w:val="Tabletext"/>
            </w:pPr>
            <w:r w:rsidRPr="005675B0">
              <w:t>1</w:t>
            </w:r>
          </w:p>
        </w:tc>
        <w:tc>
          <w:tcPr>
            <w:tcW w:w="3245" w:type="pct"/>
            <w:tcBorders>
              <w:top w:val="single" w:sz="12" w:space="0" w:color="auto"/>
            </w:tcBorders>
            <w:shd w:val="clear" w:color="auto" w:fill="auto"/>
          </w:tcPr>
          <w:p w:rsidR="00F66E20" w:rsidRPr="005675B0" w:rsidRDefault="00F66E20" w:rsidP="00970EC1">
            <w:pPr>
              <w:pStyle w:val="Tabletext"/>
            </w:pPr>
            <w:r w:rsidRPr="005675B0">
              <w:t>American Stock Exchange Inc (also known as ‘AMEX’)</w:t>
            </w:r>
          </w:p>
        </w:tc>
        <w:tc>
          <w:tcPr>
            <w:tcW w:w="1180" w:type="pct"/>
            <w:tcBorders>
              <w:top w:val="single" w:sz="12" w:space="0" w:color="auto"/>
            </w:tcBorders>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w:t>
            </w:r>
          </w:p>
        </w:tc>
        <w:tc>
          <w:tcPr>
            <w:tcW w:w="3245" w:type="pct"/>
            <w:shd w:val="clear" w:color="auto" w:fill="auto"/>
          </w:tcPr>
          <w:p w:rsidR="00F66E20" w:rsidRPr="005675B0" w:rsidRDefault="00F66E20" w:rsidP="00970EC1">
            <w:pPr>
              <w:pStyle w:val="Tabletext"/>
            </w:pPr>
            <w:r w:rsidRPr="005675B0">
              <w:t>Amsterdam Exchanges NV (also known as ‘AEX’)</w:t>
            </w:r>
          </w:p>
        </w:tc>
        <w:tc>
          <w:tcPr>
            <w:tcW w:w="1180" w:type="pct"/>
            <w:shd w:val="clear" w:color="auto" w:fill="auto"/>
          </w:tcPr>
          <w:p w:rsidR="00F66E20" w:rsidRPr="005675B0" w:rsidRDefault="00F66E20" w:rsidP="00970EC1">
            <w:pPr>
              <w:pStyle w:val="Tabletext"/>
            </w:pPr>
            <w:r w:rsidRPr="005675B0">
              <w:t>The Netherlands</w:t>
            </w:r>
          </w:p>
        </w:tc>
      </w:tr>
      <w:tr w:rsidR="00F66E20" w:rsidRPr="005675B0" w:rsidTr="00FE1311">
        <w:tc>
          <w:tcPr>
            <w:tcW w:w="575" w:type="pct"/>
            <w:shd w:val="clear" w:color="auto" w:fill="auto"/>
          </w:tcPr>
          <w:p w:rsidR="00F66E20" w:rsidRPr="005675B0" w:rsidRDefault="00F66E20" w:rsidP="00970EC1">
            <w:pPr>
              <w:pStyle w:val="Tabletext"/>
            </w:pPr>
            <w:r w:rsidRPr="005675B0">
              <w:t>3</w:t>
            </w:r>
          </w:p>
        </w:tc>
        <w:tc>
          <w:tcPr>
            <w:tcW w:w="3245" w:type="pct"/>
            <w:shd w:val="clear" w:color="auto" w:fill="auto"/>
          </w:tcPr>
          <w:p w:rsidR="00F66E20" w:rsidRPr="005675B0" w:rsidRDefault="00F66E20" w:rsidP="00970EC1">
            <w:pPr>
              <w:pStyle w:val="Tabletext"/>
            </w:pPr>
            <w:r w:rsidRPr="005675B0">
              <w:t>Athens Stock Exchange</w:t>
            </w:r>
          </w:p>
        </w:tc>
        <w:tc>
          <w:tcPr>
            <w:tcW w:w="1180" w:type="pct"/>
            <w:shd w:val="clear" w:color="auto" w:fill="auto"/>
          </w:tcPr>
          <w:p w:rsidR="00F66E20" w:rsidRPr="005675B0" w:rsidRDefault="00F66E20" w:rsidP="00970EC1">
            <w:pPr>
              <w:pStyle w:val="Tabletext"/>
            </w:pPr>
            <w:r w:rsidRPr="005675B0">
              <w:t>Greece</w:t>
            </w:r>
          </w:p>
        </w:tc>
      </w:tr>
      <w:tr w:rsidR="00F66E20" w:rsidRPr="005675B0" w:rsidTr="00FE1311">
        <w:tc>
          <w:tcPr>
            <w:tcW w:w="575" w:type="pct"/>
            <w:shd w:val="clear" w:color="auto" w:fill="auto"/>
          </w:tcPr>
          <w:p w:rsidR="00F66E20" w:rsidRPr="005675B0" w:rsidRDefault="00F66E20" w:rsidP="00970EC1">
            <w:pPr>
              <w:pStyle w:val="Tabletext"/>
            </w:pPr>
            <w:r w:rsidRPr="005675B0">
              <w:t>4</w:t>
            </w:r>
          </w:p>
        </w:tc>
        <w:tc>
          <w:tcPr>
            <w:tcW w:w="3245" w:type="pct"/>
            <w:shd w:val="clear" w:color="auto" w:fill="auto"/>
          </w:tcPr>
          <w:p w:rsidR="00F66E20" w:rsidRPr="005675B0" w:rsidRDefault="00F66E20" w:rsidP="00970EC1">
            <w:pPr>
              <w:pStyle w:val="Tabletext"/>
            </w:pPr>
            <w:r w:rsidRPr="005675B0">
              <w:t>Austrian Futures and Options Exchange (also known as ‘OTOB’)</w:t>
            </w:r>
          </w:p>
        </w:tc>
        <w:tc>
          <w:tcPr>
            <w:tcW w:w="1180" w:type="pct"/>
            <w:shd w:val="clear" w:color="auto" w:fill="auto"/>
          </w:tcPr>
          <w:p w:rsidR="00F66E20" w:rsidRPr="005675B0" w:rsidRDefault="00F66E20" w:rsidP="00970EC1">
            <w:pPr>
              <w:pStyle w:val="Tabletext"/>
            </w:pPr>
            <w:r w:rsidRPr="005675B0">
              <w:t>Austria</w:t>
            </w:r>
          </w:p>
        </w:tc>
      </w:tr>
      <w:tr w:rsidR="00F66E20" w:rsidRPr="005675B0" w:rsidTr="00FE1311">
        <w:tc>
          <w:tcPr>
            <w:tcW w:w="575" w:type="pct"/>
            <w:shd w:val="clear" w:color="auto" w:fill="auto"/>
          </w:tcPr>
          <w:p w:rsidR="00F66E20" w:rsidRPr="005675B0" w:rsidRDefault="00F66E20" w:rsidP="00970EC1">
            <w:pPr>
              <w:pStyle w:val="Tabletext"/>
            </w:pPr>
            <w:r w:rsidRPr="005675B0">
              <w:t>5</w:t>
            </w:r>
          </w:p>
        </w:tc>
        <w:tc>
          <w:tcPr>
            <w:tcW w:w="3245" w:type="pct"/>
            <w:shd w:val="clear" w:color="auto" w:fill="auto"/>
          </w:tcPr>
          <w:p w:rsidR="00F66E20" w:rsidRPr="005675B0" w:rsidRDefault="00F66E20" w:rsidP="00970EC1">
            <w:pPr>
              <w:pStyle w:val="Tabletext"/>
            </w:pPr>
            <w:r w:rsidRPr="005675B0">
              <w:t>Belgium Futures and Options Exchange (also known as ‘BELFOX’)</w:t>
            </w:r>
          </w:p>
        </w:tc>
        <w:tc>
          <w:tcPr>
            <w:tcW w:w="1180" w:type="pct"/>
            <w:shd w:val="clear" w:color="auto" w:fill="auto"/>
          </w:tcPr>
          <w:p w:rsidR="00F66E20" w:rsidRPr="005675B0" w:rsidRDefault="00F66E20" w:rsidP="00970EC1">
            <w:pPr>
              <w:pStyle w:val="Tabletext"/>
            </w:pPr>
            <w:r w:rsidRPr="005675B0">
              <w:t>Belgium</w:t>
            </w:r>
          </w:p>
        </w:tc>
      </w:tr>
      <w:tr w:rsidR="00F66E20" w:rsidRPr="005675B0" w:rsidTr="00FE1311">
        <w:tc>
          <w:tcPr>
            <w:tcW w:w="575" w:type="pct"/>
            <w:shd w:val="clear" w:color="auto" w:fill="auto"/>
          </w:tcPr>
          <w:p w:rsidR="00F66E20" w:rsidRPr="005675B0" w:rsidRDefault="00F66E20" w:rsidP="00970EC1">
            <w:pPr>
              <w:pStyle w:val="Tabletext"/>
            </w:pPr>
            <w:r w:rsidRPr="005675B0">
              <w:t>6</w:t>
            </w:r>
          </w:p>
        </w:tc>
        <w:tc>
          <w:tcPr>
            <w:tcW w:w="3245" w:type="pct"/>
            <w:shd w:val="clear" w:color="auto" w:fill="auto"/>
          </w:tcPr>
          <w:p w:rsidR="00F66E20" w:rsidRPr="005675B0" w:rsidRDefault="00F66E20" w:rsidP="00970EC1">
            <w:pPr>
              <w:pStyle w:val="Tabletext"/>
            </w:pPr>
            <w:r w:rsidRPr="005675B0">
              <w:t>Bolsa de Barcelona</w:t>
            </w:r>
          </w:p>
        </w:tc>
        <w:tc>
          <w:tcPr>
            <w:tcW w:w="1180" w:type="pct"/>
            <w:shd w:val="clear" w:color="auto" w:fill="auto"/>
          </w:tcPr>
          <w:p w:rsidR="00F66E20" w:rsidRPr="005675B0" w:rsidRDefault="00F66E20" w:rsidP="00970EC1">
            <w:pPr>
              <w:pStyle w:val="Tabletext"/>
            </w:pPr>
            <w:r w:rsidRPr="005675B0">
              <w:t>Spain</w:t>
            </w:r>
          </w:p>
        </w:tc>
      </w:tr>
      <w:tr w:rsidR="00F66E20" w:rsidRPr="005675B0" w:rsidTr="00FE1311">
        <w:tc>
          <w:tcPr>
            <w:tcW w:w="575" w:type="pct"/>
            <w:shd w:val="clear" w:color="auto" w:fill="auto"/>
          </w:tcPr>
          <w:p w:rsidR="00F66E20" w:rsidRPr="005675B0" w:rsidRDefault="00F66E20" w:rsidP="00970EC1">
            <w:pPr>
              <w:pStyle w:val="Tabletext"/>
            </w:pPr>
            <w:r w:rsidRPr="005675B0">
              <w:t>7</w:t>
            </w:r>
          </w:p>
        </w:tc>
        <w:tc>
          <w:tcPr>
            <w:tcW w:w="3245" w:type="pct"/>
            <w:shd w:val="clear" w:color="auto" w:fill="auto"/>
          </w:tcPr>
          <w:p w:rsidR="00F66E20" w:rsidRPr="005675B0" w:rsidRDefault="00F66E20" w:rsidP="00970EC1">
            <w:pPr>
              <w:pStyle w:val="Tabletext"/>
            </w:pPr>
            <w:r w:rsidRPr="005675B0">
              <w:t>Bolsa de Comercio de Buenos Aires</w:t>
            </w:r>
          </w:p>
        </w:tc>
        <w:tc>
          <w:tcPr>
            <w:tcW w:w="1180" w:type="pct"/>
            <w:shd w:val="clear" w:color="auto" w:fill="auto"/>
          </w:tcPr>
          <w:p w:rsidR="00F66E20" w:rsidRPr="005675B0" w:rsidRDefault="00F66E20" w:rsidP="00970EC1">
            <w:pPr>
              <w:pStyle w:val="Tabletext"/>
            </w:pPr>
            <w:r w:rsidRPr="005675B0">
              <w:t>Argentina</w:t>
            </w:r>
          </w:p>
        </w:tc>
      </w:tr>
      <w:tr w:rsidR="00F66E20" w:rsidRPr="005675B0" w:rsidTr="00FE1311">
        <w:tc>
          <w:tcPr>
            <w:tcW w:w="575" w:type="pct"/>
            <w:shd w:val="clear" w:color="auto" w:fill="auto"/>
          </w:tcPr>
          <w:p w:rsidR="00F66E20" w:rsidRPr="005675B0" w:rsidRDefault="00F66E20" w:rsidP="00970EC1">
            <w:pPr>
              <w:pStyle w:val="Tabletext"/>
            </w:pPr>
            <w:r w:rsidRPr="005675B0">
              <w:t>8</w:t>
            </w:r>
          </w:p>
        </w:tc>
        <w:tc>
          <w:tcPr>
            <w:tcW w:w="3245" w:type="pct"/>
            <w:shd w:val="clear" w:color="auto" w:fill="auto"/>
          </w:tcPr>
          <w:p w:rsidR="00F66E20" w:rsidRPr="005675B0" w:rsidRDefault="00F66E20" w:rsidP="00970EC1">
            <w:pPr>
              <w:pStyle w:val="Tabletext"/>
            </w:pPr>
            <w:r w:rsidRPr="005675B0">
              <w:t>Bolsa de Comercio de Santiago</w:t>
            </w:r>
          </w:p>
        </w:tc>
        <w:tc>
          <w:tcPr>
            <w:tcW w:w="1180" w:type="pct"/>
            <w:shd w:val="clear" w:color="auto" w:fill="auto"/>
          </w:tcPr>
          <w:p w:rsidR="00F66E20" w:rsidRPr="005675B0" w:rsidRDefault="00F66E20" w:rsidP="00970EC1">
            <w:pPr>
              <w:pStyle w:val="Tabletext"/>
            </w:pPr>
            <w:r w:rsidRPr="005675B0">
              <w:t>Chile</w:t>
            </w:r>
          </w:p>
        </w:tc>
      </w:tr>
      <w:tr w:rsidR="00F66E20" w:rsidRPr="005675B0" w:rsidTr="00FE1311">
        <w:tc>
          <w:tcPr>
            <w:tcW w:w="575" w:type="pct"/>
            <w:shd w:val="clear" w:color="auto" w:fill="auto"/>
          </w:tcPr>
          <w:p w:rsidR="00F66E20" w:rsidRPr="005675B0" w:rsidRDefault="00F66E20" w:rsidP="00970EC1">
            <w:pPr>
              <w:pStyle w:val="Tabletext"/>
            </w:pPr>
            <w:r w:rsidRPr="005675B0">
              <w:t>9</w:t>
            </w:r>
          </w:p>
        </w:tc>
        <w:tc>
          <w:tcPr>
            <w:tcW w:w="3245" w:type="pct"/>
            <w:shd w:val="clear" w:color="auto" w:fill="auto"/>
          </w:tcPr>
          <w:p w:rsidR="00F66E20" w:rsidRPr="005675B0" w:rsidRDefault="00F66E20" w:rsidP="00970EC1">
            <w:pPr>
              <w:pStyle w:val="Tabletext"/>
            </w:pPr>
            <w:r w:rsidRPr="005675B0">
              <w:t>Bolsa de Derivados do Porto</w:t>
            </w:r>
          </w:p>
        </w:tc>
        <w:tc>
          <w:tcPr>
            <w:tcW w:w="1180" w:type="pct"/>
            <w:shd w:val="clear" w:color="auto" w:fill="auto"/>
          </w:tcPr>
          <w:p w:rsidR="00F66E20" w:rsidRPr="005675B0" w:rsidRDefault="00F66E20" w:rsidP="00970EC1">
            <w:pPr>
              <w:pStyle w:val="Tabletext"/>
            </w:pPr>
            <w:r w:rsidRPr="005675B0">
              <w:t>Portugal</w:t>
            </w:r>
          </w:p>
        </w:tc>
      </w:tr>
      <w:tr w:rsidR="00F66E20" w:rsidRPr="005675B0" w:rsidTr="00FE1311">
        <w:tc>
          <w:tcPr>
            <w:tcW w:w="575" w:type="pct"/>
            <w:shd w:val="clear" w:color="auto" w:fill="auto"/>
          </w:tcPr>
          <w:p w:rsidR="00F66E20" w:rsidRPr="005675B0" w:rsidRDefault="00F66E20" w:rsidP="00970EC1">
            <w:pPr>
              <w:pStyle w:val="Tabletext"/>
            </w:pPr>
            <w:r w:rsidRPr="005675B0">
              <w:t>10</w:t>
            </w:r>
          </w:p>
        </w:tc>
        <w:tc>
          <w:tcPr>
            <w:tcW w:w="3245" w:type="pct"/>
            <w:shd w:val="clear" w:color="auto" w:fill="auto"/>
          </w:tcPr>
          <w:p w:rsidR="00F66E20" w:rsidRPr="005675B0" w:rsidRDefault="00F66E20" w:rsidP="00970EC1">
            <w:pPr>
              <w:pStyle w:val="Tabletext"/>
            </w:pPr>
            <w:r w:rsidRPr="005675B0">
              <w:t>Bolsa de Madrid</w:t>
            </w:r>
          </w:p>
        </w:tc>
        <w:tc>
          <w:tcPr>
            <w:tcW w:w="1180" w:type="pct"/>
            <w:shd w:val="clear" w:color="auto" w:fill="auto"/>
          </w:tcPr>
          <w:p w:rsidR="00F66E20" w:rsidRPr="005675B0" w:rsidRDefault="00F66E20" w:rsidP="00970EC1">
            <w:pPr>
              <w:pStyle w:val="Tabletext"/>
            </w:pPr>
            <w:r w:rsidRPr="005675B0">
              <w:t>Spain</w:t>
            </w:r>
          </w:p>
        </w:tc>
      </w:tr>
      <w:tr w:rsidR="00F66E20" w:rsidRPr="005675B0" w:rsidTr="00FE1311">
        <w:tc>
          <w:tcPr>
            <w:tcW w:w="575" w:type="pct"/>
            <w:shd w:val="clear" w:color="auto" w:fill="auto"/>
          </w:tcPr>
          <w:p w:rsidR="00F66E20" w:rsidRPr="005675B0" w:rsidRDefault="00F66E20" w:rsidP="00970EC1">
            <w:pPr>
              <w:pStyle w:val="Tabletext"/>
            </w:pPr>
            <w:r w:rsidRPr="005675B0">
              <w:t>11</w:t>
            </w:r>
          </w:p>
        </w:tc>
        <w:tc>
          <w:tcPr>
            <w:tcW w:w="3245" w:type="pct"/>
            <w:shd w:val="clear" w:color="auto" w:fill="auto"/>
          </w:tcPr>
          <w:p w:rsidR="00F66E20" w:rsidRPr="005675B0" w:rsidRDefault="00F66E20" w:rsidP="00970EC1">
            <w:pPr>
              <w:pStyle w:val="Tabletext"/>
            </w:pPr>
            <w:r w:rsidRPr="005675B0">
              <w:t>Bolsa de Mercadorias &amp; Futuros</w:t>
            </w:r>
          </w:p>
        </w:tc>
        <w:tc>
          <w:tcPr>
            <w:tcW w:w="1180" w:type="pct"/>
            <w:shd w:val="clear" w:color="auto" w:fill="auto"/>
          </w:tcPr>
          <w:p w:rsidR="00F66E20" w:rsidRPr="005675B0" w:rsidRDefault="00F66E20" w:rsidP="00970EC1">
            <w:pPr>
              <w:pStyle w:val="Tabletext"/>
            </w:pPr>
            <w:r w:rsidRPr="005675B0">
              <w:t>Brazil</w:t>
            </w:r>
          </w:p>
        </w:tc>
      </w:tr>
      <w:tr w:rsidR="00F66E20" w:rsidRPr="005675B0" w:rsidTr="00FE1311">
        <w:tc>
          <w:tcPr>
            <w:tcW w:w="575" w:type="pct"/>
            <w:shd w:val="clear" w:color="auto" w:fill="auto"/>
          </w:tcPr>
          <w:p w:rsidR="00F66E20" w:rsidRPr="005675B0" w:rsidRDefault="00F66E20" w:rsidP="00970EC1">
            <w:pPr>
              <w:pStyle w:val="Tabletext"/>
            </w:pPr>
            <w:r w:rsidRPr="005675B0">
              <w:t>12</w:t>
            </w:r>
          </w:p>
        </w:tc>
        <w:tc>
          <w:tcPr>
            <w:tcW w:w="3245" w:type="pct"/>
            <w:shd w:val="clear" w:color="auto" w:fill="auto"/>
          </w:tcPr>
          <w:p w:rsidR="00F66E20" w:rsidRPr="005675B0" w:rsidRDefault="00F66E20" w:rsidP="00970EC1">
            <w:pPr>
              <w:pStyle w:val="Tabletext"/>
            </w:pPr>
            <w:r w:rsidRPr="005675B0">
              <w:t>Bolsa de Valores de Lima</w:t>
            </w:r>
          </w:p>
        </w:tc>
        <w:tc>
          <w:tcPr>
            <w:tcW w:w="1180" w:type="pct"/>
            <w:shd w:val="clear" w:color="auto" w:fill="auto"/>
          </w:tcPr>
          <w:p w:rsidR="00F66E20" w:rsidRPr="005675B0" w:rsidRDefault="00F66E20" w:rsidP="00970EC1">
            <w:pPr>
              <w:pStyle w:val="Tabletext"/>
            </w:pPr>
            <w:r w:rsidRPr="005675B0">
              <w:t>Peru</w:t>
            </w:r>
          </w:p>
        </w:tc>
      </w:tr>
      <w:tr w:rsidR="00F66E20" w:rsidRPr="005675B0" w:rsidTr="00FE1311">
        <w:tc>
          <w:tcPr>
            <w:tcW w:w="575" w:type="pct"/>
            <w:shd w:val="clear" w:color="auto" w:fill="auto"/>
          </w:tcPr>
          <w:p w:rsidR="00F66E20" w:rsidRPr="005675B0" w:rsidRDefault="00F66E20" w:rsidP="00970EC1">
            <w:pPr>
              <w:pStyle w:val="Tabletext"/>
            </w:pPr>
            <w:r w:rsidRPr="005675B0">
              <w:t>13</w:t>
            </w:r>
          </w:p>
        </w:tc>
        <w:tc>
          <w:tcPr>
            <w:tcW w:w="3245" w:type="pct"/>
            <w:shd w:val="clear" w:color="auto" w:fill="auto"/>
          </w:tcPr>
          <w:p w:rsidR="00F66E20" w:rsidRPr="005675B0" w:rsidRDefault="00F66E20" w:rsidP="00970EC1">
            <w:pPr>
              <w:pStyle w:val="Tabletext"/>
            </w:pPr>
            <w:r w:rsidRPr="005675B0">
              <w:t>Bolsa de Valores de Lima e Porto</w:t>
            </w:r>
          </w:p>
        </w:tc>
        <w:tc>
          <w:tcPr>
            <w:tcW w:w="1180" w:type="pct"/>
            <w:shd w:val="clear" w:color="auto" w:fill="auto"/>
          </w:tcPr>
          <w:p w:rsidR="00F66E20" w:rsidRPr="005675B0" w:rsidRDefault="00F66E20" w:rsidP="00970EC1">
            <w:pPr>
              <w:pStyle w:val="Tabletext"/>
            </w:pPr>
            <w:r w:rsidRPr="005675B0">
              <w:t>Portugal</w:t>
            </w:r>
          </w:p>
        </w:tc>
      </w:tr>
      <w:tr w:rsidR="00F66E20" w:rsidRPr="005675B0" w:rsidTr="00FE1311">
        <w:tc>
          <w:tcPr>
            <w:tcW w:w="575" w:type="pct"/>
            <w:shd w:val="clear" w:color="auto" w:fill="auto"/>
          </w:tcPr>
          <w:p w:rsidR="00F66E20" w:rsidRPr="005675B0" w:rsidRDefault="00F66E20" w:rsidP="00970EC1">
            <w:pPr>
              <w:pStyle w:val="Tabletext"/>
            </w:pPr>
            <w:r w:rsidRPr="005675B0">
              <w:t>14</w:t>
            </w:r>
          </w:p>
        </w:tc>
        <w:tc>
          <w:tcPr>
            <w:tcW w:w="3245" w:type="pct"/>
            <w:shd w:val="clear" w:color="auto" w:fill="auto"/>
          </w:tcPr>
          <w:p w:rsidR="00F66E20" w:rsidRPr="005675B0" w:rsidRDefault="00F66E20" w:rsidP="00970EC1">
            <w:pPr>
              <w:pStyle w:val="Tabletext"/>
            </w:pPr>
            <w:r w:rsidRPr="005675B0">
              <w:t>Bolsa de Valores de Rio de Janeiro</w:t>
            </w:r>
          </w:p>
        </w:tc>
        <w:tc>
          <w:tcPr>
            <w:tcW w:w="1180" w:type="pct"/>
            <w:shd w:val="clear" w:color="auto" w:fill="auto"/>
          </w:tcPr>
          <w:p w:rsidR="00F66E20" w:rsidRPr="005675B0" w:rsidRDefault="00F66E20" w:rsidP="00970EC1">
            <w:pPr>
              <w:pStyle w:val="Tabletext"/>
            </w:pPr>
            <w:r w:rsidRPr="005675B0">
              <w:t>Brazil</w:t>
            </w:r>
          </w:p>
        </w:tc>
      </w:tr>
      <w:tr w:rsidR="00F66E20" w:rsidRPr="005675B0" w:rsidTr="00FE1311">
        <w:tc>
          <w:tcPr>
            <w:tcW w:w="575" w:type="pct"/>
            <w:shd w:val="clear" w:color="auto" w:fill="auto"/>
          </w:tcPr>
          <w:p w:rsidR="00F66E20" w:rsidRPr="005675B0" w:rsidRDefault="00F66E20" w:rsidP="00970EC1">
            <w:pPr>
              <w:pStyle w:val="Tabletext"/>
            </w:pPr>
            <w:r w:rsidRPr="005675B0">
              <w:t>15</w:t>
            </w:r>
          </w:p>
        </w:tc>
        <w:tc>
          <w:tcPr>
            <w:tcW w:w="3245" w:type="pct"/>
            <w:shd w:val="clear" w:color="auto" w:fill="auto"/>
          </w:tcPr>
          <w:p w:rsidR="00F66E20" w:rsidRPr="005675B0" w:rsidRDefault="00F66E20" w:rsidP="00970EC1">
            <w:pPr>
              <w:pStyle w:val="Tabletext"/>
            </w:pPr>
            <w:r w:rsidRPr="005675B0">
              <w:t>Bolsa de Valores do S</w:t>
            </w:r>
            <w:r w:rsidRPr="005675B0">
              <w:rPr>
                <w:snapToGrid w:val="0"/>
              </w:rPr>
              <w:t>ã</w:t>
            </w:r>
            <w:r w:rsidRPr="005675B0">
              <w:t>o Paolo (also known as ‘BOVESPA’)</w:t>
            </w:r>
          </w:p>
        </w:tc>
        <w:tc>
          <w:tcPr>
            <w:tcW w:w="1180" w:type="pct"/>
            <w:shd w:val="clear" w:color="auto" w:fill="auto"/>
          </w:tcPr>
          <w:p w:rsidR="00F66E20" w:rsidRPr="005675B0" w:rsidRDefault="00F66E20" w:rsidP="00970EC1">
            <w:pPr>
              <w:pStyle w:val="Tabletext"/>
            </w:pPr>
            <w:r w:rsidRPr="005675B0">
              <w:t>Brazil</w:t>
            </w:r>
          </w:p>
        </w:tc>
      </w:tr>
      <w:tr w:rsidR="00F66E20" w:rsidRPr="005675B0" w:rsidTr="00FE1311">
        <w:tc>
          <w:tcPr>
            <w:tcW w:w="575" w:type="pct"/>
            <w:shd w:val="clear" w:color="auto" w:fill="auto"/>
          </w:tcPr>
          <w:p w:rsidR="00F66E20" w:rsidRPr="005675B0" w:rsidRDefault="00F66E20" w:rsidP="00970EC1">
            <w:pPr>
              <w:pStyle w:val="Tabletext"/>
            </w:pPr>
            <w:r w:rsidRPr="005675B0">
              <w:t>16</w:t>
            </w:r>
          </w:p>
        </w:tc>
        <w:tc>
          <w:tcPr>
            <w:tcW w:w="3245" w:type="pct"/>
            <w:shd w:val="clear" w:color="auto" w:fill="auto"/>
          </w:tcPr>
          <w:p w:rsidR="00F66E20" w:rsidRPr="005675B0" w:rsidRDefault="00F66E20" w:rsidP="00970EC1">
            <w:pPr>
              <w:pStyle w:val="Tabletext"/>
            </w:pPr>
            <w:r w:rsidRPr="005675B0">
              <w:t>Bolsa Mexicana de Valores</w:t>
            </w:r>
          </w:p>
        </w:tc>
        <w:tc>
          <w:tcPr>
            <w:tcW w:w="1180" w:type="pct"/>
            <w:shd w:val="clear" w:color="auto" w:fill="auto"/>
          </w:tcPr>
          <w:p w:rsidR="00F66E20" w:rsidRPr="005675B0" w:rsidRDefault="00F66E20" w:rsidP="00970EC1">
            <w:pPr>
              <w:pStyle w:val="Tabletext"/>
            </w:pPr>
            <w:r w:rsidRPr="005675B0">
              <w:t>Mexico</w:t>
            </w:r>
          </w:p>
        </w:tc>
      </w:tr>
      <w:tr w:rsidR="00F66E20" w:rsidRPr="005675B0" w:rsidTr="00FE1311">
        <w:tc>
          <w:tcPr>
            <w:tcW w:w="575" w:type="pct"/>
            <w:shd w:val="clear" w:color="auto" w:fill="auto"/>
          </w:tcPr>
          <w:p w:rsidR="00F66E20" w:rsidRPr="005675B0" w:rsidRDefault="00F66E20" w:rsidP="00970EC1">
            <w:pPr>
              <w:pStyle w:val="Tabletext"/>
            </w:pPr>
            <w:r w:rsidRPr="005675B0">
              <w:t>17</w:t>
            </w:r>
          </w:p>
        </w:tc>
        <w:tc>
          <w:tcPr>
            <w:tcW w:w="3245" w:type="pct"/>
            <w:shd w:val="clear" w:color="auto" w:fill="auto"/>
          </w:tcPr>
          <w:p w:rsidR="00F66E20" w:rsidRPr="005675B0" w:rsidRDefault="00F66E20" w:rsidP="00970EC1">
            <w:pPr>
              <w:pStyle w:val="Tabletext"/>
            </w:pPr>
            <w:r w:rsidRPr="005675B0">
              <w:t>Bourse de Montr</w:t>
            </w:r>
            <w:r w:rsidRPr="005675B0">
              <w:rPr>
                <w:snapToGrid w:val="0"/>
              </w:rPr>
              <w:t>é</w:t>
            </w:r>
            <w:r w:rsidRPr="005675B0">
              <w:t>al</w:t>
            </w:r>
          </w:p>
        </w:tc>
        <w:tc>
          <w:tcPr>
            <w:tcW w:w="1180" w:type="pct"/>
            <w:shd w:val="clear" w:color="auto" w:fill="auto"/>
          </w:tcPr>
          <w:p w:rsidR="00F66E20" w:rsidRPr="005675B0" w:rsidRDefault="00F66E20" w:rsidP="00970EC1">
            <w:pPr>
              <w:pStyle w:val="Tabletext"/>
            </w:pPr>
            <w:r w:rsidRPr="005675B0">
              <w:t>Canada</w:t>
            </w:r>
          </w:p>
        </w:tc>
      </w:tr>
      <w:tr w:rsidR="00F66E20" w:rsidRPr="005675B0" w:rsidTr="00FE1311">
        <w:tc>
          <w:tcPr>
            <w:tcW w:w="575" w:type="pct"/>
            <w:shd w:val="clear" w:color="auto" w:fill="auto"/>
          </w:tcPr>
          <w:p w:rsidR="00F66E20" w:rsidRPr="005675B0" w:rsidRDefault="00F66E20" w:rsidP="00970EC1">
            <w:pPr>
              <w:pStyle w:val="Tabletext"/>
            </w:pPr>
            <w:r w:rsidRPr="005675B0">
              <w:t>18</w:t>
            </w:r>
          </w:p>
        </w:tc>
        <w:tc>
          <w:tcPr>
            <w:tcW w:w="3245" w:type="pct"/>
            <w:shd w:val="clear" w:color="auto" w:fill="auto"/>
          </w:tcPr>
          <w:p w:rsidR="00F66E20" w:rsidRPr="005675B0" w:rsidRDefault="00F66E20" w:rsidP="00970EC1">
            <w:pPr>
              <w:pStyle w:val="Tabletext"/>
            </w:pPr>
            <w:r w:rsidRPr="005675B0">
              <w:t>Brussels Exchange (also known as ‘BXS’)</w:t>
            </w:r>
          </w:p>
        </w:tc>
        <w:tc>
          <w:tcPr>
            <w:tcW w:w="1180" w:type="pct"/>
            <w:shd w:val="clear" w:color="auto" w:fill="auto"/>
          </w:tcPr>
          <w:p w:rsidR="00F66E20" w:rsidRPr="005675B0" w:rsidRDefault="00F66E20" w:rsidP="00970EC1">
            <w:pPr>
              <w:pStyle w:val="Tabletext"/>
            </w:pPr>
            <w:r w:rsidRPr="005675B0">
              <w:t>Belgium</w:t>
            </w:r>
          </w:p>
        </w:tc>
      </w:tr>
      <w:tr w:rsidR="00F66E20" w:rsidRPr="005675B0" w:rsidTr="00FE1311">
        <w:tc>
          <w:tcPr>
            <w:tcW w:w="575" w:type="pct"/>
            <w:shd w:val="clear" w:color="auto" w:fill="auto"/>
          </w:tcPr>
          <w:p w:rsidR="00F66E20" w:rsidRPr="005675B0" w:rsidRDefault="00F66E20" w:rsidP="00970EC1">
            <w:pPr>
              <w:pStyle w:val="Tabletext"/>
            </w:pPr>
            <w:r w:rsidRPr="005675B0">
              <w:t>19</w:t>
            </w:r>
          </w:p>
        </w:tc>
        <w:tc>
          <w:tcPr>
            <w:tcW w:w="3245" w:type="pct"/>
            <w:shd w:val="clear" w:color="auto" w:fill="auto"/>
          </w:tcPr>
          <w:p w:rsidR="00F66E20" w:rsidRPr="005675B0" w:rsidRDefault="00F66E20" w:rsidP="00970EC1">
            <w:pPr>
              <w:pStyle w:val="Tabletext"/>
            </w:pPr>
            <w:r w:rsidRPr="005675B0">
              <w:t>Canadian Venture Exchange (also known as ‘CDNX’)</w:t>
            </w:r>
          </w:p>
        </w:tc>
        <w:tc>
          <w:tcPr>
            <w:tcW w:w="1180" w:type="pct"/>
            <w:shd w:val="clear" w:color="auto" w:fill="auto"/>
          </w:tcPr>
          <w:p w:rsidR="00F66E20" w:rsidRPr="005675B0" w:rsidRDefault="00F66E20" w:rsidP="00970EC1">
            <w:pPr>
              <w:pStyle w:val="Tabletext"/>
            </w:pPr>
            <w:r w:rsidRPr="005675B0">
              <w:t>Canada</w:t>
            </w:r>
          </w:p>
        </w:tc>
      </w:tr>
      <w:tr w:rsidR="00F66E20" w:rsidRPr="005675B0" w:rsidTr="00FE1311">
        <w:tc>
          <w:tcPr>
            <w:tcW w:w="575" w:type="pct"/>
            <w:shd w:val="clear" w:color="auto" w:fill="auto"/>
          </w:tcPr>
          <w:p w:rsidR="00F66E20" w:rsidRPr="005675B0" w:rsidRDefault="00F66E20" w:rsidP="00970EC1">
            <w:pPr>
              <w:pStyle w:val="Tabletext"/>
            </w:pPr>
            <w:r w:rsidRPr="005675B0">
              <w:t>20</w:t>
            </w:r>
          </w:p>
        </w:tc>
        <w:tc>
          <w:tcPr>
            <w:tcW w:w="3245" w:type="pct"/>
            <w:shd w:val="clear" w:color="auto" w:fill="auto"/>
          </w:tcPr>
          <w:p w:rsidR="00F66E20" w:rsidRPr="005675B0" w:rsidRDefault="00F66E20" w:rsidP="00970EC1">
            <w:pPr>
              <w:pStyle w:val="Tabletext"/>
            </w:pPr>
            <w:r w:rsidRPr="005675B0">
              <w:t>Chicago Board of Trade (also known as ‘CBOT’)</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21</w:t>
            </w:r>
          </w:p>
        </w:tc>
        <w:tc>
          <w:tcPr>
            <w:tcW w:w="3245" w:type="pct"/>
            <w:shd w:val="clear" w:color="auto" w:fill="auto"/>
          </w:tcPr>
          <w:p w:rsidR="00F66E20" w:rsidRPr="005675B0" w:rsidRDefault="00F66E20" w:rsidP="00970EC1">
            <w:pPr>
              <w:pStyle w:val="Tabletext"/>
            </w:pPr>
            <w:r w:rsidRPr="005675B0">
              <w:t>Chicago Board Options Exchange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22</w:t>
            </w:r>
          </w:p>
        </w:tc>
        <w:tc>
          <w:tcPr>
            <w:tcW w:w="3245" w:type="pct"/>
            <w:shd w:val="clear" w:color="auto" w:fill="auto"/>
          </w:tcPr>
          <w:p w:rsidR="00F66E20" w:rsidRPr="005675B0" w:rsidRDefault="00F66E20" w:rsidP="00970EC1">
            <w:pPr>
              <w:pStyle w:val="Tabletext"/>
            </w:pPr>
            <w:r w:rsidRPr="005675B0">
              <w:t>Chicago Mercantile Exchange Inc (also known as ‘CME’)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23</w:t>
            </w:r>
          </w:p>
        </w:tc>
        <w:tc>
          <w:tcPr>
            <w:tcW w:w="3245" w:type="pct"/>
            <w:shd w:val="clear" w:color="auto" w:fill="auto"/>
          </w:tcPr>
          <w:p w:rsidR="00F66E20" w:rsidRPr="005675B0" w:rsidRDefault="00F66E20" w:rsidP="00970EC1">
            <w:pPr>
              <w:pStyle w:val="Tabletext"/>
            </w:pPr>
            <w:r w:rsidRPr="005675B0">
              <w:t>Chicago Stock Exchange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24</w:t>
            </w:r>
          </w:p>
        </w:tc>
        <w:tc>
          <w:tcPr>
            <w:tcW w:w="3245" w:type="pct"/>
            <w:shd w:val="clear" w:color="auto" w:fill="auto"/>
          </w:tcPr>
          <w:p w:rsidR="00F66E20" w:rsidRPr="005675B0" w:rsidRDefault="00F66E20" w:rsidP="00970EC1">
            <w:pPr>
              <w:pStyle w:val="Tabletext"/>
            </w:pPr>
            <w:r w:rsidRPr="005675B0">
              <w:t>Coffee, Sugar and Cocoa Exchange Inc (also known as ‘CSCE’)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25</w:t>
            </w:r>
          </w:p>
        </w:tc>
        <w:tc>
          <w:tcPr>
            <w:tcW w:w="3245" w:type="pct"/>
            <w:shd w:val="clear" w:color="auto" w:fill="auto"/>
          </w:tcPr>
          <w:p w:rsidR="00F66E20" w:rsidRPr="005675B0" w:rsidRDefault="00F66E20" w:rsidP="00970EC1">
            <w:pPr>
              <w:pStyle w:val="Tabletext"/>
            </w:pPr>
            <w:r w:rsidRPr="005675B0">
              <w:t>Commodity Exchange Inc (also known as ‘COMEX’)</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26</w:t>
            </w:r>
          </w:p>
        </w:tc>
        <w:tc>
          <w:tcPr>
            <w:tcW w:w="3245" w:type="pct"/>
            <w:shd w:val="clear" w:color="auto" w:fill="auto"/>
          </w:tcPr>
          <w:p w:rsidR="00F66E20" w:rsidRPr="005675B0" w:rsidRDefault="00F66E20" w:rsidP="00970EC1">
            <w:pPr>
              <w:pStyle w:val="Tabletext"/>
            </w:pPr>
            <w:r w:rsidRPr="005675B0">
              <w:t>Copenhagen Stock Exchange</w:t>
            </w:r>
          </w:p>
        </w:tc>
        <w:tc>
          <w:tcPr>
            <w:tcW w:w="1180" w:type="pct"/>
            <w:shd w:val="clear" w:color="auto" w:fill="auto"/>
          </w:tcPr>
          <w:p w:rsidR="00F66E20" w:rsidRPr="005675B0" w:rsidRDefault="00F66E20" w:rsidP="00970EC1">
            <w:pPr>
              <w:pStyle w:val="Tabletext"/>
            </w:pPr>
            <w:r w:rsidRPr="005675B0">
              <w:t>Denmark</w:t>
            </w:r>
          </w:p>
        </w:tc>
      </w:tr>
      <w:tr w:rsidR="00F66E20" w:rsidRPr="005675B0" w:rsidTr="00FE1311">
        <w:tc>
          <w:tcPr>
            <w:tcW w:w="575" w:type="pct"/>
            <w:shd w:val="clear" w:color="auto" w:fill="auto"/>
          </w:tcPr>
          <w:p w:rsidR="00F66E20" w:rsidRPr="005675B0" w:rsidRDefault="00F66E20" w:rsidP="00970EC1">
            <w:pPr>
              <w:pStyle w:val="Tabletext"/>
            </w:pPr>
            <w:r w:rsidRPr="005675B0">
              <w:t>27</w:t>
            </w:r>
          </w:p>
        </w:tc>
        <w:tc>
          <w:tcPr>
            <w:tcW w:w="3245" w:type="pct"/>
            <w:shd w:val="clear" w:color="auto" w:fill="auto"/>
          </w:tcPr>
          <w:p w:rsidR="00F66E20" w:rsidRPr="005675B0" w:rsidRDefault="00F66E20" w:rsidP="00970EC1">
            <w:pPr>
              <w:pStyle w:val="Tabletext"/>
            </w:pPr>
            <w:r w:rsidRPr="005675B0">
              <w:t>Deutsche B</w:t>
            </w:r>
            <w:r w:rsidRPr="005675B0">
              <w:rPr>
                <w:snapToGrid w:val="0"/>
              </w:rPr>
              <w:t>ö</w:t>
            </w:r>
            <w:r w:rsidRPr="005675B0">
              <w:t>rse AG</w:t>
            </w:r>
          </w:p>
        </w:tc>
        <w:tc>
          <w:tcPr>
            <w:tcW w:w="1180" w:type="pct"/>
            <w:shd w:val="clear" w:color="auto" w:fill="auto"/>
          </w:tcPr>
          <w:p w:rsidR="00F66E20" w:rsidRPr="005675B0" w:rsidRDefault="00F66E20" w:rsidP="00970EC1">
            <w:pPr>
              <w:pStyle w:val="Tabletext"/>
            </w:pPr>
            <w:r w:rsidRPr="005675B0">
              <w:t>Germany</w:t>
            </w:r>
          </w:p>
        </w:tc>
      </w:tr>
      <w:tr w:rsidR="00F66E20" w:rsidRPr="005675B0" w:rsidTr="00FE1311">
        <w:tc>
          <w:tcPr>
            <w:tcW w:w="575" w:type="pct"/>
            <w:shd w:val="clear" w:color="auto" w:fill="auto"/>
          </w:tcPr>
          <w:p w:rsidR="00F66E20" w:rsidRPr="005675B0" w:rsidRDefault="00F66E20" w:rsidP="00970EC1">
            <w:pPr>
              <w:pStyle w:val="Tabletext"/>
            </w:pPr>
            <w:r w:rsidRPr="005675B0">
              <w:t>27A</w:t>
            </w:r>
          </w:p>
        </w:tc>
        <w:tc>
          <w:tcPr>
            <w:tcW w:w="3245" w:type="pct"/>
            <w:shd w:val="clear" w:color="auto" w:fill="auto"/>
          </w:tcPr>
          <w:p w:rsidR="00F66E20" w:rsidRPr="005675B0" w:rsidRDefault="00F66E20" w:rsidP="00970EC1">
            <w:pPr>
              <w:pStyle w:val="Tabletext"/>
            </w:pPr>
            <w:r w:rsidRPr="005675B0">
              <w:t>EBS Service Company Limited</w:t>
            </w:r>
          </w:p>
        </w:tc>
        <w:tc>
          <w:tcPr>
            <w:tcW w:w="1180" w:type="pct"/>
            <w:shd w:val="clear" w:color="auto" w:fill="auto"/>
          </w:tcPr>
          <w:p w:rsidR="00F66E20" w:rsidRPr="005675B0" w:rsidRDefault="00F66E20" w:rsidP="00970EC1">
            <w:pPr>
              <w:pStyle w:val="Tabletext"/>
            </w:pPr>
            <w:r w:rsidRPr="005675B0">
              <w:t>Switzerland</w:t>
            </w:r>
          </w:p>
        </w:tc>
      </w:tr>
      <w:tr w:rsidR="00F66E20" w:rsidRPr="005675B0" w:rsidTr="00FE1311">
        <w:tc>
          <w:tcPr>
            <w:tcW w:w="575" w:type="pct"/>
            <w:shd w:val="clear" w:color="auto" w:fill="auto"/>
          </w:tcPr>
          <w:p w:rsidR="00F66E20" w:rsidRPr="005675B0" w:rsidRDefault="00F66E20" w:rsidP="00970EC1">
            <w:pPr>
              <w:pStyle w:val="Tabletext"/>
            </w:pPr>
            <w:r w:rsidRPr="005675B0">
              <w:t>27B</w:t>
            </w:r>
          </w:p>
        </w:tc>
        <w:tc>
          <w:tcPr>
            <w:tcW w:w="3245" w:type="pct"/>
            <w:shd w:val="clear" w:color="auto" w:fill="auto"/>
          </w:tcPr>
          <w:p w:rsidR="00F66E20" w:rsidRPr="005675B0" w:rsidRDefault="00F66E20" w:rsidP="00970EC1">
            <w:pPr>
              <w:pStyle w:val="Tabletext"/>
            </w:pPr>
            <w:r w:rsidRPr="005675B0">
              <w:t>Eurex Frankfurt AG</w:t>
            </w:r>
          </w:p>
        </w:tc>
        <w:tc>
          <w:tcPr>
            <w:tcW w:w="1180" w:type="pct"/>
            <w:shd w:val="clear" w:color="auto" w:fill="auto"/>
          </w:tcPr>
          <w:p w:rsidR="00F66E20" w:rsidRPr="005675B0" w:rsidRDefault="00F66E20" w:rsidP="00970EC1">
            <w:pPr>
              <w:pStyle w:val="Tabletext"/>
            </w:pPr>
            <w:r w:rsidRPr="005675B0">
              <w:t>Germany</w:t>
            </w:r>
          </w:p>
        </w:tc>
      </w:tr>
      <w:tr w:rsidR="00F66E20" w:rsidRPr="005675B0" w:rsidTr="00C60EAB">
        <w:trPr>
          <w:cantSplit/>
        </w:trPr>
        <w:tc>
          <w:tcPr>
            <w:tcW w:w="575" w:type="pct"/>
            <w:shd w:val="clear" w:color="auto" w:fill="auto"/>
          </w:tcPr>
          <w:p w:rsidR="00F66E20" w:rsidRPr="005675B0" w:rsidRDefault="00F66E20" w:rsidP="00970EC1">
            <w:pPr>
              <w:pStyle w:val="Tabletext"/>
            </w:pPr>
            <w:r w:rsidRPr="005675B0">
              <w:lastRenderedPageBreak/>
              <w:t>28</w:t>
            </w:r>
          </w:p>
        </w:tc>
        <w:tc>
          <w:tcPr>
            <w:tcW w:w="3245" w:type="pct"/>
            <w:shd w:val="clear" w:color="auto" w:fill="auto"/>
          </w:tcPr>
          <w:p w:rsidR="00F66E20" w:rsidRPr="005675B0" w:rsidRDefault="00F66E20" w:rsidP="00970EC1">
            <w:pPr>
              <w:pStyle w:val="Tabletext"/>
            </w:pPr>
            <w:r w:rsidRPr="005675B0">
              <w:t>Eurex Zurich AG</w:t>
            </w:r>
          </w:p>
        </w:tc>
        <w:tc>
          <w:tcPr>
            <w:tcW w:w="1180" w:type="pct"/>
            <w:shd w:val="clear" w:color="auto" w:fill="auto"/>
          </w:tcPr>
          <w:p w:rsidR="00F66E20" w:rsidRPr="005675B0" w:rsidRDefault="00F66E20" w:rsidP="00970EC1">
            <w:pPr>
              <w:pStyle w:val="Tabletext"/>
            </w:pPr>
            <w:r w:rsidRPr="005675B0">
              <w:t>Germany and Switzerland</w:t>
            </w:r>
          </w:p>
        </w:tc>
      </w:tr>
      <w:tr w:rsidR="00F66E20" w:rsidRPr="005675B0" w:rsidTr="00FE1311">
        <w:tc>
          <w:tcPr>
            <w:tcW w:w="575" w:type="pct"/>
            <w:shd w:val="clear" w:color="auto" w:fill="auto"/>
          </w:tcPr>
          <w:p w:rsidR="00F66E20" w:rsidRPr="005675B0" w:rsidRDefault="00F66E20" w:rsidP="00970EC1">
            <w:pPr>
              <w:pStyle w:val="Tabletext"/>
            </w:pPr>
            <w:r w:rsidRPr="005675B0">
              <w:t>29</w:t>
            </w:r>
          </w:p>
        </w:tc>
        <w:tc>
          <w:tcPr>
            <w:tcW w:w="3245" w:type="pct"/>
            <w:shd w:val="clear" w:color="auto" w:fill="auto"/>
          </w:tcPr>
          <w:p w:rsidR="00F66E20" w:rsidRPr="005675B0" w:rsidRDefault="00F66E20" w:rsidP="00970EC1">
            <w:pPr>
              <w:pStyle w:val="Tabletext"/>
            </w:pPr>
            <w:r w:rsidRPr="005675B0">
              <w:t>Financiele Termijnmarket Amsterdam NV</w:t>
            </w:r>
          </w:p>
        </w:tc>
        <w:tc>
          <w:tcPr>
            <w:tcW w:w="1180" w:type="pct"/>
            <w:shd w:val="clear" w:color="auto" w:fill="auto"/>
          </w:tcPr>
          <w:p w:rsidR="00F66E20" w:rsidRPr="005675B0" w:rsidRDefault="00F66E20" w:rsidP="00970EC1">
            <w:pPr>
              <w:pStyle w:val="Tabletext"/>
            </w:pPr>
            <w:r w:rsidRPr="005675B0">
              <w:t>The Netherlands</w:t>
            </w:r>
          </w:p>
        </w:tc>
      </w:tr>
      <w:tr w:rsidR="00F66E20" w:rsidRPr="005675B0" w:rsidTr="00FE1311">
        <w:tc>
          <w:tcPr>
            <w:tcW w:w="575" w:type="pct"/>
            <w:shd w:val="clear" w:color="auto" w:fill="auto"/>
          </w:tcPr>
          <w:p w:rsidR="00F66E20" w:rsidRPr="005675B0" w:rsidRDefault="00F66E20" w:rsidP="00970EC1">
            <w:pPr>
              <w:pStyle w:val="Tabletext"/>
            </w:pPr>
            <w:r w:rsidRPr="005675B0">
              <w:t>29A</w:t>
            </w:r>
          </w:p>
        </w:tc>
        <w:tc>
          <w:tcPr>
            <w:tcW w:w="3245" w:type="pct"/>
            <w:shd w:val="clear" w:color="auto" w:fill="auto"/>
          </w:tcPr>
          <w:p w:rsidR="00F66E20" w:rsidRPr="005675B0" w:rsidRDefault="00F66E20" w:rsidP="00970EC1">
            <w:pPr>
              <w:pStyle w:val="Tabletext"/>
            </w:pPr>
            <w:r w:rsidRPr="005675B0">
              <w:t>FX Alliance International, LLC</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30</w:t>
            </w:r>
          </w:p>
        </w:tc>
        <w:tc>
          <w:tcPr>
            <w:tcW w:w="3245" w:type="pct"/>
            <w:shd w:val="clear" w:color="auto" w:fill="auto"/>
          </w:tcPr>
          <w:p w:rsidR="00F66E20" w:rsidRPr="005675B0" w:rsidRDefault="00F66E20" w:rsidP="00970EC1">
            <w:pPr>
              <w:pStyle w:val="Tabletext"/>
            </w:pPr>
            <w:r w:rsidRPr="005675B0">
              <w:t>Helsinki Exchanges (also known as ‘HEX’)</w:t>
            </w:r>
          </w:p>
        </w:tc>
        <w:tc>
          <w:tcPr>
            <w:tcW w:w="1180" w:type="pct"/>
            <w:shd w:val="clear" w:color="auto" w:fill="auto"/>
          </w:tcPr>
          <w:p w:rsidR="00F66E20" w:rsidRPr="005675B0" w:rsidRDefault="00F66E20" w:rsidP="00970EC1">
            <w:pPr>
              <w:pStyle w:val="Tabletext"/>
            </w:pPr>
            <w:r w:rsidRPr="005675B0">
              <w:t>Finland</w:t>
            </w:r>
          </w:p>
        </w:tc>
      </w:tr>
      <w:tr w:rsidR="00F66E20" w:rsidRPr="005675B0" w:rsidTr="00FE1311">
        <w:tc>
          <w:tcPr>
            <w:tcW w:w="575" w:type="pct"/>
            <w:shd w:val="clear" w:color="auto" w:fill="auto"/>
          </w:tcPr>
          <w:p w:rsidR="00F66E20" w:rsidRPr="005675B0" w:rsidRDefault="00F66E20" w:rsidP="00970EC1">
            <w:pPr>
              <w:pStyle w:val="Tabletext"/>
            </w:pPr>
            <w:r w:rsidRPr="005675B0">
              <w:t>31</w:t>
            </w:r>
          </w:p>
        </w:tc>
        <w:tc>
          <w:tcPr>
            <w:tcW w:w="3245" w:type="pct"/>
            <w:shd w:val="clear" w:color="auto" w:fill="auto"/>
          </w:tcPr>
          <w:p w:rsidR="00F66E20" w:rsidRPr="005675B0" w:rsidRDefault="00F66E20" w:rsidP="00970EC1">
            <w:pPr>
              <w:pStyle w:val="Tabletext"/>
            </w:pPr>
            <w:r w:rsidRPr="005675B0">
              <w:t>Hong Kong Futures Exchange Ltd (also known as ‘HKFE’)</w:t>
            </w:r>
          </w:p>
        </w:tc>
        <w:tc>
          <w:tcPr>
            <w:tcW w:w="1180" w:type="pct"/>
            <w:shd w:val="clear" w:color="auto" w:fill="auto"/>
          </w:tcPr>
          <w:p w:rsidR="00F66E20" w:rsidRPr="005675B0" w:rsidRDefault="00F66E20" w:rsidP="00970EC1">
            <w:pPr>
              <w:pStyle w:val="Tabletext"/>
            </w:pPr>
            <w:r w:rsidRPr="005675B0">
              <w:t>Hong Kong</w:t>
            </w:r>
          </w:p>
        </w:tc>
      </w:tr>
      <w:tr w:rsidR="00F66E20" w:rsidRPr="005675B0" w:rsidTr="00FE1311">
        <w:tc>
          <w:tcPr>
            <w:tcW w:w="575" w:type="pct"/>
            <w:shd w:val="clear" w:color="auto" w:fill="auto"/>
          </w:tcPr>
          <w:p w:rsidR="00F66E20" w:rsidRPr="005675B0" w:rsidRDefault="00F66E20" w:rsidP="00970EC1">
            <w:pPr>
              <w:pStyle w:val="Tabletext"/>
            </w:pPr>
            <w:r w:rsidRPr="005675B0">
              <w:t>32</w:t>
            </w:r>
          </w:p>
        </w:tc>
        <w:tc>
          <w:tcPr>
            <w:tcW w:w="3245" w:type="pct"/>
            <w:shd w:val="clear" w:color="auto" w:fill="auto"/>
          </w:tcPr>
          <w:p w:rsidR="00F66E20" w:rsidRPr="005675B0" w:rsidRDefault="00F66E20" w:rsidP="00970EC1">
            <w:pPr>
              <w:pStyle w:val="Tabletext"/>
            </w:pPr>
            <w:r w:rsidRPr="005675B0">
              <w:t>Irish Stock Exchange</w:t>
            </w:r>
          </w:p>
        </w:tc>
        <w:tc>
          <w:tcPr>
            <w:tcW w:w="1180" w:type="pct"/>
            <w:shd w:val="clear" w:color="auto" w:fill="auto"/>
          </w:tcPr>
          <w:p w:rsidR="00F66E20" w:rsidRPr="005675B0" w:rsidRDefault="00F66E20" w:rsidP="00970EC1">
            <w:pPr>
              <w:pStyle w:val="Tabletext"/>
            </w:pPr>
            <w:r w:rsidRPr="005675B0">
              <w:t>Republic of Ireland</w:t>
            </w:r>
          </w:p>
        </w:tc>
      </w:tr>
      <w:tr w:rsidR="00F66E20" w:rsidRPr="005675B0" w:rsidTr="00FE1311">
        <w:tc>
          <w:tcPr>
            <w:tcW w:w="575" w:type="pct"/>
            <w:shd w:val="clear" w:color="auto" w:fill="auto"/>
          </w:tcPr>
          <w:p w:rsidR="00F66E20" w:rsidRPr="005675B0" w:rsidRDefault="00F66E20" w:rsidP="00970EC1">
            <w:pPr>
              <w:pStyle w:val="Tabletext"/>
            </w:pPr>
            <w:r w:rsidRPr="005675B0">
              <w:t>33</w:t>
            </w:r>
          </w:p>
        </w:tc>
        <w:tc>
          <w:tcPr>
            <w:tcW w:w="3245" w:type="pct"/>
            <w:shd w:val="clear" w:color="auto" w:fill="auto"/>
          </w:tcPr>
          <w:p w:rsidR="00F66E20" w:rsidRPr="005675B0" w:rsidRDefault="00F66E20" w:rsidP="00970EC1">
            <w:pPr>
              <w:pStyle w:val="Tabletext"/>
            </w:pPr>
            <w:r w:rsidRPr="005675B0">
              <w:t>Istanbul Stock Exchange</w:t>
            </w:r>
          </w:p>
        </w:tc>
        <w:tc>
          <w:tcPr>
            <w:tcW w:w="1180" w:type="pct"/>
            <w:shd w:val="clear" w:color="auto" w:fill="auto"/>
          </w:tcPr>
          <w:p w:rsidR="00F66E20" w:rsidRPr="005675B0" w:rsidRDefault="00F66E20" w:rsidP="00970EC1">
            <w:pPr>
              <w:pStyle w:val="Tabletext"/>
            </w:pPr>
            <w:r w:rsidRPr="005675B0">
              <w:t>Turkey</w:t>
            </w:r>
          </w:p>
        </w:tc>
      </w:tr>
      <w:tr w:rsidR="00F66E20" w:rsidRPr="005675B0" w:rsidTr="00FE1311">
        <w:tc>
          <w:tcPr>
            <w:tcW w:w="575" w:type="pct"/>
            <w:shd w:val="clear" w:color="auto" w:fill="auto"/>
          </w:tcPr>
          <w:p w:rsidR="00F66E20" w:rsidRPr="005675B0" w:rsidRDefault="00F66E20" w:rsidP="00970EC1">
            <w:pPr>
              <w:pStyle w:val="Tabletext"/>
            </w:pPr>
            <w:r w:rsidRPr="005675B0">
              <w:t>34</w:t>
            </w:r>
          </w:p>
        </w:tc>
        <w:tc>
          <w:tcPr>
            <w:tcW w:w="3245" w:type="pct"/>
            <w:shd w:val="clear" w:color="auto" w:fill="auto"/>
          </w:tcPr>
          <w:p w:rsidR="00F66E20" w:rsidRPr="005675B0" w:rsidRDefault="00F66E20" w:rsidP="00970EC1">
            <w:pPr>
              <w:pStyle w:val="Tabletext"/>
            </w:pPr>
            <w:r w:rsidRPr="005675B0">
              <w:t>Italian Futures Exchange (also known as ‘MIF’)</w:t>
            </w:r>
          </w:p>
        </w:tc>
        <w:tc>
          <w:tcPr>
            <w:tcW w:w="1180" w:type="pct"/>
            <w:shd w:val="clear" w:color="auto" w:fill="auto"/>
          </w:tcPr>
          <w:p w:rsidR="00F66E20" w:rsidRPr="005675B0" w:rsidRDefault="00F66E20" w:rsidP="00970EC1">
            <w:pPr>
              <w:pStyle w:val="Tabletext"/>
            </w:pPr>
            <w:r w:rsidRPr="005675B0">
              <w:t>Italy</w:t>
            </w:r>
          </w:p>
        </w:tc>
      </w:tr>
      <w:tr w:rsidR="00F66E20" w:rsidRPr="005675B0" w:rsidTr="00FE1311">
        <w:tc>
          <w:tcPr>
            <w:tcW w:w="575" w:type="pct"/>
            <w:shd w:val="clear" w:color="auto" w:fill="auto"/>
          </w:tcPr>
          <w:p w:rsidR="00F66E20" w:rsidRPr="005675B0" w:rsidRDefault="00F66E20" w:rsidP="00970EC1">
            <w:pPr>
              <w:pStyle w:val="Tabletext"/>
            </w:pPr>
            <w:r w:rsidRPr="005675B0">
              <w:t>35</w:t>
            </w:r>
          </w:p>
        </w:tc>
        <w:tc>
          <w:tcPr>
            <w:tcW w:w="3245" w:type="pct"/>
            <w:shd w:val="clear" w:color="auto" w:fill="auto"/>
          </w:tcPr>
          <w:p w:rsidR="00F66E20" w:rsidRPr="005675B0" w:rsidRDefault="00F66E20" w:rsidP="00970EC1">
            <w:pPr>
              <w:pStyle w:val="Tabletext"/>
            </w:pPr>
            <w:r w:rsidRPr="005675B0">
              <w:t>Italian Stock Exchange</w:t>
            </w:r>
          </w:p>
        </w:tc>
        <w:tc>
          <w:tcPr>
            <w:tcW w:w="1180" w:type="pct"/>
            <w:shd w:val="clear" w:color="auto" w:fill="auto"/>
          </w:tcPr>
          <w:p w:rsidR="00F66E20" w:rsidRPr="005675B0" w:rsidRDefault="00F66E20" w:rsidP="00970EC1">
            <w:pPr>
              <w:pStyle w:val="Tabletext"/>
            </w:pPr>
            <w:r w:rsidRPr="005675B0">
              <w:t>Italy</w:t>
            </w:r>
          </w:p>
        </w:tc>
      </w:tr>
      <w:tr w:rsidR="00F66E20" w:rsidRPr="005675B0" w:rsidTr="00FE1311">
        <w:tc>
          <w:tcPr>
            <w:tcW w:w="575" w:type="pct"/>
            <w:shd w:val="clear" w:color="auto" w:fill="auto"/>
          </w:tcPr>
          <w:p w:rsidR="00F66E20" w:rsidRPr="005675B0" w:rsidRDefault="00F66E20" w:rsidP="00970EC1">
            <w:pPr>
              <w:pStyle w:val="Tabletext"/>
            </w:pPr>
            <w:r w:rsidRPr="005675B0">
              <w:t>36</w:t>
            </w:r>
          </w:p>
        </w:tc>
        <w:tc>
          <w:tcPr>
            <w:tcW w:w="3245" w:type="pct"/>
            <w:shd w:val="clear" w:color="auto" w:fill="auto"/>
          </w:tcPr>
          <w:p w:rsidR="00F66E20" w:rsidRPr="005675B0" w:rsidRDefault="00F66E20" w:rsidP="00970EC1">
            <w:pPr>
              <w:pStyle w:val="Tabletext"/>
            </w:pPr>
            <w:r w:rsidRPr="005675B0">
              <w:t>Jakarta Stock Exchange</w:t>
            </w:r>
          </w:p>
        </w:tc>
        <w:tc>
          <w:tcPr>
            <w:tcW w:w="1180" w:type="pct"/>
            <w:shd w:val="clear" w:color="auto" w:fill="auto"/>
          </w:tcPr>
          <w:p w:rsidR="00F66E20" w:rsidRPr="005675B0" w:rsidRDefault="00F66E20" w:rsidP="00970EC1">
            <w:pPr>
              <w:pStyle w:val="Tabletext"/>
            </w:pPr>
            <w:r w:rsidRPr="005675B0">
              <w:t>Indonesia</w:t>
            </w:r>
          </w:p>
        </w:tc>
      </w:tr>
      <w:tr w:rsidR="00F66E20" w:rsidRPr="005675B0" w:rsidTr="00FE1311">
        <w:tc>
          <w:tcPr>
            <w:tcW w:w="575" w:type="pct"/>
            <w:shd w:val="clear" w:color="auto" w:fill="auto"/>
          </w:tcPr>
          <w:p w:rsidR="00F66E20" w:rsidRPr="005675B0" w:rsidRDefault="00F66E20" w:rsidP="00970EC1">
            <w:pPr>
              <w:pStyle w:val="Tabletext"/>
            </w:pPr>
            <w:r w:rsidRPr="005675B0">
              <w:t>37</w:t>
            </w:r>
          </w:p>
        </w:tc>
        <w:tc>
          <w:tcPr>
            <w:tcW w:w="3245" w:type="pct"/>
            <w:shd w:val="clear" w:color="auto" w:fill="auto"/>
          </w:tcPr>
          <w:p w:rsidR="00F66E20" w:rsidRPr="005675B0" w:rsidRDefault="00F66E20" w:rsidP="00970EC1">
            <w:pPr>
              <w:pStyle w:val="Tabletext"/>
            </w:pPr>
            <w:r w:rsidRPr="005675B0">
              <w:t>Johannesburg Stock Exchange</w:t>
            </w:r>
          </w:p>
        </w:tc>
        <w:tc>
          <w:tcPr>
            <w:tcW w:w="1180" w:type="pct"/>
            <w:shd w:val="clear" w:color="auto" w:fill="auto"/>
          </w:tcPr>
          <w:p w:rsidR="00F66E20" w:rsidRPr="005675B0" w:rsidRDefault="00F66E20" w:rsidP="00970EC1">
            <w:pPr>
              <w:pStyle w:val="Tabletext"/>
            </w:pPr>
            <w:r w:rsidRPr="005675B0">
              <w:t>South Africa</w:t>
            </w:r>
          </w:p>
        </w:tc>
      </w:tr>
      <w:tr w:rsidR="00F66E20" w:rsidRPr="005675B0" w:rsidTr="00FE1311">
        <w:tc>
          <w:tcPr>
            <w:tcW w:w="575" w:type="pct"/>
            <w:shd w:val="clear" w:color="auto" w:fill="auto"/>
          </w:tcPr>
          <w:p w:rsidR="00F66E20" w:rsidRPr="005675B0" w:rsidRDefault="00F66E20" w:rsidP="00970EC1">
            <w:pPr>
              <w:pStyle w:val="Tabletext"/>
            </w:pPr>
            <w:r w:rsidRPr="005675B0">
              <w:t>38</w:t>
            </w:r>
          </w:p>
        </w:tc>
        <w:tc>
          <w:tcPr>
            <w:tcW w:w="3245" w:type="pct"/>
            <w:shd w:val="clear" w:color="auto" w:fill="auto"/>
          </w:tcPr>
          <w:p w:rsidR="00F66E20" w:rsidRPr="005675B0" w:rsidRDefault="00F66E20" w:rsidP="00970EC1">
            <w:pPr>
              <w:pStyle w:val="Tabletext"/>
            </w:pPr>
            <w:r w:rsidRPr="005675B0">
              <w:t>Kansas City Board of Trade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39</w:t>
            </w:r>
          </w:p>
        </w:tc>
        <w:tc>
          <w:tcPr>
            <w:tcW w:w="3245" w:type="pct"/>
            <w:shd w:val="clear" w:color="auto" w:fill="auto"/>
          </w:tcPr>
          <w:p w:rsidR="00F66E20" w:rsidRPr="005675B0" w:rsidRDefault="00F66E20" w:rsidP="00970EC1">
            <w:pPr>
              <w:pStyle w:val="Tabletext"/>
            </w:pPr>
            <w:r w:rsidRPr="005675B0">
              <w:t>Korea Stock Exchange</w:t>
            </w:r>
          </w:p>
        </w:tc>
        <w:tc>
          <w:tcPr>
            <w:tcW w:w="1180" w:type="pct"/>
            <w:shd w:val="clear" w:color="auto" w:fill="auto"/>
          </w:tcPr>
          <w:p w:rsidR="00F66E20" w:rsidRPr="005675B0" w:rsidRDefault="00F66E20" w:rsidP="00970EC1">
            <w:pPr>
              <w:pStyle w:val="Tabletext"/>
            </w:pPr>
            <w:r w:rsidRPr="005675B0">
              <w:t>South Korea</w:t>
            </w:r>
          </w:p>
        </w:tc>
      </w:tr>
      <w:tr w:rsidR="00F66E20" w:rsidRPr="005675B0" w:rsidTr="00FE1311">
        <w:tc>
          <w:tcPr>
            <w:tcW w:w="575" w:type="pct"/>
            <w:shd w:val="clear" w:color="auto" w:fill="auto"/>
          </w:tcPr>
          <w:p w:rsidR="00F66E20" w:rsidRPr="005675B0" w:rsidRDefault="00F66E20" w:rsidP="00970EC1">
            <w:pPr>
              <w:pStyle w:val="Tabletext"/>
            </w:pPr>
            <w:r w:rsidRPr="005675B0">
              <w:t>40</w:t>
            </w:r>
          </w:p>
        </w:tc>
        <w:tc>
          <w:tcPr>
            <w:tcW w:w="3245" w:type="pct"/>
            <w:shd w:val="clear" w:color="auto" w:fill="auto"/>
          </w:tcPr>
          <w:p w:rsidR="00F66E20" w:rsidRPr="005675B0" w:rsidRDefault="00F66E20" w:rsidP="00970EC1">
            <w:pPr>
              <w:pStyle w:val="Tabletext"/>
            </w:pPr>
            <w:r w:rsidRPr="005675B0">
              <w:t>Kuala Lumpur Commodity Exchange (also known as ‘KLCE’)</w:t>
            </w:r>
          </w:p>
        </w:tc>
        <w:tc>
          <w:tcPr>
            <w:tcW w:w="1180" w:type="pct"/>
            <w:shd w:val="clear" w:color="auto" w:fill="auto"/>
          </w:tcPr>
          <w:p w:rsidR="00F66E20" w:rsidRPr="005675B0" w:rsidRDefault="00F66E20" w:rsidP="00970EC1">
            <w:pPr>
              <w:pStyle w:val="Tabletext"/>
            </w:pPr>
            <w:r w:rsidRPr="005675B0">
              <w:t>Malaysia</w:t>
            </w:r>
          </w:p>
        </w:tc>
      </w:tr>
      <w:tr w:rsidR="00F66E20" w:rsidRPr="005675B0" w:rsidTr="00FE1311">
        <w:tc>
          <w:tcPr>
            <w:tcW w:w="575" w:type="pct"/>
            <w:shd w:val="clear" w:color="auto" w:fill="auto"/>
          </w:tcPr>
          <w:p w:rsidR="00F66E20" w:rsidRPr="005675B0" w:rsidRDefault="00F66E20" w:rsidP="00970EC1">
            <w:pPr>
              <w:pStyle w:val="Tabletext"/>
            </w:pPr>
            <w:r w:rsidRPr="005675B0">
              <w:t>41</w:t>
            </w:r>
          </w:p>
        </w:tc>
        <w:tc>
          <w:tcPr>
            <w:tcW w:w="3245" w:type="pct"/>
            <w:shd w:val="clear" w:color="auto" w:fill="auto"/>
          </w:tcPr>
          <w:p w:rsidR="00F66E20" w:rsidRPr="005675B0" w:rsidRDefault="00F66E20" w:rsidP="00970EC1">
            <w:pPr>
              <w:pStyle w:val="Tabletext"/>
            </w:pPr>
            <w:r w:rsidRPr="005675B0">
              <w:t>Kuala Lumpur Options and Financial Futures Exchange</w:t>
            </w:r>
          </w:p>
        </w:tc>
        <w:tc>
          <w:tcPr>
            <w:tcW w:w="1180" w:type="pct"/>
            <w:shd w:val="clear" w:color="auto" w:fill="auto"/>
          </w:tcPr>
          <w:p w:rsidR="00F66E20" w:rsidRPr="005675B0" w:rsidRDefault="00F66E20" w:rsidP="00970EC1">
            <w:pPr>
              <w:pStyle w:val="Tabletext"/>
            </w:pPr>
            <w:r w:rsidRPr="005675B0">
              <w:t>Malaysia</w:t>
            </w:r>
          </w:p>
        </w:tc>
      </w:tr>
      <w:tr w:rsidR="00F66E20" w:rsidRPr="005675B0" w:rsidTr="00FE1311">
        <w:tc>
          <w:tcPr>
            <w:tcW w:w="575" w:type="pct"/>
            <w:shd w:val="clear" w:color="auto" w:fill="auto"/>
          </w:tcPr>
          <w:p w:rsidR="00F66E20" w:rsidRPr="005675B0" w:rsidRDefault="00F66E20" w:rsidP="00970EC1">
            <w:pPr>
              <w:pStyle w:val="Tabletext"/>
            </w:pPr>
            <w:r w:rsidRPr="005675B0">
              <w:t>42</w:t>
            </w:r>
          </w:p>
        </w:tc>
        <w:tc>
          <w:tcPr>
            <w:tcW w:w="3245" w:type="pct"/>
            <w:shd w:val="clear" w:color="auto" w:fill="auto"/>
          </w:tcPr>
          <w:p w:rsidR="00F66E20" w:rsidRPr="005675B0" w:rsidRDefault="00F66E20" w:rsidP="00970EC1">
            <w:pPr>
              <w:pStyle w:val="Tabletext"/>
            </w:pPr>
            <w:r w:rsidRPr="005675B0">
              <w:t>Kuala Lumpur Stock Exchange</w:t>
            </w:r>
          </w:p>
        </w:tc>
        <w:tc>
          <w:tcPr>
            <w:tcW w:w="1180" w:type="pct"/>
            <w:shd w:val="clear" w:color="auto" w:fill="auto"/>
          </w:tcPr>
          <w:p w:rsidR="00F66E20" w:rsidRPr="005675B0" w:rsidRDefault="00F66E20" w:rsidP="00970EC1">
            <w:pPr>
              <w:pStyle w:val="Tabletext"/>
            </w:pPr>
            <w:r w:rsidRPr="005675B0">
              <w:t>Malaysia</w:t>
            </w:r>
          </w:p>
        </w:tc>
      </w:tr>
      <w:tr w:rsidR="00F66E20" w:rsidRPr="005675B0" w:rsidTr="00FE1311">
        <w:tc>
          <w:tcPr>
            <w:tcW w:w="575" w:type="pct"/>
            <w:shd w:val="clear" w:color="auto" w:fill="auto"/>
          </w:tcPr>
          <w:p w:rsidR="00F66E20" w:rsidRPr="005675B0" w:rsidRDefault="00F66E20" w:rsidP="00970EC1">
            <w:pPr>
              <w:pStyle w:val="Tabletext"/>
            </w:pPr>
            <w:r w:rsidRPr="005675B0">
              <w:t>43</w:t>
            </w:r>
          </w:p>
        </w:tc>
        <w:tc>
          <w:tcPr>
            <w:tcW w:w="3245" w:type="pct"/>
            <w:shd w:val="clear" w:color="auto" w:fill="auto"/>
          </w:tcPr>
          <w:p w:rsidR="00F66E20" w:rsidRPr="005675B0" w:rsidRDefault="00F66E20" w:rsidP="00970EC1">
            <w:pPr>
              <w:pStyle w:val="Tabletext"/>
            </w:pPr>
            <w:r w:rsidRPr="005675B0">
              <w:t>London International Financial Futures Exchange Ltd</w:t>
            </w:r>
          </w:p>
        </w:tc>
        <w:tc>
          <w:tcPr>
            <w:tcW w:w="1180" w:type="pct"/>
            <w:shd w:val="clear" w:color="auto" w:fill="auto"/>
          </w:tcPr>
          <w:p w:rsidR="00F66E20" w:rsidRPr="005675B0" w:rsidRDefault="00F66E20" w:rsidP="00970EC1">
            <w:pPr>
              <w:pStyle w:val="Tabletext"/>
            </w:pPr>
            <w:r w:rsidRPr="005675B0">
              <w:t>United Kingdom</w:t>
            </w:r>
          </w:p>
        </w:tc>
      </w:tr>
      <w:tr w:rsidR="00F66E20" w:rsidRPr="005675B0" w:rsidTr="00FE1311">
        <w:tc>
          <w:tcPr>
            <w:tcW w:w="575" w:type="pct"/>
            <w:shd w:val="clear" w:color="auto" w:fill="auto"/>
          </w:tcPr>
          <w:p w:rsidR="00F66E20" w:rsidRPr="005675B0" w:rsidRDefault="00F66E20" w:rsidP="00970EC1">
            <w:pPr>
              <w:pStyle w:val="Tabletext"/>
            </w:pPr>
            <w:r w:rsidRPr="005675B0">
              <w:t>44</w:t>
            </w:r>
          </w:p>
        </w:tc>
        <w:tc>
          <w:tcPr>
            <w:tcW w:w="3245" w:type="pct"/>
            <w:shd w:val="clear" w:color="auto" w:fill="auto"/>
          </w:tcPr>
          <w:p w:rsidR="00F66E20" w:rsidRPr="005675B0" w:rsidRDefault="00F66E20" w:rsidP="00970EC1">
            <w:pPr>
              <w:pStyle w:val="Tabletext"/>
            </w:pPr>
            <w:r w:rsidRPr="005675B0">
              <w:t>London Securities and Derivatives Exchange</w:t>
            </w:r>
          </w:p>
        </w:tc>
        <w:tc>
          <w:tcPr>
            <w:tcW w:w="1180" w:type="pct"/>
            <w:shd w:val="clear" w:color="auto" w:fill="auto"/>
          </w:tcPr>
          <w:p w:rsidR="00F66E20" w:rsidRPr="005675B0" w:rsidRDefault="00F66E20" w:rsidP="00970EC1">
            <w:pPr>
              <w:pStyle w:val="Tabletext"/>
            </w:pPr>
            <w:r w:rsidRPr="005675B0">
              <w:t>United Kingdom</w:t>
            </w:r>
          </w:p>
        </w:tc>
      </w:tr>
      <w:tr w:rsidR="00F66E20" w:rsidRPr="005675B0" w:rsidTr="00FE1311">
        <w:tc>
          <w:tcPr>
            <w:tcW w:w="575" w:type="pct"/>
            <w:shd w:val="clear" w:color="auto" w:fill="auto"/>
          </w:tcPr>
          <w:p w:rsidR="00F66E20" w:rsidRPr="005675B0" w:rsidRDefault="00F66E20" w:rsidP="00970EC1">
            <w:pPr>
              <w:pStyle w:val="Tabletext"/>
            </w:pPr>
            <w:r w:rsidRPr="005675B0">
              <w:t>45</w:t>
            </w:r>
          </w:p>
        </w:tc>
        <w:tc>
          <w:tcPr>
            <w:tcW w:w="3245" w:type="pct"/>
            <w:shd w:val="clear" w:color="auto" w:fill="auto"/>
          </w:tcPr>
          <w:p w:rsidR="00F66E20" w:rsidRPr="005675B0" w:rsidRDefault="00F66E20" w:rsidP="00970EC1">
            <w:pPr>
              <w:pStyle w:val="Tabletext"/>
            </w:pPr>
            <w:r w:rsidRPr="005675B0">
              <w:t>London Stock Exchange</w:t>
            </w:r>
          </w:p>
        </w:tc>
        <w:tc>
          <w:tcPr>
            <w:tcW w:w="1180" w:type="pct"/>
            <w:shd w:val="clear" w:color="auto" w:fill="auto"/>
          </w:tcPr>
          <w:p w:rsidR="00F66E20" w:rsidRPr="005675B0" w:rsidRDefault="00F66E20" w:rsidP="00970EC1">
            <w:pPr>
              <w:pStyle w:val="Tabletext"/>
            </w:pPr>
            <w:r w:rsidRPr="005675B0">
              <w:t>United Kingdom</w:t>
            </w:r>
          </w:p>
        </w:tc>
      </w:tr>
      <w:tr w:rsidR="00F66E20" w:rsidRPr="005675B0" w:rsidTr="00FE1311">
        <w:tc>
          <w:tcPr>
            <w:tcW w:w="575" w:type="pct"/>
            <w:shd w:val="clear" w:color="auto" w:fill="auto"/>
          </w:tcPr>
          <w:p w:rsidR="00F66E20" w:rsidRPr="005675B0" w:rsidRDefault="00F66E20" w:rsidP="00970EC1">
            <w:pPr>
              <w:pStyle w:val="Tabletext"/>
            </w:pPr>
            <w:r w:rsidRPr="005675B0">
              <w:t>46</w:t>
            </w:r>
          </w:p>
        </w:tc>
        <w:tc>
          <w:tcPr>
            <w:tcW w:w="3245" w:type="pct"/>
            <w:shd w:val="clear" w:color="auto" w:fill="auto"/>
          </w:tcPr>
          <w:p w:rsidR="00F66E20" w:rsidRPr="005675B0" w:rsidRDefault="00F66E20" w:rsidP="00970EC1">
            <w:pPr>
              <w:pStyle w:val="Tabletext"/>
            </w:pPr>
            <w:r w:rsidRPr="005675B0">
              <w:t>Marche a Terme International de France (also known as ‘MATIF’)</w:t>
            </w:r>
          </w:p>
        </w:tc>
        <w:tc>
          <w:tcPr>
            <w:tcW w:w="1180" w:type="pct"/>
            <w:shd w:val="clear" w:color="auto" w:fill="auto"/>
          </w:tcPr>
          <w:p w:rsidR="00F66E20" w:rsidRPr="005675B0" w:rsidRDefault="00F66E20" w:rsidP="00970EC1">
            <w:pPr>
              <w:pStyle w:val="Tabletext"/>
            </w:pPr>
            <w:r w:rsidRPr="005675B0">
              <w:t>France</w:t>
            </w:r>
          </w:p>
        </w:tc>
      </w:tr>
      <w:tr w:rsidR="00F66E20" w:rsidRPr="005675B0" w:rsidTr="00FE1311">
        <w:tc>
          <w:tcPr>
            <w:tcW w:w="575" w:type="pct"/>
            <w:shd w:val="clear" w:color="auto" w:fill="auto"/>
          </w:tcPr>
          <w:p w:rsidR="00F66E20" w:rsidRPr="005675B0" w:rsidRDefault="00F66E20" w:rsidP="00970EC1">
            <w:pPr>
              <w:pStyle w:val="Tabletext"/>
            </w:pPr>
            <w:r w:rsidRPr="005675B0">
              <w:t>47</w:t>
            </w:r>
          </w:p>
        </w:tc>
        <w:tc>
          <w:tcPr>
            <w:tcW w:w="3245" w:type="pct"/>
            <w:shd w:val="clear" w:color="auto" w:fill="auto"/>
          </w:tcPr>
          <w:p w:rsidR="00F66E20" w:rsidRPr="005675B0" w:rsidRDefault="00F66E20" w:rsidP="00970EC1">
            <w:pPr>
              <w:pStyle w:val="Tabletext"/>
            </w:pPr>
            <w:r w:rsidRPr="005675B0">
              <w:t>Marche des Options Negotiable de Paris (also known as ‘MOTEP’)</w:t>
            </w:r>
          </w:p>
        </w:tc>
        <w:tc>
          <w:tcPr>
            <w:tcW w:w="1180" w:type="pct"/>
            <w:shd w:val="clear" w:color="auto" w:fill="auto"/>
          </w:tcPr>
          <w:p w:rsidR="00F66E20" w:rsidRPr="005675B0" w:rsidRDefault="00F66E20" w:rsidP="00970EC1">
            <w:pPr>
              <w:pStyle w:val="Tabletext"/>
            </w:pPr>
            <w:r w:rsidRPr="005675B0">
              <w:t>France</w:t>
            </w:r>
          </w:p>
        </w:tc>
      </w:tr>
      <w:tr w:rsidR="00F66E20" w:rsidRPr="005675B0" w:rsidTr="00FE1311">
        <w:tc>
          <w:tcPr>
            <w:tcW w:w="575" w:type="pct"/>
            <w:shd w:val="clear" w:color="auto" w:fill="auto"/>
          </w:tcPr>
          <w:p w:rsidR="00F66E20" w:rsidRPr="005675B0" w:rsidRDefault="00F66E20" w:rsidP="00970EC1">
            <w:pPr>
              <w:pStyle w:val="Tabletext"/>
            </w:pPr>
            <w:r w:rsidRPr="005675B0">
              <w:t>47A</w:t>
            </w:r>
          </w:p>
        </w:tc>
        <w:tc>
          <w:tcPr>
            <w:tcW w:w="3245" w:type="pct"/>
            <w:shd w:val="clear" w:color="auto" w:fill="auto"/>
          </w:tcPr>
          <w:p w:rsidR="00F66E20" w:rsidRPr="005675B0" w:rsidRDefault="00F66E20" w:rsidP="00970EC1">
            <w:pPr>
              <w:pStyle w:val="Tabletext"/>
            </w:pPr>
            <w:r w:rsidRPr="005675B0">
              <w:t>Market Regulation Services Inc.</w:t>
            </w:r>
          </w:p>
        </w:tc>
        <w:tc>
          <w:tcPr>
            <w:tcW w:w="1180" w:type="pct"/>
            <w:shd w:val="clear" w:color="auto" w:fill="auto"/>
          </w:tcPr>
          <w:p w:rsidR="00F66E20" w:rsidRPr="005675B0" w:rsidRDefault="00F66E20" w:rsidP="00970EC1">
            <w:pPr>
              <w:pStyle w:val="Tabletext"/>
            </w:pPr>
            <w:r w:rsidRPr="005675B0">
              <w:t>Canada</w:t>
            </w:r>
          </w:p>
        </w:tc>
      </w:tr>
      <w:tr w:rsidR="00F66E20" w:rsidRPr="005675B0" w:rsidTr="00FE1311">
        <w:tc>
          <w:tcPr>
            <w:tcW w:w="575" w:type="pct"/>
            <w:shd w:val="clear" w:color="auto" w:fill="auto"/>
          </w:tcPr>
          <w:p w:rsidR="00F66E20" w:rsidRPr="005675B0" w:rsidRDefault="00F66E20" w:rsidP="00970EC1">
            <w:pPr>
              <w:pStyle w:val="Tabletext"/>
            </w:pPr>
            <w:r w:rsidRPr="005675B0">
              <w:t>48</w:t>
            </w:r>
          </w:p>
        </w:tc>
        <w:tc>
          <w:tcPr>
            <w:tcW w:w="3245" w:type="pct"/>
            <w:shd w:val="clear" w:color="auto" w:fill="auto"/>
          </w:tcPr>
          <w:p w:rsidR="00F66E20" w:rsidRPr="005675B0" w:rsidRDefault="00F66E20" w:rsidP="00970EC1">
            <w:pPr>
              <w:pStyle w:val="Tabletext"/>
            </w:pPr>
            <w:r w:rsidRPr="005675B0">
              <w:t>Mid American Commodity Exchange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49</w:t>
            </w:r>
          </w:p>
        </w:tc>
        <w:tc>
          <w:tcPr>
            <w:tcW w:w="3245" w:type="pct"/>
            <w:shd w:val="clear" w:color="auto" w:fill="auto"/>
          </w:tcPr>
          <w:p w:rsidR="00F66E20" w:rsidRPr="005675B0" w:rsidRDefault="00F66E20" w:rsidP="00970EC1">
            <w:pPr>
              <w:pStyle w:val="Tabletext"/>
            </w:pPr>
            <w:r w:rsidRPr="005675B0">
              <w:t>NASDAQ Stock Market (also known as ‘NASDAQ’)</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50</w:t>
            </w:r>
          </w:p>
        </w:tc>
        <w:tc>
          <w:tcPr>
            <w:tcW w:w="3245" w:type="pct"/>
            <w:shd w:val="clear" w:color="auto" w:fill="auto"/>
          </w:tcPr>
          <w:p w:rsidR="00F66E20" w:rsidRPr="005675B0" w:rsidRDefault="00F66E20" w:rsidP="00970EC1">
            <w:pPr>
              <w:pStyle w:val="Tabletext"/>
            </w:pPr>
            <w:r w:rsidRPr="005675B0">
              <w:t>New York Futures Exchange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50A</w:t>
            </w:r>
          </w:p>
        </w:tc>
        <w:tc>
          <w:tcPr>
            <w:tcW w:w="3245" w:type="pct"/>
            <w:shd w:val="clear" w:color="auto" w:fill="auto"/>
          </w:tcPr>
          <w:p w:rsidR="00F66E20" w:rsidRPr="005675B0" w:rsidRDefault="00F66E20" w:rsidP="00970EC1">
            <w:pPr>
              <w:pStyle w:val="Tabletext"/>
            </w:pPr>
            <w:r w:rsidRPr="005675B0">
              <w:t>New York Mercantile Exchange Inc (also known as ‘NYMEX’)</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51</w:t>
            </w:r>
          </w:p>
        </w:tc>
        <w:tc>
          <w:tcPr>
            <w:tcW w:w="3245" w:type="pct"/>
            <w:shd w:val="clear" w:color="auto" w:fill="auto"/>
          </w:tcPr>
          <w:p w:rsidR="00F66E20" w:rsidRPr="005675B0" w:rsidRDefault="00F66E20" w:rsidP="00970EC1">
            <w:pPr>
              <w:pStyle w:val="Tabletext"/>
            </w:pPr>
            <w:r w:rsidRPr="005675B0">
              <w:t>New York Stock Exchange Inc (also known as ‘NYSE’)</w:t>
            </w:r>
          </w:p>
        </w:tc>
        <w:tc>
          <w:tcPr>
            <w:tcW w:w="1180" w:type="pct"/>
            <w:shd w:val="clear" w:color="auto" w:fill="auto"/>
          </w:tcPr>
          <w:p w:rsidR="00F66E20" w:rsidRPr="005675B0" w:rsidRDefault="00F66E20" w:rsidP="00970EC1">
            <w:pPr>
              <w:pStyle w:val="Tabletext"/>
            </w:pPr>
            <w:r w:rsidRPr="005675B0">
              <w:t>United States of America</w:t>
            </w:r>
          </w:p>
        </w:tc>
      </w:tr>
      <w:tr w:rsidR="00F66E20" w:rsidRPr="005675B0" w:rsidTr="00FE1311">
        <w:tc>
          <w:tcPr>
            <w:tcW w:w="575" w:type="pct"/>
            <w:shd w:val="clear" w:color="auto" w:fill="auto"/>
          </w:tcPr>
          <w:p w:rsidR="00F66E20" w:rsidRPr="005675B0" w:rsidRDefault="00F66E20" w:rsidP="00970EC1">
            <w:pPr>
              <w:pStyle w:val="Tabletext"/>
            </w:pPr>
            <w:r w:rsidRPr="005675B0">
              <w:t>52</w:t>
            </w:r>
          </w:p>
        </w:tc>
        <w:tc>
          <w:tcPr>
            <w:tcW w:w="3245" w:type="pct"/>
            <w:shd w:val="clear" w:color="auto" w:fill="auto"/>
          </w:tcPr>
          <w:p w:rsidR="00F66E20" w:rsidRPr="005675B0" w:rsidRDefault="00F66E20" w:rsidP="00970EC1">
            <w:pPr>
              <w:pStyle w:val="Tabletext"/>
            </w:pPr>
            <w:r w:rsidRPr="005675B0">
              <w:t>New Zealand Futures &amp; Options Exchange Ltd (also known as ‘NZFOE’)</w:t>
            </w:r>
          </w:p>
        </w:tc>
        <w:tc>
          <w:tcPr>
            <w:tcW w:w="1180" w:type="pct"/>
            <w:shd w:val="clear" w:color="auto" w:fill="auto"/>
          </w:tcPr>
          <w:p w:rsidR="00F66E20" w:rsidRPr="005675B0" w:rsidRDefault="00F66E20" w:rsidP="00970EC1">
            <w:pPr>
              <w:pStyle w:val="Tabletext"/>
            </w:pPr>
            <w:r w:rsidRPr="005675B0">
              <w:t>New Zealand</w:t>
            </w:r>
          </w:p>
        </w:tc>
      </w:tr>
      <w:tr w:rsidR="00F66E20" w:rsidRPr="005675B0" w:rsidTr="00FE1311">
        <w:tc>
          <w:tcPr>
            <w:tcW w:w="575" w:type="pct"/>
            <w:shd w:val="clear" w:color="auto" w:fill="auto"/>
          </w:tcPr>
          <w:p w:rsidR="00F66E20" w:rsidRPr="005675B0" w:rsidRDefault="00F66E20" w:rsidP="00970EC1">
            <w:pPr>
              <w:pStyle w:val="Tabletext"/>
            </w:pPr>
            <w:r w:rsidRPr="005675B0">
              <w:t>53</w:t>
            </w:r>
          </w:p>
        </w:tc>
        <w:tc>
          <w:tcPr>
            <w:tcW w:w="3245" w:type="pct"/>
            <w:shd w:val="clear" w:color="auto" w:fill="auto"/>
          </w:tcPr>
          <w:p w:rsidR="00F66E20" w:rsidRPr="005675B0" w:rsidRDefault="00F66E20" w:rsidP="00970EC1">
            <w:pPr>
              <w:pStyle w:val="Tabletext"/>
            </w:pPr>
            <w:r w:rsidRPr="005675B0">
              <w:t>New Zealand Stock Exchange</w:t>
            </w:r>
          </w:p>
        </w:tc>
        <w:tc>
          <w:tcPr>
            <w:tcW w:w="1180" w:type="pct"/>
            <w:shd w:val="clear" w:color="auto" w:fill="auto"/>
          </w:tcPr>
          <w:p w:rsidR="00F66E20" w:rsidRPr="005675B0" w:rsidRDefault="00F66E20" w:rsidP="00970EC1">
            <w:pPr>
              <w:pStyle w:val="Tabletext"/>
            </w:pPr>
            <w:r w:rsidRPr="005675B0">
              <w:t>New Zealand</w:t>
            </w:r>
          </w:p>
        </w:tc>
      </w:tr>
      <w:tr w:rsidR="00F66E20" w:rsidRPr="005675B0" w:rsidTr="00FE1311">
        <w:tc>
          <w:tcPr>
            <w:tcW w:w="575" w:type="pct"/>
            <w:shd w:val="clear" w:color="auto" w:fill="auto"/>
          </w:tcPr>
          <w:p w:rsidR="00F66E20" w:rsidRPr="005675B0" w:rsidRDefault="00F66E20" w:rsidP="00970EC1">
            <w:pPr>
              <w:pStyle w:val="Tabletext"/>
            </w:pPr>
            <w:r w:rsidRPr="005675B0">
              <w:t>54</w:t>
            </w:r>
          </w:p>
        </w:tc>
        <w:tc>
          <w:tcPr>
            <w:tcW w:w="3245" w:type="pct"/>
            <w:shd w:val="clear" w:color="auto" w:fill="auto"/>
          </w:tcPr>
          <w:p w:rsidR="00F66E20" w:rsidRPr="005675B0" w:rsidRDefault="00F66E20" w:rsidP="00970EC1">
            <w:pPr>
              <w:pStyle w:val="Tabletext"/>
            </w:pPr>
            <w:r w:rsidRPr="005675B0">
              <w:t>OM Stockholm Exchange AB (also known as ‘OMS’)</w:t>
            </w:r>
          </w:p>
        </w:tc>
        <w:tc>
          <w:tcPr>
            <w:tcW w:w="1180" w:type="pct"/>
            <w:shd w:val="clear" w:color="auto" w:fill="auto"/>
          </w:tcPr>
          <w:p w:rsidR="00F66E20" w:rsidRPr="005675B0" w:rsidRDefault="00F66E20" w:rsidP="00970EC1">
            <w:pPr>
              <w:pStyle w:val="Tabletext"/>
            </w:pPr>
            <w:r w:rsidRPr="005675B0">
              <w:t>Sweden</w:t>
            </w:r>
          </w:p>
        </w:tc>
      </w:tr>
      <w:tr w:rsidR="00F66E20" w:rsidRPr="005675B0" w:rsidTr="00FE1311">
        <w:tc>
          <w:tcPr>
            <w:tcW w:w="575" w:type="pct"/>
            <w:shd w:val="clear" w:color="auto" w:fill="auto"/>
          </w:tcPr>
          <w:p w:rsidR="00F66E20" w:rsidRPr="005675B0" w:rsidRDefault="00F66E20" w:rsidP="00C60EAB">
            <w:pPr>
              <w:pStyle w:val="Tabletext"/>
            </w:pPr>
            <w:r w:rsidRPr="005675B0">
              <w:t>55</w:t>
            </w:r>
          </w:p>
        </w:tc>
        <w:tc>
          <w:tcPr>
            <w:tcW w:w="3245" w:type="pct"/>
            <w:shd w:val="clear" w:color="auto" w:fill="auto"/>
          </w:tcPr>
          <w:p w:rsidR="00F66E20" w:rsidRPr="005675B0" w:rsidRDefault="00F66E20" w:rsidP="00970EC1">
            <w:pPr>
              <w:pStyle w:val="Tabletext"/>
            </w:pPr>
            <w:r w:rsidRPr="005675B0">
              <w:t>Osaka Securities Exchange (also known as ‘OSE’)</w:t>
            </w:r>
          </w:p>
        </w:tc>
        <w:tc>
          <w:tcPr>
            <w:tcW w:w="1180" w:type="pct"/>
            <w:shd w:val="clear" w:color="auto" w:fill="auto"/>
          </w:tcPr>
          <w:p w:rsidR="00F66E20" w:rsidRPr="005675B0" w:rsidRDefault="00F66E20" w:rsidP="00970EC1">
            <w:pPr>
              <w:pStyle w:val="Tabletext"/>
            </w:pPr>
            <w:r w:rsidRPr="005675B0">
              <w:t>Japan</w:t>
            </w:r>
          </w:p>
        </w:tc>
      </w:tr>
      <w:tr w:rsidR="00F66E20" w:rsidRPr="005675B0" w:rsidTr="00FE1311">
        <w:tc>
          <w:tcPr>
            <w:tcW w:w="575" w:type="pct"/>
            <w:shd w:val="clear" w:color="auto" w:fill="auto"/>
          </w:tcPr>
          <w:p w:rsidR="00F66E20" w:rsidRPr="005675B0" w:rsidRDefault="00F66E20" w:rsidP="00970EC1">
            <w:pPr>
              <w:pStyle w:val="Tabletext"/>
            </w:pPr>
            <w:r w:rsidRPr="005675B0">
              <w:lastRenderedPageBreak/>
              <w:t>56</w:t>
            </w:r>
          </w:p>
        </w:tc>
        <w:tc>
          <w:tcPr>
            <w:tcW w:w="3245" w:type="pct"/>
            <w:shd w:val="clear" w:color="auto" w:fill="auto"/>
          </w:tcPr>
          <w:p w:rsidR="00F66E20" w:rsidRPr="005675B0" w:rsidRDefault="00F66E20" w:rsidP="00970EC1">
            <w:pPr>
              <w:pStyle w:val="Tabletext"/>
            </w:pPr>
            <w:r w:rsidRPr="005675B0">
              <w:t>Oslo Stock Exchange (also known as ‘OLSO’)</w:t>
            </w:r>
          </w:p>
        </w:tc>
        <w:tc>
          <w:tcPr>
            <w:tcW w:w="1180" w:type="pct"/>
            <w:shd w:val="clear" w:color="auto" w:fill="auto"/>
          </w:tcPr>
          <w:p w:rsidR="00F66E20" w:rsidRPr="005675B0" w:rsidRDefault="00F66E20" w:rsidP="00970EC1">
            <w:pPr>
              <w:pStyle w:val="Tabletext"/>
            </w:pPr>
            <w:r w:rsidRPr="005675B0">
              <w:t>Norway</w:t>
            </w:r>
          </w:p>
        </w:tc>
      </w:tr>
      <w:tr w:rsidR="00F66E20" w:rsidRPr="005675B0" w:rsidTr="00FE1311">
        <w:tc>
          <w:tcPr>
            <w:tcW w:w="575" w:type="pct"/>
            <w:shd w:val="clear" w:color="auto" w:fill="auto"/>
          </w:tcPr>
          <w:p w:rsidR="00F66E20" w:rsidRPr="005675B0" w:rsidRDefault="00F66E20" w:rsidP="00970EC1">
            <w:pPr>
              <w:pStyle w:val="Tabletext"/>
            </w:pPr>
            <w:r w:rsidRPr="005675B0">
              <w:t>57</w:t>
            </w:r>
          </w:p>
        </w:tc>
        <w:tc>
          <w:tcPr>
            <w:tcW w:w="3245" w:type="pct"/>
            <w:shd w:val="clear" w:color="auto" w:fill="auto"/>
          </w:tcPr>
          <w:p w:rsidR="00F66E20" w:rsidRPr="005675B0" w:rsidRDefault="00F66E20" w:rsidP="00970EC1">
            <w:pPr>
              <w:pStyle w:val="Tabletext"/>
            </w:pPr>
            <w:r w:rsidRPr="005675B0">
              <w:t>Paris Bourse SBF SA</w:t>
            </w:r>
          </w:p>
        </w:tc>
        <w:tc>
          <w:tcPr>
            <w:tcW w:w="1180" w:type="pct"/>
            <w:shd w:val="clear" w:color="auto" w:fill="auto"/>
          </w:tcPr>
          <w:p w:rsidR="00F66E20" w:rsidRPr="005675B0" w:rsidRDefault="00F66E20" w:rsidP="00970EC1">
            <w:pPr>
              <w:pStyle w:val="Tabletext"/>
            </w:pPr>
            <w:r w:rsidRPr="005675B0">
              <w:t>France</w:t>
            </w:r>
          </w:p>
        </w:tc>
      </w:tr>
      <w:tr w:rsidR="00F66E20" w:rsidRPr="005675B0" w:rsidTr="00FE1311">
        <w:tc>
          <w:tcPr>
            <w:tcW w:w="575" w:type="pct"/>
            <w:shd w:val="clear" w:color="auto" w:fill="auto"/>
          </w:tcPr>
          <w:p w:rsidR="00F66E20" w:rsidRPr="005675B0" w:rsidRDefault="00F66E20" w:rsidP="00970EC1">
            <w:pPr>
              <w:pStyle w:val="Tabletext"/>
            </w:pPr>
            <w:r w:rsidRPr="005675B0">
              <w:t>58</w:t>
            </w:r>
          </w:p>
        </w:tc>
        <w:tc>
          <w:tcPr>
            <w:tcW w:w="3245" w:type="pct"/>
            <w:shd w:val="clear" w:color="auto" w:fill="auto"/>
          </w:tcPr>
          <w:p w:rsidR="00F66E20" w:rsidRPr="005675B0" w:rsidRDefault="00F66E20" w:rsidP="00970EC1">
            <w:pPr>
              <w:pStyle w:val="Tabletext"/>
            </w:pPr>
            <w:r w:rsidRPr="005675B0">
              <w:t>Philippines Stock Exchange</w:t>
            </w:r>
          </w:p>
        </w:tc>
        <w:tc>
          <w:tcPr>
            <w:tcW w:w="1180" w:type="pct"/>
            <w:shd w:val="clear" w:color="auto" w:fill="auto"/>
          </w:tcPr>
          <w:p w:rsidR="00F66E20" w:rsidRPr="005675B0" w:rsidRDefault="00F66E20" w:rsidP="00970EC1">
            <w:pPr>
              <w:pStyle w:val="Tabletext"/>
            </w:pPr>
            <w:r w:rsidRPr="005675B0">
              <w:t>The Philippines</w:t>
            </w:r>
          </w:p>
        </w:tc>
      </w:tr>
      <w:tr w:rsidR="00F66E20" w:rsidRPr="005675B0" w:rsidTr="00FE1311">
        <w:tc>
          <w:tcPr>
            <w:tcW w:w="575" w:type="pct"/>
            <w:shd w:val="clear" w:color="auto" w:fill="auto"/>
          </w:tcPr>
          <w:p w:rsidR="00F66E20" w:rsidRPr="005675B0" w:rsidRDefault="00F66E20" w:rsidP="00970EC1">
            <w:pPr>
              <w:pStyle w:val="Tabletext"/>
            </w:pPr>
            <w:r w:rsidRPr="005675B0">
              <w:t>59</w:t>
            </w:r>
          </w:p>
        </w:tc>
        <w:tc>
          <w:tcPr>
            <w:tcW w:w="3245" w:type="pct"/>
            <w:shd w:val="clear" w:color="auto" w:fill="auto"/>
          </w:tcPr>
          <w:p w:rsidR="00F66E20" w:rsidRPr="005675B0" w:rsidRDefault="00F66E20" w:rsidP="00970EC1">
            <w:pPr>
              <w:pStyle w:val="Tabletext"/>
            </w:pPr>
            <w:r w:rsidRPr="005675B0">
              <w:t>Port Moresby Stock Exchange</w:t>
            </w:r>
          </w:p>
        </w:tc>
        <w:tc>
          <w:tcPr>
            <w:tcW w:w="1180" w:type="pct"/>
            <w:shd w:val="clear" w:color="auto" w:fill="auto"/>
          </w:tcPr>
          <w:p w:rsidR="00F66E20" w:rsidRPr="005675B0" w:rsidRDefault="00F66E20" w:rsidP="00970EC1">
            <w:pPr>
              <w:pStyle w:val="Tabletext"/>
            </w:pPr>
            <w:r w:rsidRPr="005675B0">
              <w:t>Papua New Guinea</w:t>
            </w:r>
          </w:p>
        </w:tc>
      </w:tr>
      <w:tr w:rsidR="00F66E20" w:rsidRPr="005675B0" w:rsidTr="00FE1311">
        <w:tc>
          <w:tcPr>
            <w:tcW w:w="575" w:type="pct"/>
            <w:shd w:val="clear" w:color="auto" w:fill="auto"/>
          </w:tcPr>
          <w:p w:rsidR="00F66E20" w:rsidRPr="005675B0" w:rsidRDefault="00F66E20" w:rsidP="00970EC1">
            <w:pPr>
              <w:pStyle w:val="Tabletext"/>
            </w:pPr>
            <w:r w:rsidRPr="005675B0">
              <w:t>59A</w:t>
            </w:r>
          </w:p>
        </w:tc>
        <w:tc>
          <w:tcPr>
            <w:tcW w:w="3245" w:type="pct"/>
            <w:shd w:val="clear" w:color="auto" w:fill="auto"/>
          </w:tcPr>
          <w:p w:rsidR="00F66E20" w:rsidRPr="005675B0" w:rsidRDefault="00F66E20" w:rsidP="00970EC1">
            <w:pPr>
              <w:pStyle w:val="Tabletext"/>
            </w:pPr>
            <w:r w:rsidRPr="005675B0">
              <w:t>Reuters Transaction Services Limited</w:t>
            </w:r>
          </w:p>
        </w:tc>
        <w:tc>
          <w:tcPr>
            <w:tcW w:w="1180" w:type="pct"/>
            <w:shd w:val="clear" w:color="auto" w:fill="auto"/>
          </w:tcPr>
          <w:p w:rsidR="00F66E20" w:rsidRPr="005675B0" w:rsidRDefault="00F66E20" w:rsidP="00970EC1">
            <w:pPr>
              <w:pStyle w:val="Tabletext"/>
            </w:pPr>
            <w:r w:rsidRPr="005675B0">
              <w:t>United Kingdom</w:t>
            </w:r>
          </w:p>
        </w:tc>
      </w:tr>
      <w:tr w:rsidR="00F66E20" w:rsidRPr="005675B0" w:rsidTr="00FE1311">
        <w:tc>
          <w:tcPr>
            <w:tcW w:w="575" w:type="pct"/>
            <w:shd w:val="clear" w:color="auto" w:fill="auto"/>
          </w:tcPr>
          <w:p w:rsidR="00F66E20" w:rsidRPr="005675B0" w:rsidRDefault="00F66E20" w:rsidP="00970EC1">
            <w:pPr>
              <w:pStyle w:val="Tabletext"/>
            </w:pPr>
            <w:r w:rsidRPr="005675B0">
              <w:t>60</w:t>
            </w:r>
          </w:p>
        </w:tc>
        <w:tc>
          <w:tcPr>
            <w:tcW w:w="3245" w:type="pct"/>
            <w:shd w:val="clear" w:color="auto" w:fill="auto"/>
          </w:tcPr>
          <w:p w:rsidR="00F66E20" w:rsidRPr="005675B0" w:rsidRDefault="00F66E20" w:rsidP="00970EC1">
            <w:pPr>
              <w:pStyle w:val="Tabletext"/>
            </w:pPr>
            <w:r w:rsidRPr="005675B0">
              <w:t>Shanghai Stock Exchange</w:t>
            </w:r>
          </w:p>
        </w:tc>
        <w:tc>
          <w:tcPr>
            <w:tcW w:w="1180" w:type="pct"/>
            <w:shd w:val="clear" w:color="auto" w:fill="auto"/>
          </w:tcPr>
          <w:p w:rsidR="00F66E20" w:rsidRPr="005675B0" w:rsidRDefault="00F66E20" w:rsidP="00970EC1">
            <w:pPr>
              <w:pStyle w:val="Tabletext"/>
            </w:pPr>
            <w:r w:rsidRPr="005675B0">
              <w:t>Peoples’ Republic of China</w:t>
            </w:r>
          </w:p>
        </w:tc>
      </w:tr>
      <w:tr w:rsidR="00F66E20" w:rsidRPr="005675B0" w:rsidTr="00FE1311">
        <w:tc>
          <w:tcPr>
            <w:tcW w:w="575" w:type="pct"/>
            <w:shd w:val="clear" w:color="auto" w:fill="auto"/>
          </w:tcPr>
          <w:p w:rsidR="00F66E20" w:rsidRPr="005675B0" w:rsidRDefault="00F66E20" w:rsidP="00970EC1">
            <w:pPr>
              <w:pStyle w:val="Tabletext"/>
            </w:pPr>
            <w:r w:rsidRPr="005675B0">
              <w:t>61</w:t>
            </w:r>
          </w:p>
        </w:tc>
        <w:tc>
          <w:tcPr>
            <w:tcW w:w="3245" w:type="pct"/>
            <w:shd w:val="clear" w:color="auto" w:fill="auto"/>
          </w:tcPr>
          <w:p w:rsidR="00F66E20" w:rsidRPr="005675B0" w:rsidRDefault="00F66E20" w:rsidP="00970EC1">
            <w:pPr>
              <w:pStyle w:val="Tabletext"/>
            </w:pPr>
            <w:r w:rsidRPr="005675B0">
              <w:t>Shenzen Stock Exchange</w:t>
            </w:r>
          </w:p>
        </w:tc>
        <w:tc>
          <w:tcPr>
            <w:tcW w:w="1180" w:type="pct"/>
            <w:shd w:val="clear" w:color="auto" w:fill="auto"/>
          </w:tcPr>
          <w:p w:rsidR="00F66E20" w:rsidRPr="005675B0" w:rsidRDefault="00F66E20" w:rsidP="00970EC1">
            <w:pPr>
              <w:pStyle w:val="Tabletext"/>
            </w:pPr>
            <w:r w:rsidRPr="005675B0">
              <w:t>Peoples’ Republic of China</w:t>
            </w:r>
          </w:p>
        </w:tc>
      </w:tr>
      <w:tr w:rsidR="00F66E20" w:rsidRPr="005675B0" w:rsidTr="00FE1311">
        <w:tc>
          <w:tcPr>
            <w:tcW w:w="575" w:type="pct"/>
            <w:shd w:val="clear" w:color="auto" w:fill="auto"/>
          </w:tcPr>
          <w:p w:rsidR="00F66E20" w:rsidRPr="005675B0" w:rsidRDefault="00F66E20" w:rsidP="00970EC1">
            <w:pPr>
              <w:pStyle w:val="Tabletext"/>
            </w:pPr>
            <w:r w:rsidRPr="005675B0">
              <w:t>62</w:t>
            </w:r>
          </w:p>
        </w:tc>
        <w:tc>
          <w:tcPr>
            <w:tcW w:w="3245" w:type="pct"/>
            <w:shd w:val="clear" w:color="auto" w:fill="auto"/>
          </w:tcPr>
          <w:p w:rsidR="00F66E20" w:rsidRPr="005675B0" w:rsidRDefault="00F66E20" w:rsidP="00970EC1">
            <w:pPr>
              <w:pStyle w:val="Tabletext"/>
            </w:pPr>
            <w:r w:rsidRPr="005675B0">
              <w:t>Singapore Exchange Ltd (also known as ‘SGX’)</w:t>
            </w:r>
          </w:p>
        </w:tc>
        <w:tc>
          <w:tcPr>
            <w:tcW w:w="1180" w:type="pct"/>
            <w:shd w:val="clear" w:color="auto" w:fill="auto"/>
          </w:tcPr>
          <w:p w:rsidR="00F66E20" w:rsidRPr="005675B0" w:rsidRDefault="00F66E20" w:rsidP="00970EC1">
            <w:pPr>
              <w:pStyle w:val="Tabletext"/>
            </w:pPr>
            <w:r w:rsidRPr="005675B0">
              <w:t>Singapore</w:t>
            </w:r>
          </w:p>
        </w:tc>
      </w:tr>
      <w:tr w:rsidR="00F66E20" w:rsidRPr="005675B0" w:rsidTr="00FE1311">
        <w:tc>
          <w:tcPr>
            <w:tcW w:w="575" w:type="pct"/>
            <w:shd w:val="clear" w:color="auto" w:fill="auto"/>
          </w:tcPr>
          <w:p w:rsidR="00F66E20" w:rsidRPr="005675B0" w:rsidRDefault="00F66E20" w:rsidP="00970EC1">
            <w:pPr>
              <w:pStyle w:val="Tabletext"/>
            </w:pPr>
            <w:r w:rsidRPr="005675B0">
              <w:t>63</w:t>
            </w:r>
          </w:p>
        </w:tc>
        <w:tc>
          <w:tcPr>
            <w:tcW w:w="3245" w:type="pct"/>
            <w:shd w:val="clear" w:color="auto" w:fill="auto"/>
          </w:tcPr>
          <w:p w:rsidR="00F66E20" w:rsidRPr="005675B0" w:rsidRDefault="00F66E20" w:rsidP="00970EC1">
            <w:pPr>
              <w:pStyle w:val="Tabletext"/>
            </w:pPr>
            <w:r w:rsidRPr="005675B0">
              <w:t>Soci</w:t>
            </w:r>
            <w:r w:rsidRPr="005675B0">
              <w:rPr>
                <w:snapToGrid w:val="0"/>
              </w:rPr>
              <w:t>é</w:t>
            </w:r>
            <w:r w:rsidRPr="005675B0">
              <w:t>t</w:t>
            </w:r>
            <w:r w:rsidRPr="005675B0">
              <w:rPr>
                <w:snapToGrid w:val="0"/>
              </w:rPr>
              <w:t>é de la Bourse de Luxembourg SA</w:t>
            </w:r>
          </w:p>
        </w:tc>
        <w:tc>
          <w:tcPr>
            <w:tcW w:w="1180" w:type="pct"/>
            <w:shd w:val="clear" w:color="auto" w:fill="auto"/>
          </w:tcPr>
          <w:p w:rsidR="00F66E20" w:rsidRPr="005675B0" w:rsidRDefault="00F66E20" w:rsidP="00970EC1">
            <w:pPr>
              <w:pStyle w:val="Tabletext"/>
            </w:pPr>
            <w:r w:rsidRPr="005675B0">
              <w:t>Luxembourg</w:t>
            </w:r>
          </w:p>
        </w:tc>
      </w:tr>
      <w:tr w:rsidR="00F66E20" w:rsidRPr="005675B0" w:rsidTr="00FE1311">
        <w:tc>
          <w:tcPr>
            <w:tcW w:w="575" w:type="pct"/>
            <w:shd w:val="clear" w:color="auto" w:fill="auto"/>
          </w:tcPr>
          <w:p w:rsidR="00F66E20" w:rsidRPr="005675B0" w:rsidRDefault="00F66E20" w:rsidP="00970EC1">
            <w:pPr>
              <w:pStyle w:val="Tabletext"/>
            </w:pPr>
            <w:r w:rsidRPr="005675B0">
              <w:t>64</w:t>
            </w:r>
          </w:p>
        </w:tc>
        <w:tc>
          <w:tcPr>
            <w:tcW w:w="3245" w:type="pct"/>
            <w:shd w:val="clear" w:color="auto" w:fill="auto"/>
          </w:tcPr>
          <w:p w:rsidR="00F66E20" w:rsidRPr="005675B0" w:rsidRDefault="00F66E20" w:rsidP="00970EC1">
            <w:pPr>
              <w:pStyle w:val="Tabletext"/>
            </w:pPr>
            <w:r w:rsidRPr="005675B0">
              <w:t>South African Futures Exchange (also known as ‘SAFEX’)</w:t>
            </w:r>
          </w:p>
        </w:tc>
        <w:tc>
          <w:tcPr>
            <w:tcW w:w="1180" w:type="pct"/>
            <w:shd w:val="clear" w:color="auto" w:fill="auto"/>
          </w:tcPr>
          <w:p w:rsidR="00F66E20" w:rsidRPr="005675B0" w:rsidRDefault="00F66E20" w:rsidP="00970EC1">
            <w:pPr>
              <w:pStyle w:val="Tabletext"/>
            </w:pPr>
            <w:r w:rsidRPr="005675B0">
              <w:t>South Africa</w:t>
            </w:r>
          </w:p>
        </w:tc>
      </w:tr>
      <w:tr w:rsidR="00F66E20" w:rsidRPr="005675B0" w:rsidTr="00FE1311">
        <w:tc>
          <w:tcPr>
            <w:tcW w:w="575" w:type="pct"/>
            <w:shd w:val="clear" w:color="auto" w:fill="auto"/>
          </w:tcPr>
          <w:p w:rsidR="00F66E20" w:rsidRPr="005675B0" w:rsidRDefault="00F66E20" w:rsidP="00970EC1">
            <w:pPr>
              <w:pStyle w:val="Tabletext"/>
            </w:pPr>
            <w:r w:rsidRPr="005675B0">
              <w:t>65</w:t>
            </w:r>
          </w:p>
        </w:tc>
        <w:tc>
          <w:tcPr>
            <w:tcW w:w="3245" w:type="pct"/>
            <w:shd w:val="clear" w:color="auto" w:fill="auto"/>
          </w:tcPr>
          <w:p w:rsidR="00F66E20" w:rsidRPr="005675B0" w:rsidRDefault="00F66E20" w:rsidP="00970EC1">
            <w:pPr>
              <w:pStyle w:val="Tabletext"/>
            </w:pPr>
            <w:r w:rsidRPr="005675B0">
              <w:t>Spanish Financial Derivatives Exchange (also known as ‘MEFF’)</w:t>
            </w:r>
          </w:p>
        </w:tc>
        <w:tc>
          <w:tcPr>
            <w:tcW w:w="1180" w:type="pct"/>
            <w:shd w:val="clear" w:color="auto" w:fill="auto"/>
          </w:tcPr>
          <w:p w:rsidR="00F66E20" w:rsidRPr="005675B0" w:rsidRDefault="00F66E20" w:rsidP="00970EC1">
            <w:pPr>
              <w:pStyle w:val="Tabletext"/>
            </w:pPr>
            <w:r w:rsidRPr="005675B0">
              <w:t>Spain</w:t>
            </w:r>
          </w:p>
        </w:tc>
      </w:tr>
      <w:tr w:rsidR="00F66E20" w:rsidRPr="005675B0" w:rsidTr="00FE1311">
        <w:tc>
          <w:tcPr>
            <w:tcW w:w="575" w:type="pct"/>
            <w:shd w:val="clear" w:color="auto" w:fill="auto"/>
          </w:tcPr>
          <w:p w:rsidR="00F66E20" w:rsidRPr="005675B0" w:rsidRDefault="00F66E20" w:rsidP="00970EC1">
            <w:pPr>
              <w:pStyle w:val="Tabletext"/>
            </w:pPr>
            <w:r w:rsidRPr="005675B0">
              <w:t>66</w:t>
            </w:r>
          </w:p>
        </w:tc>
        <w:tc>
          <w:tcPr>
            <w:tcW w:w="3245" w:type="pct"/>
            <w:shd w:val="clear" w:color="auto" w:fill="auto"/>
          </w:tcPr>
          <w:p w:rsidR="00F66E20" w:rsidRPr="005675B0" w:rsidRDefault="00F66E20" w:rsidP="00970EC1">
            <w:pPr>
              <w:pStyle w:val="Tabletext"/>
            </w:pPr>
            <w:r w:rsidRPr="005675B0">
              <w:t>Suva Stock Exchange</w:t>
            </w:r>
          </w:p>
        </w:tc>
        <w:tc>
          <w:tcPr>
            <w:tcW w:w="1180" w:type="pct"/>
            <w:shd w:val="clear" w:color="auto" w:fill="auto"/>
          </w:tcPr>
          <w:p w:rsidR="00F66E20" w:rsidRPr="005675B0" w:rsidRDefault="00F66E20" w:rsidP="00970EC1">
            <w:pPr>
              <w:pStyle w:val="Tabletext"/>
            </w:pPr>
            <w:r w:rsidRPr="005675B0">
              <w:t>Fiji</w:t>
            </w:r>
          </w:p>
        </w:tc>
      </w:tr>
      <w:tr w:rsidR="00F66E20" w:rsidRPr="005675B0" w:rsidTr="00FE1311">
        <w:tc>
          <w:tcPr>
            <w:tcW w:w="575" w:type="pct"/>
            <w:shd w:val="clear" w:color="auto" w:fill="auto"/>
          </w:tcPr>
          <w:p w:rsidR="00F66E20" w:rsidRPr="005675B0" w:rsidRDefault="00F66E20" w:rsidP="00970EC1">
            <w:pPr>
              <w:pStyle w:val="Tabletext"/>
            </w:pPr>
            <w:r w:rsidRPr="005675B0">
              <w:t>67</w:t>
            </w:r>
          </w:p>
        </w:tc>
        <w:tc>
          <w:tcPr>
            <w:tcW w:w="3245" w:type="pct"/>
            <w:shd w:val="clear" w:color="auto" w:fill="auto"/>
          </w:tcPr>
          <w:p w:rsidR="00F66E20" w:rsidRPr="005675B0" w:rsidRDefault="00F66E20" w:rsidP="00970EC1">
            <w:pPr>
              <w:pStyle w:val="Tabletext"/>
            </w:pPr>
            <w:r w:rsidRPr="005675B0">
              <w:t>Swiss Exchange (also known as ‘SWX’)</w:t>
            </w:r>
          </w:p>
        </w:tc>
        <w:tc>
          <w:tcPr>
            <w:tcW w:w="1180" w:type="pct"/>
            <w:shd w:val="clear" w:color="auto" w:fill="auto"/>
          </w:tcPr>
          <w:p w:rsidR="00F66E20" w:rsidRPr="005675B0" w:rsidRDefault="00F66E20" w:rsidP="00970EC1">
            <w:pPr>
              <w:pStyle w:val="Tabletext"/>
            </w:pPr>
            <w:r w:rsidRPr="005675B0">
              <w:t>Switzerland</w:t>
            </w:r>
          </w:p>
        </w:tc>
      </w:tr>
      <w:tr w:rsidR="00F66E20" w:rsidRPr="005675B0" w:rsidTr="00FE1311">
        <w:tc>
          <w:tcPr>
            <w:tcW w:w="575" w:type="pct"/>
            <w:shd w:val="clear" w:color="auto" w:fill="auto"/>
          </w:tcPr>
          <w:p w:rsidR="00F66E20" w:rsidRPr="005675B0" w:rsidRDefault="00F66E20" w:rsidP="00970EC1">
            <w:pPr>
              <w:pStyle w:val="Tabletext"/>
            </w:pPr>
            <w:r w:rsidRPr="005675B0">
              <w:t>68</w:t>
            </w:r>
          </w:p>
        </w:tc>
        <w:tc>
          <w:tcPr>
            <w:tcW w:w="3245" w:type="pct"/>
            <w:shd w:val="clear" w:color="auto" w:fill="auto"/>
          </w:tcPr>
          <w:p w:rsidR="00F66E20" w:rsidRPr="005675B0" w:rsidRDefault="00F66E20" w:rsidP="00970EC1">
            <w:pPr>
              <w:pStyle w:val="Tabletext"/>
            </w:pPr>
            <w:r w:rsidRPr="005675B0">
              <w:t>Taiwan Stock Exchange</w:t>
            </w:r>
          </w:p>
        </w:tc>
        <w:tc>
          <w:tcPr>
            <w:tcW w:w="1180" w:type="pct"/>
            <w:shd w:val="clear" w:color="auto" w:fill="auto"/>
          </w:tcPr>
          <w:p w:rsidR="00F66E20" w:rsidRPr="005675B0" w:rsidRDefault="00F66E20" w:rsidP="00970EC1">
            <w:pPr>
              <w:pStyle w:val="Tabletext"/>
            </w:pPr>
            <w:r w:rsidRPr="005675B0">
              <w:t>Taiwan</w:t>
            </w:r>
          </w:p>
        </w:tc>
      </w:tr>
      <w:tr w:rsidR="00F66E20" w:rsidRPr="005675B0" w:rsidTr="00FE1311">
        <w:tc>
          <w:tcPr>
            <w:tcW w:w="575" w:type="pct"/>
            <w:shd w:val="clear" w:color="auto" w:fill="auto"/>
          </w:tcPr>
          <w:p w:rsidR="00F66E20" w:rsidRPr="005675B0" w:rsidRDefault="00F66E20" w:rsidP="00970EC1">
            <w:pPr>
              <w:pStyle w:val="Tabletext"/>
            </w:pPr>
            <w:r w:rsidRPr="005675B0">
              <w:t>69</w:t>
            </w:r>
          </w:p>
        </w:tc>
        <w:tc>
          <w:tcPr>
            <w:tcW w:w="3245" w:type="pct"/>
            <w:shd w:val="clear" w:color="auto" w:fill="auto"/>
          </w:tcPr>
          <w:p w:rsidR="00F66E20" w:rsidRPr="005675B0" w:rsidRDefault="00F66E20" w:rsidP="00970EC1">
            <w:pPr>
              <w:pStyle w:val="Tabletext"/>
            </w:pPr>
            <w:r w:rsidRPr="005675B0">
              <w:t>Tel Aviv Stock Exchange</w:t>
            </w:r>
          </w:p>
        </w:tc>
        <w:tc>
          <w:tcPr>
            <w:tcW w:w="1180" w:type="pct"/>
            <w:shd w:val="clear" w:color="auto" w:fill="auto"/>
          </w:tcPr>
          <w:p w:rsidR="00F66E20" w:rsidRPr="005675B0" w:rsidRDefault="00F66E20" w:rsidP="00970EC1">
            <w:pPr>
              <w:pStyle w:val="Tabletext"/>
            </w:pPr>
            <w:r w:rsidRPr="005675B0">
              <w:t>Israel</w:t>
            </w:r>
          </w:p>
        </w:tc>
      </w:tr>
      <w:tr w:rsidR="00F66E20" w:rsidRPr="005675B0" w:rsidTr="00FE1311">
        <w:tc>
          <w:tcPr>
            <w:tcW w:w="575" w:type="pct"/>
            <w:shd w:val="clear" w:color="auto" w:fill="auto"/>
          </w:tcPr>
          <w:p w:rsidR="00F66E20" w:rsidRPr="005675B0" w:rsidRDefault="00F66E20" w:rsidP="00970EC1">
            <w:pPr>
              <w:pStyle w:val="Tabletext"/>
            </w:pPr>
            <w:r w:rsidRPr="005675B0">
              <w:t>69A</w:t>
            </w:r>
          </w:p>
        </w:tc>
        <w:tc>
          <w:tcPr>
            <w:tcW w:w="3245" w:type="pct"/>
            <w:shd w:val="clear" w:color="auto" w:fill="auto"/>
          </w:tcPr>
          <w:p w:rsidR="00F66E20" w:rsidRPr="005675B0" w:rsidRDefault="00F66E20" w:rsidP="00970EC1">
            <w:pPr>
              <w:pStyle w:val="Tabletext"/>
            </w:pPr>
            <w:r w:rsidRPr="005675B0">
              <w:t>The London Metal Exchange Limited</w:t>
            </w:r>
          </w:p>
        </w:tc>
        <w:tc>
          <w:tcPr>
            <w:tcW w:w="1180" w:type="pct"/>
            <w:shd w:val="clear" w:color="auto" w:fill="auto"/>
          </w:tcPr>
          <w:p w:rsidR="00F66E20" w:rsidRPr="005675B0" w:rsidRDefault="00F66E20" w:rsidP="00970EC1">
            <w:pPr>
              <w:pStyle w:val="Tabletext"/>
            </w:pPr>
            <w:r w:rsidRPr="005675B0">
              <w:t>United Kingdom</w:t>
            </w:r>
          </w:p>
        </w:tc>
      </w:tr>
      <w:tr w:rsidR="00F66E20" w:rsidRPr="005675B0" w:rsidTr="00FE1311">
        <w:tc>
          <w:tcPr>
            <w:tcW w:w="575" w:type="pct"/>
            <w:shd w:val="clear" w:color="auto" w:fill="auto"/>
          </w:tcPr>
          <w:p w:rsidR="00F66E20" w:rsidRPr="005675B0" w:rsidRDefault="00F66E20" w:rsidP="00970EC1">
            <w:pPr>
              <w:pStyle w:val="Tabletext"/>
            </w:pPr>
            <w:r w:rsidRPr="005675B0">
              <w:t>70</w:t>
            </w:r>
          </w:p>
        </w:tc>
        <w:tc>
          <w:tcPr>
            <w:tcW w:w="3245" w:type="pct"/>
            <w:shd w:val="clear" w:color="auto" w:fill="auto"/>
          </w:tcPr>
          <w:p w:rsidR="00F66E20" w:rsidRPr="005675B0" w:rsidRDefault="00F66E20" w:rsidP="00970EC1">
            <w:pPr>
              <w:pStyle w:val="Tabletext"/>
            </w:pPr>
            <w:r w:rsidRPr="005675B0">
              <w:t>The Stock Exchange of Thailand</w:t>
            </w:r>
          </w:p>
        </w:tc>
        <w:tc>
          <w:tcPr>
            <w:tcW w:w="1180" w:type="pct"/>
            <w:shd w:val="clear" w:color="auto" w:fill="auto"/>
          </w:tcPr>
          <w:p w:rsidR="00F66E20" w:rsidRPr="005675B0" w:rsidRDefault="00F66E20" w:rsidP="00970EC1">
            <w:pPr>
              <w:pStyle w:val="Tabletext"/>
            </w:pPr>
            <w:r w:rsidRPr="005675B0">
              <w:t>Thailand</w:t>
            </w:r>
          </w:p>
        </w:tc>
      </w:tr>
      <w:tr w:rsidR="00F66E20" w:rsidRPr="005675B0" w:rsidTr="00FE1311">
        <w:tc>
          <w:tcPr>
            <w:tcW w:w="575" w:type="pct"/>
            <w:shd w:val="clear" w:color="auto" w:fill="auto"/>
          </w:tcPr>
          <w:p w:rsidR="00F66E20" w:rsidRPr="005675B0" w:rsidRDefault="00F66E20" w:rsidP="00970EC1">
            <w:pPr>
              <w:pStyle w:val="Tabletext"/>
            </w:pPr>
            <w:r w:rsidRPr="005675B0">
              <w:t>71</w:t>
            </w:r>
          </w:p>
        </w:tc>
        <w:tc>
          <w:tcPr>
            <w:tcW w:w="3245" w:type="pct"/>
            <w:shd w:val="clear" w:color="auto" w:fill="auto"/>
          </w:tcPr>
          <w:p w:rsidR="00F66E20" w:rsidRPr="005675B0" w:rsidRDefault="00F66E20" w:rsidP="00970EC1">
            <w:pPr>
              <w:pStyle w:val="Tabletext"/>
            </w:pPr>
            <w:r w:rsidRPr="005675B0">
              <w:t>Tokyo International Futures Exchange (also known as ‘TIFFE’)</w:t>
            </w:r>
          </w:p>
        </w:tc>
        <w:tc>
          <w:tcPr>
            <w:tcW w:w="1180" w:type="pct"/>
            <w:shd w:val="clear" w:color="auto" w:fill="auto"/>
          </w:tcPr>
          <w:p w:rsidR="00F66E20" w:rsidRPr="005675B0" w:rsidRDefault="00F66E20" w:rsidP="00970EC1">
            <w:pPr>
              <w:pStyle w:val="Tabletext"/>
            </w:pPr>
            <w:r w:rsidRPr="005675B0">
              <w:t>Japan</w:t>
            </w:r>
          </w:p>
        </w:tc>
      </w:tr>
      <w:tr w:rsidR="00F66E20" w:rsidRPr="005675B0" w:rsidTr="00FE1311">
        <w:tc>
          <w:tcPr>
            <w:tcW w:w="575" w:type="pct"/>
            <w:shd w:val="clear" w:color="auto" w:fill="auto"/>
          </w:tcPr>
          <w:p w:rsidR="00F66E20" w:rsidRPr="005675B0" w:rsidRDefault="00F66E20" w:rsidP="00970EC1">
            <w:pPr>
              <w:pStyle w:val="Tabletext"/>
            </w:pPr>
            <w:r w:rsidRPr="005675B0">
              <w:t>72</w:t>
            </w:r>
          </w:p>
        </w:tc>
        <w:tc>
          <w:tcPr>
            <w:tcW w:w="3245" w:type="pct"/>
            <w:shd w:val="clear" w:color="auto" w:fill="auto"/>
          </w:tcPr>
          <w:p w:rsidR="00F66E20" w:rsidRPr="005675B0" w:rsidRDefault="00F66E20" w:rsidP="00970EC1">
            <w:pPr>
              <w:pStyle w:val="Tabletext"/>
            </w:pPr>
            <w:r w:rsidRPr="005675B0">
              <w:t>Tokyo Stock Exchange (also known as ‘TSE’)</w:t>
            </w:r>
          </w:p>
        </w:tc>
        <w:tc>
          <w:tcPr>
            <w:tcW w:w="1180" w:type="pct"/>
            <w:shd w:val="clear" w:color="auto" w:fill="auto"/>
          </w:tcPr>
          <w:p w:rsidR="00F66E20" w:rsidRPr="005675B0" w:rsidRDefault="00F66E20" w:rsidP="00970EC1">
            <w:pPr>
              <w:pStyle w:val="Tabletext"/>
            </w:pPr>
            <w:r w:rsidRPr="005675B0">
              <w:t>Japan</w:t>
            </w:r>
          </w:p>
        </w:tc>
      </w:tr>
      <w:tr w:rsidR="00F66E20" w:rsidRPr="005675B0" w:rsidTr="00FE1311">
        <w:tc>
          <w:tcPr>
            <w:tcW w:w="575" w:type="pct"/>
            <w:shd w:val="clear" w:color="auto" w:fill="auto"/>
          </w:tcPr>
          <w:p w:rsidR="00F66E20" w:rsidRPr="005675B0" w:rsidRDefault="00F66E20" w:rsidP="00970EC1">
            <w:pPr>
              <w:pStyle w:val="Tabletext"/>
            </w:pPr>
            <w:r w:rsidRPr="005675B0">
              <w:t>73</w:t>
            </w:r>
          </w:p>
        </w:tc>
        <w:tc>
          <w:tcPr>
            <w:tcW w:w="3245" w:type="pct"/>
            <w:shd w:val="clear" w:color="auto" w:fill="auto"/>
          </w:tcPr>
          <w:p w:rsidR="00F66E20" w:rsidRPr="005675B0" w:rsidRDefault="00F66E20" w:rsidP="00970EC1">
            <w:pPr>
              <w:pStyle w:val="Tabletext"/>
            </w:pPr>
            <w:r w:rsidRPr="005675B0">
              <w:t>Toronto Futures Exchange (also known as ‘TFE’)</w:t>
            </w:r>
          </w:p>
        </w:tc>
        <w:tc>
          <w:tcPr>
            <w:tcW w:w="1180" w:type="pct"/>
            <w:shd w:val="clear" w:color="auto" w:fill="auto"/>
          </w:tcPr>
          <w:p w:rsidR="00F66E20" w:rsidRPr="005675B0" w:rsidRDefault="00F66E20" w:rsidP="00970EC1">
            <w:pPr>
              <w:pStyle w:val="Tabletext"/>
            </w:pPr>
            <w:r w:rsidRPr="005675B0">
              <w:t>Canada</w:t>
            </w:r>
          </w:p>
        </w:tc>
      </w:tr>
      <w:tr w:rsidR="00F66E20" w:rsidRPr="005675B0" w:rsidTr="00FE1311">
        <w:tc>
          <w:tcPr>
            <w:tcW w:w="575" w:type="pct"/>
            <w:shd w:val="clear" w:color="auto" w:fill="auto"/>
          </w:tcPr>
          <w:p w:rsidR="00F66E20" w:rsidRPr="005675B0" w:rsidRDefault="00F66E20" w:rsidP="00970EC1">
            <w:pPr>
              <w:pStyle w:val="Tabletext"/>
            </w:pPr>
            <w:r w:rsidRPr="005675B0">
              <w:t>74</w:t>
            </w:r>
          </w:p>
        </w:tc>
        <w:tc>
          <w:tcPr>
            <w:tcW w:w="3245" w:type="pct"/>
            <w:shd w:val="clear" w:color="auto" w:fill="auto"/>
          </w:tcPr>
          <w:p w:rsidR="00F66E20" w:rsidRPr="005675B0" w:rsidRDefault="00F66E20" w:rsidP="00970EC1">
            <w:pPr>
              <w:pStyle w:val="Tabletext"/>
            </w:pPr>
            <w:r w:rsidRPr="005675B0">
              <w:t>Toronto Stock Exchange (also known as ‘TSE’)</w:t>
            </w:r>
          </w:p>
        </w:tc>
        <w:tc>
          <w:tcPr>
            <w:tcW w:w="1180" w:type="pct"/>
            <w:shd w:val="clear" w:color="auto" w:fill="auto"/>
          </w:tcPr>
          <w:p w:rsidR="00F66E20" w:rsidRPr="005675B0" w:rsidRDefault="00F66E20" w:rsidP="00970EC1">
            <w:pPr>
              <w:pStyle w:val="Tabletext"/>
            </w:pPr>
            <w:r w:rsidRPr="005675B0">
              <w:t>Canada</w:t>
            </w:r>
          </w:p>
        </w:tc>
      </w:tr>
      <w:tr w:rsidR="00F66E20" w:rsidRPr="005675B0" w:rsidTr="00FE1311">
        <w:tc>
          <w:tcPr>
            <w:tcW w:w="575" w:type="pct"/>
            <w:tcBorders>
              <w:bottom w:val="single" w:sz="2" w:space="0" w:color="auto"/>
            </w:tcBorders>
            <w:shd w:val="clear" w:color="auto" w:fill="auto"/>
          </w:tcPr>
          <w:p w:rsidR="00F66E20" w:rsidRPr="005675B0" w:rsidRDefault="00F66E20" w:rsidP="00970EC1">
            <w:pPr>
              <w:pStyle w:val="Tabletext"/>
            </w:pPr>
            <w:r w:rsidRPr="005675B0">
              <w:t>75</w:t>
            </w:r>
          </w:p>
        </w:tc>
        <w:tc>
          <w:tcPr>
            <w:tcW w:w="3245" w:type="pct"/>
            <w:tcBorders>
              <w:bottom w:val="single" w:sz="2" w:space="0" w:color="auto"/>
            </w:tcBorders>
            <w:shd w:val="clear" w:color="auto" w:fill="auto"/>
          </w:tcPr>
          <w:p w:rsidR="00F66E20" w:rsidRPr="005675B0" w:rsidRDefault="00F66E20" w:rsidP="00970EC1">
            <w:pPr>
              <w:pStyle w:val="Tabletext"/>
            </w:pPr>
            <w:r w:rsidRPr="005675B0">
              <w:t>Warsaw Stock Exchange</w:t>
            </w:r>
          </w:p>
        </w:tc>
        <w:tc>
          <w:tcPr>
            <w:tcW w:w="1180" w:type="pct"/>
            <w:tcBorders>
              <w:bottom w:val="single" w:sz="2" w:space="0" w:color="auto"/>
            </w:tcBorders>
            <w:shd w:val="clear" w:color="auto" w:fill="auto"/>
          </w:tcPr>
          <w:p w:rsidR="00F66E20" w:rsidRPr="005675B0" w:rsidRDefault="00F66E20" w:rsidP="00970EC1">
            <w:pPr>
              <w:pStyle w:val="Tabletext"/>
            </w:pPr>
            <w:r w:rsidRPr="005675B0">
              <w:t>Poland</w:t>
            </w:r>
          </w:p>
        </w:tc>
      </w:tr>
      <w:tr w:rsidR="00F66E20" w:rsidRPr="005675B0" w:rsidTr="00FE1311">
        <w:tc>
          <w:tcPr>
            <w:tcW w:w="575" w:type="pct"/>
            <w:tcBorders>
              <w:top w:val="single" w:sz="2" w:space="0" w:color="auto"/>
              <w:bottom w:val="single" w:sz="12" w:space="0" w:color="auto"/>
            </w:tcBorders>
            <w:shd w:val="clear" w:color="auto" w:fill="auto"/>
          </w:tcPr>
          <w:p w:rsidR="00F66E20" w:rsidRPr="005675B0" w:rsidRDefault="00F66E20" w:rsidP="00970EC1">
            <w:pPr>
              <w:pStyle w:val="Tabletext"/>
            </w:pPr>
            <w:r w:rsidRPr="005675B0">
              <w:t>76</w:t>
            </w:r>
          </w:p>
        </w:tc>
        <w:tc>
          <w:tcPr>
            <w:tcW w:w="3245" w:type="pct"/>
            <w:tcBorders>
              <w:top w:val="single" w:sz="2" w:space="0" w:color="auto"/>
              <w:bottom w:val="single" w:sz="12" w:space="0" w:color="auto"/>
            </w:tcBorders>
            <w:shd w:val="clear" w:color="auto" w:fill="auto"/>
          </w:tcPr>
          <w:p w:rsidR="00F66E20" w:rsidRPr="005675B0" w:rsidRDefault="00F66E20" w:rsidP="00970EC1">
            <w:pPr>
              <w:pStyle w:val="Tabletext"/>
            </w:pPr>
            <w:r w:rsidRPr="005675B0">
              <w:t>Wiener B</w:t>
            </w:r>
            <w:r w:rsidRPr="005675B0">
              <w:rPr>
                <w:snapToGrid w:val="0"/>
              </w:rPr>
              <w:t>ö</w:t>
            </w:r>
            <w:r w:rsidRPr="005675B0">
              <w:t>rse AG</w:t>
            </w:r>
          </w:p>
        </w:tc>
        <w:tc>
          <w:tcPr>
            <w:tcW w:w="1180" w:type="pct"/>
            <w:tcBorders>
              <w:top w:val="single" w:sz="2" w:space="0" w:color="auto"/>
              <w:bottom w:val="single" w:sz="12" w:space="0" w:color="auto"/>
            </w:tcBorders>
            <w:shd w:val="clear" w:color="auto" w:fill="auto"/>
          </w:tcPr>
          <w:p w:rsidR="00F66E20" w:rsidRPr="005675B0" w:rsidRDefault="00F66E20" w:rsidP="00970EC1">
            <w:pPr>
              <w:pStyle w:val="Tabletext"/>
            </w:pPr>
            <w:r w:rsidRPr="005675B0">
              <w:t>Austria</w:t>
            </w:r>
          </w:p>
        </w:tc>
      </w:tr>
    </w:tbl>
    <w:p w:rsidR="00C24767" w:rsidRPr="005675B0" w:rsidRDefault="00C24767" w:rsidP="00DF6F1A">
      <w:pPr>
        <w:sectPr w:rsidR="00C24767" w:rsidRPr="005675B0" w:rsidSect="0020514D">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C24767" w:rsidRPr="005675B0" w:rsidRDefault="00C24767" w:rsidP="00FB5FD4">
      <w:pPr>
        <w:pStyle w:val="ENotesHeading1"/>
        <w:outlineLvl w:val="9"/>
      </w:pPr>
      <w:bookmarkStart w:id="86" w:name="_Toc46238202"/>
      <w:r w:rsidRPr="005675B0">
        <w:lastRenderedPageBreak/>
        <w:t>Endnotes</w:t>
      </w:r>
      <w:bookmarkEnd w:id="86"/>
    </w:p>
    <w:p w:rsidR="00F715C9" w:rsidRPr="005675B0" w:rsidRDefault="00F715C9" w:rsidP="00C502A0">
      <w:pPr>
        <w:pStyle w:val="ENotesHeading2"/>
        <w:spacing w:line="240" w:lineRule="auto"/>
        <w:outlineLvl w:val="9"/>
      </w:pPr>
      <w:bookmarkStart w:id="87" w:name="_Toc46238203"/>
      <w:r w:rsidRPr="005675B0">
        <w:t>Endnote 1—About the endnotes</w:t>
      </w:r>
      <w:bookmarkEnd w:id="87"/>
    </w:p>
    <w:p w:rsidR="00F715C9" w:rsidRPr="005675B0" w:rsidRDefault="00F715C9" w:rsidP="00C502A0">
      <w:pPr>
        <w:spacing w:after="120"/>
      </w:pPr>
      <w:r w:rsidRPr="005675B0">
        <w:t>The endnotes provide information about this compilation and the compiled law.</w:t>
      </w:r>
    </w:p>
    <w:p w:rsidR="00F715C9" w:rsidRPr="005675B0" w:rsidRDefault="00F715C9" w:rsidP="00C502A0">
      <w:pPr>
        <w:spacing w:after="120"/>
      </w:pPr>
      <w:r w:rsidRPr="005675B0">
        <w:t>The following endnotes are included in every compilation:</w:t>
      </w:r>
    </w:p>
    <w:p w:rsidR="00F715C9" w:rsidRPr="005675B0" w:rsidRDefault="00F715C9" w:rsidP="00C502A0">
      <w:r w:rsidRPr="005675B0">
        <w:t>Endnote 1—About the endnotes</w:t>
      </w:r>
    </w:p>
    <w:p w:rsidR="00F715C9" w:rsidRPr="005675B0" w:rsidRDefault="00F715C9" w:rsidP="00C502A0">
      <w:r w:rsidRPr="005675B0">
        <w:t>Endnote 2—Abbreviation key</w:t>
      </w:r>
    </w:p>
    <w:p w:rsidR="00F715C9" w:rsidRPr="005675B0" w:rsidRDefault="00F715C9" w:rsidP="00C502A0">
      <w:r w:rsidRPr="005675B0">
        <w:t>Endnote 3—Legislation history</w:t>
      </w:r>
    </w:p>
    <w:p w:rsidR="00F715C9" w:rsidRPr="005675B0" w:rsidRDefault="00F715C9" w:rsidP="00C502A0">
      <w:pPr>
        <w:spacing w:after="120"/>
      </w:pPr>
      <w:r w:rsidRPr="005675B0">
        <w:t>Endnote 4—Amendment history</w:t>
      </w:r>
    </w:p>
    <w:p w:rsidR="00F715C9" w:rsidRPr="005675B0" w:rsidRDefault="00F715C9" w:rsidP="00C502A0">
      <w:r w:rsidRPr="005675B0">
        <w:rPr>
          <w:b/>
        </w:rPr>
        <w:t>Abbreviation key—Endnote 2</w:t>
      </w:r>
    </w:p>
    <w:p w:rsidR="00F715C9" w:rsidRPr="005675B0" w:rsidRDefault="00F715C9" w:rsidP="00C502A0">
      <w:pPr>
        <w:spacing w:after="120"/>
      </w:pPr>
      <w:r w:rsidRPr="005675B0">
        <w:t>The abbreviation key sets out abbreviations that may be used in the endnotes.</w:t>
      </w:r>
    </w:p>
    <w:p w:rsidR="00F715C9" w:rsidRPr="005675B0" w:rsidRDefault="00F715C9" w:rsidP="00C502A0">
      <w:pPr>
        <w:rPr>
          <w:b/>
        </w:rPr>
      </w:pPr>
      <w:r w:rsidRPr="005675B0">
        <w:rPr>
          <w:b/>
        </w:rPr>
        <w:t>Legislation history and amendment history—Endnotes 3 and 4</w:t>
      </w:r>
    </w:p>
    <w:p w:rsidR="00F715C9" w:rsidRPr="005675B0" w:rsidRDefault="00F715C9" w:rsidP="00C502A0">
      <w:pPr>
        <w:spacing w:after="120"/>
      </w:pPr>
      <w:r w:rsidRPr="005675B0">
        <w:t>Amending laws are annotated in the legislation history and amendment history.</w:t>
      </w:r>
    </w:p>
    <w:p w:rsidR="00F715C9" w:rsidRPr="005675B0" w:rsidRDefault="00F715C9" w:rsidP="00C502A0">
      <w:pPr>
        <w:spacing w:after="120"/>
      </w:pPr>
      <w:r w:rsidRPr="005675B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715C9" w:rsidRPr="005675B0" w:rsidRDefault="00F715C9" w:rsidP="00C502A0">
      <w:pPr>
        <w:spacing w:after="120"/>
      </w:pPr>
      <w:r w:rsidRPr="005675B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715C9" w:rsidRPr="005675B0" w:rsidRDefault="00F715C9" w:rsidP="00C502A0">
      <w:pPr>
        <w:rPr>
          <w:b/>
        </w:rPr>
      </w:pPr>
      <w:r w:rsidRPr="005675B0">
        <w:rPr>
          <w:b/>
        </w:rPr>
        <w:t>Editorial changes</w:t>
      </w:r>
    </w:p>
    <w:p w:rsidR="00F715C9" w:rsidRPr="005675B0" w:rsidRDefault="00F715C9" w:rsidP="00C502A0">
      <w:pPr>
        <w:spacing w:after="120"/>
      </w:pPr>
      <w:r w:rsidRPr="005675B0">
        <w:t xml:space="preserve">The </w:t>
      </w:r>
      <w:r w:rsidRPr="005675B0">
        <w:rPr>
          <w:i/>
        </w:rPr>
        <w:t>Legislation Act 2003</w:t>
      </w:r>
      <w:r w:rsidRPr="005675B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715C9" w:rsidRPr="005675B0" w:rsidRDefault="00F715C9" w:rsidP="00C502A0">
      <w:pPr>
        <w:spacing w:after="120"/>
      </w:pPr>
      <w:r w:rsidRPr="005675B0">
        <w:t xml:space="preserve">If the compilation includes editorial changes, the endnotes include a brief outline of the changes in general terms. Full details of any changes can be obtained from the Office of Parliamentary Counsel. </w:t>
      </w:r>
    </w:p>
    <w:p w:rsidR="00F715C9" w:rsidRPr="005675B0" w:rsidRDefault="00F715C9" w:rsidP="00C502A0">
      <w:pPr>
        <w:keepNext/>
      </w:pPr>
      <w:r w:rsidRPr="005675B0">
        <w:rPr>
          <w:b/>
        </w:rPr>
        <w:t>Misdescribed amendments</w:t>
      </w:r>
    </w:p>
    <w:p w:rsidR="00F715C9" w:rsidRPr="005675B0" w:rsidRDefault="00F715C9" w:rsidP="00C502A0">
      <w:pPr>
        <w:spacing w:after="120"/>
      </w:pPr>
      <w:r w:rsidRPr="005675B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715C9" w:rsidRPr="005675B0" w:rsidRDefault="00F715C9" w:rsidP="00C502A0">
      <w:pPr>
        <w:spacing w:before="120"/>
      </w:pPr>
      <w:r w:rsidRPr="005675B0">
        <w:t>If a misdescribed amendment cannot be given effect as intended, the abbreviation “(md not incorp)” is added to the details of the amendment included in the amendment history.</w:t>
      </w:r>
    </w:p>
    <w:p w:rsidR="00C1679F" w:rsidRPr="005675B0" w:rsidRDefault="00C1679F" w:rsidP="00C502A0">
      <w:pPr>
        <w:spacing w:before="120"/>
      </w:pPr>
    </w:p>
    <w:p w:rsidR="00F715C9" w:rsidRPr="005675B0" w:rsidRDefault="00F715C9" w:rsidP="00C502A0">
      <w:pPr>
        <w:pStyle w:val="ENotesHeading2"/>
        <w:pageBreakBefore/>
        <w:outlineLvl w:val="9"/>
      </w:pPr>
      <w:bookmarkStart w:id="88" w:name="_Toc46238204"/>
      <w:r w:rsidRPr="005675B0">
        <w:lastRenderedPageBreak/>
        <w:t>Endnote 2—Abbreviation key</w:t>
      </w:r>
      <w:bookmarkEnd w:id="88"/>
    </w:p>
    <w:p w:rsidR="00F715C9" w:rsidRPr="005675B0" w:rsidRDefault="00F715C9" w:rsidP="00C502A0">
      <w:pPr>
        <w:pStyle w:val="Tabletext"/>
      </w:pPr>
    </w:p>
    <w:tbl>
      <w:tblPr>
        <w:tblW w:w="5000" w:type="pct"/>
        <w:tblLook w:val="0000" w:firstRow="0" w:lastRow="0" w:firstColumn="0" w:lastColumn="0" w:noHBand="0" w:noVBand="0"/>
      </w:tblPr>
      <w:tblGrid>
        <w:gridCol w:w="4570"/>
        <w:gridCol w:w="3959"/>
      </w:tblGrid>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ad = added or inserted</w:t>
            </w:r>
          </w:p>
        </w:tc>
        <w:tc>
          <w:tcPr>
            <w:tcW w:w="2321" w:type="pct"/>
            <w:shd w:val="clear" w:color="auto" w:fill="auto"/>
          </w:tcPr>
          <w:p w:rsidR="00F715C9" w:rsidRPr="005675B0" w:rsidRDefault="00F715C9" w:rsidP="00C502A0">
            <w:pPr>
              <w:spacing w:before="60"/>
              <w:ind w:left="34"/>
              <w:rPr>
                <w:sz w:val="20"/>
              </w:rPr>
            </w:pPr>
            <w:r w:rsidRPr="005675B0">
              <w:rPr>
                <w:sz w:val="20"/>
              </w:rPr>
              <w:t>o = order(s)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am = amended</w:t>
            </w:r>
          </w:p>
        </w:tc>
        <w:tc>
          <w:tcPr>
            <w:tcW w:w="2321" w:type="pct"/>
            <w:shd w:val="clear" w:color="auto" w:fill="auto"/>
          </w:tcPr>
          <w:p w:rsidR="00F715C9" w:rsidRPr="005675B0" w:rsidRDefault="00F715C9" w:rsidP="00C502A0">
            <w:pPr>
              <w:spacing w:before="60"/>
              <w:ind w:left="34"/>
              <w:rPr>
                <w:sz w:val="20"/>
              </w:rPr>
            </w:pPr>
            <w:r w:rsidRPr="005675B0">
              <w:rPr>
                <w:sz w:val="20"/>
              </w:rPr>
              <w:t>Ord = Ordinance</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amdt = amendment</w:t>
            </w:r>
          </w:p>
        </w:tc>
        <w:tc>
          <w:tcPr>
            <w:tcW w:w="2321" w:type="pct"/>
            <w:shd w:val="clear" w:color="auto" w:fill="auto"/>
          </w:tcPr>
          <w:p w:rsidR="00F715C9" w:rsidRPr="005675B0" w:rsidRDefault="00F715C9" w:rsidP="00C502A0">
            <w:pPr>
              <w:spacing w:before="60"/>
              <w:ind w:left="34"/>
              <w:rPr>
                <w:sz w:val="20"/>
              </w:rPr>
            </w:pPr>
            <w:r w:rsidRPr="005675B0">
              <w:rPr>
                <w:sz w:val="20"/>
              </w:rPr>
              <w:t>orig = original</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c = clause(s)</w:t>
            </w:r>
          </w:p>
        </w:tc>
        <w:tc>
          <w:tcPr>
            <w:tcW w:w="2321" w:type="pct"/>
            <w:shd w:val="clear" w:color="auto" w:fill="auto"/>
          </w:tcPr>
          <w:p w:rsidR="00F715C9" w:rsidRPr="005675B0" w:rsidRDefault="00F715C9" w:rsidP="00C502A0">
            <w:pPr>
              <w:spacing w:before="60"/>
              <w:ind w:left="34"/>
              <w:rPr>
                <w:sz w:val="20"/>
              </w:rPr>
            </w:pPr>
            <w:r w:rsidRPr="005675B0">
              <w:rPr>
                <w:sz w:val="20"/>
              </w:rPr>
              <w:t>par = paragraph(s)/subparagraph(s)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C[x] = Compilation No. x</w:t>
            </w:r>
          </w:p>
        </w:tc>
        <w:tc>
          <w:tcPr>
            <w:tcW w:w="2321" w:type="pct"/>
            <w:shd w:val="clear" w:color="auto" w:fill="auto"/>
          </w:tcPr>
          <w:p w:rsidR="00F715C9" w:rsidRPr="005675B0" w:rsidRDefault="00F715C9" w:rsidP="00C502A0">
            <w:pPr>
              <w:ind w:left="34"/>
              <w:rPr>
                <w:sz w:val="20"/>
              </w:rPr>
            </w:pPr>
            <w:r w:rsidRPr="005675B0">
              <w:rPr>
                <w:sz w:val="20"/>
              </w:rPr>
              <w:t xml:space="preserve">    /sub</w:t>
            </w:r>
            <w:r w:rsidR="005675B0">
              <w:rPr>
                <w:sz w:val="20"/>
              </w:rPr>
              <w:noBreakHyphen/>
            </w:r>
            <w:r w:rsidRPr="005675B0">
              <w:rPr>
                <w:sz w:val="20"/>
              </w:rPr>
              <w:t>subparagraph(s)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Ch = Chapter(s)</w:t>
            </w:r>
          </w:p>
        </w:tc>
        <w:tc>
          <w:tcPr>
            <w:tcW w:w="2321" w:type="pct"/>
            <w:shd w:val="clear" w:color="auto" w:fill="auto"/>
          </w:tcPr>
          <w:p w:rsidR="00F715C9" w:rsidRPr="005675B0" w:rsidRDefault="00F715C9" w:rsidP="00C502A0">
            <w:pPr>
              <w:spacing w:before="60"/>
              <w:ind w:left="34"/>
              <w:rPr>
                <w:sz w:val="20"/>
              </w:rPr>
            </w:pPr>
            <w:r w:rsidRPr="005675B0">
              <w:rPr>
                <w:sz w:val="20"/>
              </w:rPr>
              <w:t>pres = present</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def = definition(s)</w:t>
            </w:r>
          </w:p>
        </w:tc>
        <w:tc>
          <w:tcPr>
            <w:tcW w:w="2321" w:type="pct"/>
            <w:shd w:val="clear" w:color="auto" w:fill="auto"/>
          </w:tcPr>
          <w:p w:rsidR="00F715C9" w:rsidRPr="005675B0" w:rsidRDefault="00F715C9" w:rsidP="00C502A0">
            <w:pPr>
              <w:spacing w:before="60"/>
              <w:ind w:left="34"/>
              <w:rPr>
                <w:sz w:val="20"/>
              </w:rPr>
            </w:pPr>
            <w:r w:rsidRPr="005675B0">
              <w:rPr>
                <w:sz w:val="20"/>
              </w:rPr>
              <w:t>prev = previous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Dict = Dictionary</w:t>
            </w:r>
          </w:p>
        </w:tc>
        <w:tc>
          <w:tcPr>
            <w:tcW w:w="2321" w:type="pct"/>
            <w:shd w:val="clear" w:color="auto" w:fill="auto"/>
          </w:tcPr>
          <w:p w:rsidR="00F715C9" w:rsidRPr="005675B0" w:rsidRDefault="00F715C9" w:rsidP="00C502A0">
            <w:pPr>
              <w:spacing w:before="60"/>
              <w:ind w:left="34"/>
              <w:rPr>
                <w:sz w:val="20"/>
              </w:rPr>
            </w:pPr>
            <w:r w:rsidRPr="005675B0">
              <w:rPr>
                <w:sz w:val="20"/>
              </w:rPr>
              <w:t>(prev…) = previously</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disallowed = disallowed by Parliament</w:t>
            </w:r>
          </w:p>
        </w:tc>
        <w:tc>
          <w:tcPr>
            <w:tcW w:w="2321" w:type="pct"/>
            <w:shd w:val="clear" w:color="auto" w:fill="auto"/>
          </w:tcPr>
          <w:p w:rsidR="00F715C9" w:rsidRPr="005675B0" w:rsidRDefault="00F715C9" w:rsidP="00C502A0">
            <w:pPr>
              <w:spacing w:before="60"/>
              <w:ind w:left="34"/>
              <w:rPr>
                <w:sz w:val="20"/>
              </w:rPr>
            </w:pPr>
            <w:r w:rsidRPr="005675B0">
              <w:rPr>
                <w:sz w:val="20"/>
              </w:rPr>
              <w:t>Pt = Part(s)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Div = Division(s)</w:t>
            </w:r>
          </w:p>
        </w:tc>
        <w:tc>
          <w:tcPr>
            <w:tcW w:w="2321" w:type="pct"/>
            <w:shd w:val="clear" w:color="auto" w:fill="auto"/>
          </w:tcPr>
          <w:p w:rsidR="00F715C9" w:rsidRPr="005675B0" w:rsidRDefault="00F715C9" w:rsidP="00C502A0">
            <w:pPr>
              <w:spacing w:before="60"/>
              <w:ind w:left="34"/>
              <w:rPr>
                <w:sz w:val="20"/>
              </w:rPr>
            </w:pPr>
            <w:r w:rsidRPr="005675B0">
              <w:rPr>
                <w:sz w:val="20"/>
              </w:rPr>
              <w:t>r = regulation(s)/rule(s)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ed = editorial change</w:t>
            </w:r>
          </w:p>
        </w:tc>
        <w:tc>
          <w:tcPr>
            <w:tcW w:w="2321" w:type="pct"/>
            <w:shd w:val="clear" w:color="auto" w:fill="auto"/>
          </w:tcPr>
          <w:p w:rsidR="00F715C9" w:rsidRPr="005675B0" w:rsidRDefault="00F715C9" w:rsidP="00C502A0">
            <w:pPr>
              <w:spacing w:before="60"/>
              <w:ind w:left="34"/>
              <w:rPr>
                <w:sz w:val="20"/>
              </w:rPr>
            </w:pPr>
            <w:r w:rsidRPr="005675B0">
              <w:rPr>
                <w:sz w:val="20"/>
              </w:rPr>
              <w:t>reloc = relocated</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exp = expires/expired or ceases/ceased to have</w:t>
            </w:r>
          </w:p>
        </w:tc>
        <w:tc>
          <w:tcPr>
            <w:tcW w:w="2321" w:type="pct"/>
            <w:shd w:val="clear" w:color="auto" w:fill="auto"/>
          </w:tcPr>
          <w:p w:rsidR="00F715C9" w:rsidRPr="005675B0" w:rsidRDefault="00F715C9" w:rsidP="00C502A0">
            <w:pPr>
              <w:spacing w:before="60"/>
              <w:ind w:left="34"/>
              <w:rPr>
                <w:sz w:val="20"/>
              </w:rPr>
            </w:pPr>
            <w:r w:rsidRPr="005675B0">
              <w:rPr>
                <w:sz w:val="20"/>
              </w:rPr>
              <w:t>renum = renumbered</w:t>
            </w:r>
          </w:p>
        </w:tc>
      </w:tr>
      <w:tr w:rsidR="00F715C9" w:rsidRPr="005675B0" w:rsidTr="00FE1311">
        <w:tc>
          <w:tcPr>
            <w:tcW w:w="2679" w:type="pct"/>
            <w:shd w:val="clear" w:color="auto" w:fill="auto"/>
          </w:tcPr>
          <w:p w:rsidR="00F715C9" w:rsidRPr="005675B0" w:rsidRDefault="00F715C9" w:rsidP="00C502A0">
            <w:pPr>
              <w:ind w:left="34"/>
              <w:rPr>
                <w:sz w:val="20"/>
              </w:rPr>
            </w:pPr>
            <w:r w:rsidRPr="005675B0">
              <w:rPr>
                <w:sz w:val="20"/>
              </w:rPr>
              <w:t xml:space="preserve">    effect</w:t>
            </w:r>
          </w:p>
        </w:tc>
        <w:tc>
          <w:tcPr>
            <w:tcW w:w="2321" w:type="pct"/>
            <w:shd w:val="clear" w:color="auto" w:fill="auto"/>
          </w:tcPr>
          <w:p w:rsidR="00F715C9" w:rsidRPr="005675B0" w:rsidRDefault="00F715C9" w:rsidP="00C502A0">
            <w:pPr>
              <w:spacing w:before="60"/>
              <w:ind w:left="34"/>
              <w:rPr>
                <w:sz w:val="20"/>
              </w:rPr>
            </w:pPr>
            <w:r w:rsidRPr="005675B0">
              <w:rPr>
                <w:sz w:val="20"/>
              </w:rPr>
              <w:t>rep = repealed</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F = Federal Register of Legislation</w:t>
            </w:r>
          </w:p>
        </w:tc>
        <w:tc>
          <w:tcPr>
            <w:tcW w:w="2321" w:type="pct"/>
            <w:shd w:val="clear" w:color="auto" w:fill="auto"/>
          </w:tcPr>
          <w:p w:rsidR="00F715C9" w:rsidRPr="005675B0" w:rsidRDefault="00F715C9" w:rsidP="00C502A0">
            <w:pPr>
              <w:spacing w:before="60"/>
              <w:ind w:left="34"/>
              <w:rPr>
                <w:sz w:val="20"/>
              </w:rPr>
            </w:pPr>
            <w:r w:rsidRPr="005675B0">
              <w:rPr>
                <w:sz w:val="20"/>
              </w:rPr>
              <w:t>rs = repealed and substituted</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gaz = gazette</w:t>
            </w:r>
          </w:p>
        </w:tc>
        <w:tc>
          <w:tcPr>
            <w:tcW w:w="2321" w:type="pct"/>
            <w:shd w:val="clear" w:color="auto" w:fill="auto"/>
          </w:tcPr>
          <w:p w:rsidR="00F715C9" w:rsidRPr="005675B0" w:rsidRDefault="00F715C9" w:rsidP="00C502A0">
            <w:pPr>
              <w:spacing w:before="60"/>
              <w:ind w:left="34"/>
              <w:rPr>
                <w:sz w:val="20"/>
              </w:rPr>
            </w:pPr>
            <w:r w:rsidRPr="005675B0">
              <w:rPr>
                <w:sz w:val="20"/>
              </w:rPr>
              <w:t>s = section(s)/subsection(s)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 xml:space="preserve">LA = </w:t>
            </w:r>
            <w:r w:rsidRPr="005675B0">
              <w:rPr>
                <w:i/>
                <w:sz w:val="20"/>
              </w:rPr>
              <w:t>Legislation Act 2003</w:t>
            </w:r>
          </w:p>
        </w:tc>
        <w:tc>
          <w:tcPr>
            <w:tcW w:w="2321" w:type="pct"/>
            <w:shd w:val="clear" w:color="auto" w:fill="auto"/>
          </w:tcPr>
          <w:p w:rsidR="00F715C9" w:rsidRPr="005675B0" w:rsidRDefault="00F715C9" w:rsidP="00C502A0">
            <w:pPr>
              <w:spacing w:before="60"/>
              <w:ind w:left="34"/>
              <w:rPr>
                <w:sz w:val="20"/>
              </w:rPr>
            </w:pPr>
            <w:r w:rsidRPr="005675B0">
              <w:rPr>
                <w:sz w:val="20"/>
              </w:rPr>
              <w:t>Sch = Schedule(s)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 xml:space="preserve">LIA = </w:t>
            </w:r>
            <w:r w:rsidRPr="005675B0">
              <w:rPr>
                <w:i/>
                <w:sz w:val="20"/>
              </w:rPr>
              <w:t>Legislative Instruments Act 2003</w:t>
            </w:r>
          </w:p>
        </w:tc>
        <w:tc>
          <w:tcPr>
            <w:tcW w:w="2321" w:type="pct"/>
            <w:shd w:val="clear" w:color="auto" w:fill="auto"/>
          </w:tcPr>
          <w:p w:rsidR="00F715C9" w:rsidRPr="005675B0" w:rsidRDefault="00F715C9" w:rsidP="00C502A0">
            <w:pPr>
              <w:spacing w:before="60"/>
              <w:ind w:left="34"/>
              <w:rPr>
                <w:sz w:val="20"/>
              </w:rPr>
            </w:pPr>
            <w:r w:rsidRPr="005675B0">
              <w:rPr>
                <w:sz w:val="20"/>
              </w:rPr>
              <w:t>Sdiv = Subdivision(s)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(md) = misdescribed amendment can be given</w:t>
            </w:r>
          </w:p>
        </w:tc>
        <w:tc>
          <w:tcPr>
            <w:tcW w:w="2321" w:type="pct"/>
            <w:shd w:val="clear" w:color="auto" w:fill="auto"/>
          </w:tcPr>
          <w:p w:rsidR="00F715C9" w:rsidRPr="005675B0" w:rsidRDefault="00F715C9" w:rsidP="00C502A0">
            <w:pPr>
              <w:spacing w:before="60"/>
              <w:ind w:left="34"/>
              <w:rPr>
                <w:sz w:val="20"/>
              </w:rPr>
            </w:pPr>
            <w:r w:rsidRPr="005675B0">
              <w:rPr>
                <w:sz w:val="20"/>
              </w:rPr>
              <w:t>SLI = Select Legislative Instrument</w:t>
            </w:r>
          </w:p>
        </w:tc>
      </w:tr>
      <w:tr w:rsidR="00F715C9" w:rsidRPr="005675B0" w:rsidTr="00FE1311">
        <w:tc>
          <w:tcPr>
            <w:tcW w:w="2679" w:type="pct"/>
            <w:shd w:val="clear" w:color="auto" w:fill="auto"/>
          </w:tcPr>
          <w:p w:rsidR="00F715C9" w:rsidRPr="005675B0" w:rsidRDefault="00F715C9" w:rsidP="00C502A0">
            <w:pPr>
              <w:ind w:left="34"/>
              <w:rPr>
                <w:sz w:val="20"/>
              </w:rPr>
            </w:pPr>
            <w:r w:rsidRPr="005675B0">
              <w:rPr>
                <w:sz w:val="20"/>
              </w:rPr>
              <w:t xml:space="preserve">    effect</w:t>
            </w:r>
          </w:p>
        </w:tc>
        <w:tc>
          <w:tcPr>
            <w:tcW w:w="2321" w:type="pct"/>
            <w:shd w:val="clear" w:color="auto" w:fill="auto"/>
          </w:tcPr>
          <w:p w:rsidR="00F715C9" w:rsidRPr="005675B0" w:rsidRDefault="00F715C9" w:rsidP="00C502A0">
            <w:pPr>
              <w:spacing w:before="60"/>
              <w:ind w:left="34"/>
              <w:rPr>
                <w:sz w:val="20"/>
              </w:rPr>
            </w:pPr>
            <w:r w:rsidRPr="005675B0">
              <w:rPr>
                <w:sz w:val="20"/>
              </w:rPr>
              <w:t>SR = Statutory Rules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(md not incorp) = misdescribed amendment</w:t>
            </w:r>
          </w:p>
        </w:tc>
        <w:tc>
          <w:tcPr>
            <w:tcW w:w="2321" w:type="pct"/>
            <w:shd w:val="clear" w:color="auto" w:fill="auto"/>
          </w:tcPr>
          <w:p w:rsidR="00F715C9" w:rsidRPr="005675B0" w:rsidRDefault="00F715C9" w:rsidP="00C502A0">
            <w:pPr>
              <w:spacing w:before="60"/>
              <w:ind w:left="34"/>
              <w:rPr>
                <w:sz w:val="20"/>
              </w:rPr>
            </w:pPr>
            <w:r w:rsidRPr="005675B0">
              <w:rPr>
                <w:sz w:val="20"/>
              </w:rPr>
              <w:t>Sub</w:t>
            </w:r>
            <w:r w:rsidR="005675B0">
              <w:rPr>
                <w:sz w:val="20"/>
              </w:rPr>
              <w:noBreakHyphen/>
            </w:r>
            <w:r w:rsidRPr="005675B0">
              <w:rPr>
                <w:sz w:val="20"/>
              </w:rPr>
              <w:t>Ch = Sub</w:t>
            </w:r>
            <w:r w:rsidR="005675B0">
              <w:rPr>
                <w:sz w:val="20"/>
              </w:rPr>
              <w:noBreakHyphen/>
            </w:r>
            <w:r w:rsidRPr="005675B0">
              <w:rPr>
                <w:sz w:val="20"/>
              </w:rPr>
              <w:t>Chapter(s)</w:t>
            </w:r>
          </w:p>
        </w:tc>
      </w:tr>
      <w:tr w:rsidR="00F715C9" w:rsidRPr="005675B0" w:rsidTr="00FE1311">
        <w:tc>
          <w:tcPr>
            <w:tcW w:w="2679" w:type="pct"/>
            <w:shd w:val="clear" w:color="auto" w:fill="auto"/>
          </w:tcPr>
          <w:p w:rsidR="00F715C9" w:rsidRPr="005675B0" w:rsidRDefault="00F715C9" w:rsidP="00C502A0">
            <w:pPr>
              <w:ind w:left="34"/>
              <w:rPr>
                <w:sz w:val="20"/>
              </w:rPr>
            </w:pPr>
            <w:r w:rsidRPr="005675B0">
              <w:rPr>
                <w:sz w:val="20"/>
              </w:rPr>
              <w:t xml:space="preserve">    cannot be given effect</w:t>
            </w:r>
          </w:p>
        </w:tc>
        <w:tc>
          <w:tcPr>
            <w:tcW w:w="2321" w:type="pct"/>
            <w:shd w:val="clear" w:color="auto" w:fill="auto"/>
          </w:tcPr>
          <w:p w:rsidR="00F715C9" w:rsidRPr="005675B0" w:rsidRDefault="00F715C9" w:rsidP="00C502A0">
            <w:pPr>
              <w:spacing w:before="60"/>
              <w:ind w:left="34"/>
              <w:rPr>
                <w:sz w:val="20"/>
              </w:rPr>
            </w:pPr>
            <w:r w:rsidRPr="005675B0">
              <w:rPr>
                <w:sz w:val="20"/>
              </w:rPr>
              <w:t>SubPt = Subpart(s)</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mod = modified/modification</w:t>
            </w:r>
          </w:p>
        </w:tc>
        <w:tc>
          <w:tcPr>
            <w:tcW w:w="2321" w:type="pct"/>
            <w:shd w:val="clear" w:color="auto" w:fill="auto"/>
          </w:tcPr>
          <w:p w:rsidR="00F715C9" w:rsidRPr="005675B0" w:rsidRDefault="00F715C9" w:rsidP="00C502A0">
            <w:pPr>
              <w:spacing w:before="60"/>
              <w:ind w:left="34"/>
              <w:rPr>
                <w:sz w:val="20"/>
              </w:rPr>
            </w:pPr>
            <w:r w:rsidRPr="005675B0">
              <w:rPr>
                <w:sz w:val="20"/>
                <w:u w:val="single"/>
              </w:rPr>
              <w:t>underlining</w:t>
            </w:r>
            <w:r w:rsidRPr="005675B0">
              <w:rPr>
                <w:sz w:val="20"/>
              </w:rPr>
              <w:t xml:space="preserve"> = whole or part not</w:t>
            </w:r>
          </w:p>
        </w:tc>
      </w:tr>
      <w:tr w:rsidR="00F715C9" w:rsidRPr="005675B0" w:rsidTr="00FE1311">
        <w:tc>
          <w:tcPr>
            <w:tcW w:w="2679" w:type="pct"/>
            <w:shd w:val="clear" w:color="auto" w:fill="auto"/>
          </w:tcPr>
          <w:p w:rsidR="00F715C9" w:rsidRPr="005675B0" w:rsidRDefault="00F715C9" w:rsidP="00C502A0">
            <w:pPr>
              <w:spacing w:before="60"/>
              <w:ind w:left="34"/>
              <w:rPr>
                <w:sz w:val="20"/>
              </w:rPr>
            </w:pPr>
            <w:r w:rsidRPr="005675B0">
              <w:rPr>
                <w:sz w:val="20"/>
              </w:rPr>
              <w:t>No. = Number(s)</w:t>
            </w:r>
          </w:p>
        </w:tc>
        <w:tc>
          <w:tcPr>
            <w:tcW w:w="2321" w:type="pct"/>
            <w:shd w:val="clear" w:color="auto" w:fill="auto"/>
          </w:tcPr>
          <w:p w:rsidR="00F715C9" w:rsidRPr="005675B0" w:rsidRDefault="00F715C9" w:rsidP="00C502A0">
            <w:pPr>
              <w:ind w:left="34"/>
              <w:rPr>
                <w:sz w:val="20"/>
              </w:rPr>
            </w:pPr>
            <w:r w:rsidRPr="005675B0">
              <w:rPr>
                <w:sz w:val="20"/>
              </w:rPr>
              <w:t xml:space="preserve">    commenced or to be commenced</w:t>
            </w:r>
          </w:p>
        </w:tc>
      </w:tr>
    </w:tbl>
    <w:p w:rsidR="00F715C9" w:rsidRPr="005675B0" w:rsidRDefault="00F715C9" w:rsidP="00C502A0">
      <w:pPr>
        <w:pStyle w:val="Tabletext"/>
      </w:pPr>
    </w:p>
    <w:p w:rsidR="004C7D0D" w:rsidRPr="005675B0" w:rsidRDefault="004C7D0D" w:rsidP="00C56D30">
      <w:pPr>
        <w:pStyle w:val="ENotesHeading2"/>
        <w:pageBreakBefore/>
        <w:outlineLvl w:val="9"/>
      </w:pPr>
      <w:bookmarkStart w:id="89" w:name="_Toc46238205"/>
      <w:r w:rsidRPr="005675B0">
        <w:lastRenderedPageBreak/>
        <w:t>Endnote 3—Legislation history</w:t>
      </w:r>
      <w:bookmarkEnd w:id="89"/>
    </w:p>
    <w:p w:rsidR="004C7D0D" w:rsidRPr="005675B0" w:rsidRDefault="004C7D0D" w:rsidP="00DE27A5">
      <w:pPr>
        <w:pStyle w:val="Tabletext"/>
      </w:pPr>
    </w:p>
    <w:tbl>
      <w:tblPr>
        <w:tblW w:w="4899" w:type="pct"/>
        <w:tblInd w:w="94" w:type="dxa"/>
        <w:tblBorders>
          <w:top w:val="single" w:sz="4" w:space="0" w:color="auto"/>
          <w:bottom w:val="single" w:sz="2" w:space="0" w:color="auto"/>
          <w:insideH w:val="single" w:sz="2" w:space="0" w:color="auto"/>
        </w:tblBorders>
        <w:tblLook w:val="0000" w:firstRow="0" w:lastRow="0" w:firstColumn="0" w:lastColumn="0" w:noHBand="0" w:noVBand="0"/>
      </w:tblPr>
      <w:tblGrid>
        <w:gridCol w:w="2236"/>
        <w:gridCol w:w="2016"/>
        <w:gridCol w:w="2218"/>
        <w:gridCol w:w="1887"/>
      </w:tblGrid>
      <w:tr w:rsidR="00C24767" w:rsidRPr="005675B0" w:rsidTr="002D6144">
        <w:trPr>
          <w:tblHeader/>
        </w:trPr>
        <w:tc>
          <w:tcPr>
            <w:tcW w:w="1338" w:type="pct"/>
            <w:tcBorders>
              <w:top w:val="single" w:sz="12" w:space="0" w:color="auto"/>
              <w:bottom w:val="single" w:sz="12" w:space="0" w:color="auto"/>
            </w:tcBorders>
            <w:shd w:val="clear" w:color="auto" w:fill="auto"/>
          </w:tcPr>
          <w:p w:rsidR="00C24767" w:rsidRPr="005675B0" w:rsidRDefault="00C24767" w:rsidP="00DF6F1A">
            <w:pPr>
              <w:pStyle w:val="ENoteTableHeading"/>
            </w:pPr>
            <w:r w:rsidRPr="005675B0">
              <w:t>Number and year</w:t>
            </w:r>
          </w:p>
        </w:tc>
        <w:tc>
          <w:tcPr>
            <w:tcW w:w="1206" w:type="pct"/>
            <w:tcBorders>
              <w:top w:val="single" w:sz="12" w:space="0" w:color="auto"/>
              <w:bottom w:val="single" w:sz="12" w:space="0" w:color="auto"/>
            </w:tcBorders>
            <w:shd w:val="clear" w:color="auto" w:fill="auto"/>
          </w:tcPr>
          <w:p w:rsidR="00C24767" w:rsidRPr="005675B0" w:rsidRDefault="00F715C9" w:rsidP="00DF6F1A">
            <w:pPr>
              <w:pStyle w:val="ENoteTableHeading"/>
            </w:pPr>
            <w:r w:rsidRPr="005675B0">
              <w:t xml:space="preserve">FRLI registration or gazettal </w:t>
            </w:r>
          </w:p>
        </w:tc>
        <w:tc>
          <w:tcPr>
            <w:tcW w:w="1327" w:type="pct"/>
            <w:tcBorders>
              <w:top w:val="single" w:sz="12" w:space="0" w:color="auto"/>
              <w:bottom w:val="single" w:sz="12" w:space="0" w:color="auto"/>
            </w:tcBorders>
            <w:shd w:val="clear" w:color="auto" w:fill="auto"/>
          </w:tcPr>
          <w:p w:rsidR="00C24767" w:rsidRPr="005675B0" w:rsidRDefault="00F32728" w:rsidP="00C1679F">
            <w:pPr>
              <w:pStyle w:val="ENoteTableHeading"/>
            </w:pPr>
            <w:r w:rsidRPr="005675B0">
              <w:t>Commencement</w:t>
            </w:r>
          </w:p>
        </w:tc>
        <w:tc>
          <w:tcPr>
            <w:tcW w:w="1129" w:type="pct"/>
            <w:tcBorders>
              <w:top w:val="single" w:sz="12" w:space="0" w:color="auto"/>
              <w:bottom w:val="single" w:sz="12" w:space="0" w:color="auto"/>
            </w:tcBorders>
            <w:shd w:val="clear" w:color="auto" w:fill="auto"/>
          </w:tcPr>
          <w:p w:rsidR="00C24767" w:rsidRPr="005675B0" w:rsidRDefault="00C24767" w:rsidP="00DF6F1A">
            <w:pPr>
              <w:pStyle w:val="ENoteTableHeading"/>
            </w:pPr>
            <w:r w:rsidRPr="005675B0">
              <w:t>Application, saving and transitional provisions</w:t>
            </w:r>
          </w:p>
        </w:tc>
      </w:tr>
      <w:tr w:rsidR="00A61483" w:rsidRPr="005675B0" w:rsidTr="002D6144">
        <w:tc>
          <w:tcPr>
            <w:tcW w:w="1338" w:type="pct"/>
            <w:tcBorders>
              <w:top w:val="single" w:sz="12" w:space="0" w:color="auto"/>
            </w:tcBorders>
            <w:shd w:val="clear" w:color="auto" w:fill="auto"/>
          </w:tcPr>
          <w:p w:rsidR="00A61483" w:rsidRPr="005675B0" w:rsidRDefault="00C61D91">
            <w:pPr>
              <w:pStyle w:val="ENoteTableText"/>
            </w:pPr>
            <w:r w:rsidRPr="005675B0">
              <w:rPr>
                <w:szCs w:val="16"/>
              </w:rPr>
              <w:t xml:space="preserve">192, </w:t>
            </w:r>
            <w:r w:rsidR="00A61483" w:rsidRPr="005675B0">
              <w:rPr>
                <w:szCs w:val="16"/>
              </w:rPr>
              <w:t>2001</w:t>
            </w:r>
          </w:p>
        </w:tc>
        <w:tc>
          <w:tcPr>
            <w:tcW w:w="1206" w:type="pct"/>
            <w:tcBorders>
              <w:top w:val="single" w:sz="12" w:space="0" w:color="auto"/>
            </w:tcBorders>
            <w:shd w:val="clear" w:color="auto" w:fill="auto"/>
          </w:tcPr>
          <w:p w:rsidR="00A61483" w:rsidRPr="005675B0" w:rsidRDefault="00A61483" w:rsidP="00A53ED4">
            <w:pPr>
              <w:pStyle w:val="ENoteTableText"/>
            </w:pPr>
            <w:r w:rsidRPr="005675B0">
              <w:rPr>
                <w:szCs w:val="16"/>
              </w:rPr>
              <w:t>13</w:t>
            </w:r>
            <w:r w:rsidR="005675B0">
              <w:rPr>
                <w:szCs w:val="16"/>
              </w:rPr>
              <w:t> </w:t>
            </w:r>
            <w:r w:rsidRPr="005675B0">
              <w:rPr>
                <w:szCs w:val="16"/>
              </w:rPr>
              <w:t>July 2001</w:t>
            </w:r>
          </w:p>
        </w:tc>
        <w:tc>
          <w:tcPr>
            <w:tcW w:w="1327" w:type="pct"/>
            <w:tcBorders>
              <w:top w:val="single" w:sz="12" w:space="0" w:color="auto"/>
            </w:tcBorders>
            <w:shd w:val="clear" w:color="auto" w:fill="auto"/>
          </w:tcPr>
          <w:p w:rsidR="00A61483" w:rsidRPr="005675B0" w:rsidRDefault="00A61483" w:rsidP="004B5687">
            <w:pPr>
              <w:pStyle w:val="ENoteTableText"/>
            </w:pPr>
            <w:r w:rsidRPr="005675B0">
              <w:rPr>
                <w:szCs w:val="16"/>
              </w:rPr>
              <w:t>15</w:t>
            </w:r>
            <w:r w:rsidR="005675B0">
              <w:rPr>
                <w:szCs w:val="16"/>
              </w:rPr>
              <w:t> </w:t>
            </w:r>
            <w:r w:rsidRPr="005675B0">
              <w:rPr>
                <w:szCs w:val="16"/>
              </w:rPr>
              <w:t>July 2001 (</w:t>
            </w:r>
            <w:r w:rsidR="004B5687" w:rsidRPr="005675B0">
              <w:rPr>
                <w:szCs w:val="16"/>
              </w:rPr>
              <w:t>gaz</w:t>
            </w:r>
            <w:r w:rsidRPr="005675B0">
              <w:rPr>
                <w:szCs w:val="16"/>
              </w:rPr>
              <w:t xml:space="preserve"> 2001, No S285)</w:t>
            </w:r>
          </w:p>
        </w:tc>
        <w:tc>
          <w:tcPr>
            <w:tcW w:w="1129" w:type="pct"/>
            <w:tcBorders>
              <w:top w:val="single" w:sz="12" w:space="0" w:color="auto"/>
            </w:tcBorders>
            <w:shd w:val="clear" w:color="auto" w:fill="auto"/>
          </w:tcPr>
          <w:p w:rsidR="00A61483" w:rsidRPr="005675B0" w:rsidRDefault="00A61483" w:rsidP="00A53ED4">
            <w:pPr>
              <w:pStyle w:val="ENoteTableText"/>
            </w:pPr>
          </w:p>
        </w:tc>
      </w:tr>
      <w:tr w:rsidR="00A61483" w:rsidRPr="005675B0" w:rsidTr="002D6144">
        <w:tc>
          <w:tcPr>
            <w:tcW w:w="1338" w:type="pct"/>
            <w:shd w:val="clear" w:color="auto" w:fill="auto"/>
          </w:tcPr>
          <w:p w:rsidR="00A61483" w:rsidRPr="005675B0" w:rsidRDefault="00C61D91">
            <w:pPr>
              <w:pStyle w:val="ENoteTableText"/>
            </w:pPr>
            <w:r w:rsidRPr="005675B0">
              <w:rPr>
                <w:szCs w:val="16"/>
              </w:rPr>
              <w:t xml:space="preserve">317, </w:t>
            </w:r>
            <w:r w:rsidR="00A61483" w:rsidRPr="005675B0">
              <w:rPr>
                <w:szCs w:val="16"/>
              </w:rPr>
              <w:t>2001</w:t>
            </w:r>
          </w:p>
        </w:tc>
        <w:tc>
          <w:tcPr>
            <w:tcW w:w="1206" w:type="pct"/>
            <w:shd w:val="clear" w:color="auto" w:fill="auto"/>
          </w:tcPr>
          <w:p w:rsidR="00A61483" w:rsidRPr="005675B0" w:rsidRDefault="00A61483" w:rsidP="00A53ED4">
            <w:pPr>
              <w:pStyle w:val="ENoteTableText"/>
            </w:pPr>
            <w:r w:rsidRPr="005675B0">
              <w:rPr>
                <w:szCs w:val="16"/>
              </w:rPr>
              <w:t>15 Oct 2001</w:t>
            </w:r>
          </w:p>
        </w:tc>
        <w:tc>
          <w:tcPr>
            <w:tcW w:w="1327" w:type="pct"/>
            <w:shd w:val="clear" w:color="auto" w:fill="auto"/>
          </w:tcPr>
          <w:p w:rsidR="00A61483" w:rsidRPr="005675B0" w:rsidRDefault="00A61483" w:rsidP="002234A8">
            <w:pPr>
              <w:pStyle w:val="ENoteTableText"/>
            </w:pPr>
            <w:r w:rsidRPr="005675B0">
              <w:rPr>
                <w:szCs w:val="16"/>
              </w:rPr>
              <w:t xml:space="preserve">11 Mar 2002 (r 2 and </w:t>
            </w:r>
            <w:r w:rsidR="002234A8" w:rsidRPr="005675B0">
              <w:rPr>
                <w:szCs w:val="16"/>
              </w:rPr>
              <w:t>g</w:t>
            </w:r>
            <w:r w:rsidRPr="005675B0">
              <w:rPr>
                <w:szCs w:val="16"/>
              </w:rPr>
              <w:t>az 2001, No GN42)</w:t>
            </w:r>
          </w:p>
        </w:tc>
        <w:tc>
          <w:tcPr>
            <w:tcW w:w="1129" w:type="pct"/>
            <w:shd w:val="clear" w:color="auto" w:fill="auto"/>
          </w:tcPr>
          <w:p w:rsidR="00A61483" w:rsidRPr="005675B0" w:rsidRDefault="00A61483" w:rsidP="00A53ED4">
            <w:pPr>
              <w:pStyle w:val="ENoteTableText"/>
            </w:pPr>
            <w:r w:rsidRPr="005675B0">
              <w:rPr>
                <w:szCs w:val="16"/>
              </w:rPr>
              <w:t>—</w:t>
            </w:r>
          </w:p>
        </w:tc>
      </w:tr>
      <w:tr w:rsidR="00A61483" w:rsidRPr="005675B0" w:rsidTr="002D6144">
        <w:tc>
          <w:tcPr>
            <w:tcW w:w="1338" w:type="pct"/>
            <w:shd w:val="clear" w:color="auto" w:fill="auto"/>
          </w:tcPr>
          <w:p w:rsidR="00A61483" w:rsidRPr="005675B0" w:rsidRDefault="00C61D91">
            <w:pPr>
              <w:pStyle w:val="ENoteTableText"/>
            </w:pPr>
            <w:r w:rsidRPr="005675B0">
              <w:rPr>
                <w:szCs w:val="16"/>
              </w:rPr>
              <w:t xml:space="preserve">39, </w:t>
            </w:r>
            <w:r w:rsidR="00A61483" w:rsidRPr="005675B0">
              <w:rPr>
                <w:szCs w:val="16"/>
              </w:rPr>
              <w:t>2002</w:t>
            </w:r>
          </w:p>
        </w:tc>
        <w:tc>
          <w:tcPr>
            <w:tcW w:w="1206" w:type="pct"/>
            <w:shd w:val="clear" w:color="auto" w:fill="auto"/>
          </w:tcPr>
          <w:p w:rsidR="00A61483" w:rsidRPr="005675B0" w:rsidRDefault="00A61483" w:rsidP="00A53ED4">
            <w:pPr>
              <w:pStyle w:val="ENoteTableText"/>
            </w:pPr>
            <w:r w:rsidRPr="005675B0">
              <w:rPr>
                <w:szCs w:val="16"/>
              </w:rPr>
              <w:t>7 Mar 2002</w:t>
            </w:r>
          </w:p>
        </w:tc>
        <w:tc>
          <w:tcPr>
            <w:tcW w:w="1327" w:type="pct"/>
            <w:shd w:val="clear" w:color="auto" w:fill="auto"/>
          </w:tcPr>
          <w:p w:rsidR="00A61483" w:rsidRPr="005675B0" w:rsidRDefault="00B1055F" w:rsidP="00A53ED4">
            <w:pPr>
              <w:pStyle w:val="ENoteTableText"/>
            </w:pPr>
            <w:r w:rsidRPr="005675B0">
              <w:rPr>
                <w:szCs w:val="16"/>
              </w:rPr>
              <w:t>11 Mar 2002 (r 2)</w:t>
            </w:r>
          </w:p>
        </w:tc>
        <w:tc>
          <w:tcPr>
            <w:tcW w:w="1129" w:type="pct"/>
            <w:shd w:val="clear" w:color="auto" w:fill="auto"/>
          </w:tcPr>
          <w:p w:rsidR="00A61483" w:rsidRPr="005675B0" w:rsidRDefault="00A61483"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124, </w:t>
            </w:r>
            <w:r w:rsidR="00B1055F" w:rsidRPr="005675B0">
              <w:rPr>
                <w:szCs w:val="16"/>
              </w:rPr>
              <w:t>2002</w:t>
            </w:r>
          </w:p>
        </w:tc>
        <w:tc>
          <w:tcPr>
            <w:tcW w:w="1206" w:type="pct"/>
            <w:shd w:val="clear" w:color="auto" w:fill="auto"/>
          </w:tcPr>
          <w:p w:rsidR="00B1055F" w:rsidRPr="005675B0" w:rsidRDefault="00B1055F" w:rsidP="00A53ED4">
            <w:pPr>
              <w:pStyle w:val="ENoteTableText"/>
            </w:pPr>
            <w:r w:rsidRPr="005675B0">
              <w:rPr>
                <w:szCs w:val="16"/>
              </w:rPr>
              <w:t>14</w:t>
            </w:r>
            <w:r w:rsidR="005675B0">
              <w:rPr>
                <w:szCs w:val="16"/>
              </w:rPr>
              <w:t> </w:t>
            </w:r>
            <w:r w:rsidRPr="005675B0">
              <w:rPr>
                <w:szCs w:val="16"/>
              </w:rPr>
              <w:t>June 2002</w:t>
            </w:r>
          </w:p>
        </w:tc>
        <w:tc>
          <w:tcPr>
            <w:tcW w:w="1327" w:type="pct"/>
            <w:shd w:val="clear" w:color="auto" w:fill="auto"/>
          </w:tcPr>
          <w:p w:rsidR="00B1055F" w:rsidRPr="005675B0" w:rsidRDefault="00B1055F" w:rsidP="004B5687">
            <w:pPr>
              <w:pStyle w:val="ENoteTableText"/>
            </w:pPr>
            <w:r w:rsidRPr="005675B0">
              <w:rPr>
                <w:szCs w:val="16"/>
              </w:rPr>
              <w:t>11 Mar 2002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107, </w:t>
            </w:r>
            <w:r w:rsidR="00B1055F" w:rsidRPr="005675B0">
              <w:rPr>
                <w:szCs w:val="16"/>
              </w:rPr>
              <w:t>2003</w:t>
            </w:r>
          </w:p>
        </w:tc>
        <w:tc>
          <w:tcPr>
            <w:tcW w:w="1206" w:type="pct"/>
            <w:shd w:val="clear" w:color="auto" w:fill="auto"/>
          </w:tcPr>
          <w:p w:rsidR="00B1055F" w:rsidRPr="005675B0" w:rsidRDefault="00B1055F" w:rsidP="00A53ED4">
            <w:pPr>
              <w:pStyle w:val="ENoteTableText"/>
            </w:pPr>
            <w:r w:rsidRPr="005675B0">
              <w:rPr>
                <w:szCs w:val="16"/>
              </w:rPr>
              <w:t>4</w:t>
            </w:r>
            <w:r w:rsidR="005675B0">
              <w:rPr>
                <w:szCs w:val="16"/>
              </w:rPr>
              <w:t> </w:t>
            </w:r>
            <w:r w:rsidRPr="005675B0">
              <w:rPr>
                <w:szCs w:val="16"/>
              </w:rPr>
              <w:t>June 2003</w:t>
            </w:r>
          </w:p>
        </w:tc>
        <w:tc>
          <w:tcPr>
            <w:tcW w:w="1327" w:type="pct"/>
            <w:shd w:val="clear" w:color="auto" w:fill="auto"/>
          </w:tcPr>
          <w:p w:rsidR="00B1055F" w:rsidRPr="005675B0" w:rsidRDefault="00B1055F" w:rsidP="00A53ED4">
            <w:pPr>
              <w:pStyle w:val="ENoteTableText"/>
            </w:pPr>
            <w:r w:rsidRPr="005675B0">
              <w:rPr>
                <w:szCs w:val="16"/>
              </w:rPr>
              <w:t>4</w:t>
            </w:r>
            <w:r w:rsidR="005675B0">
              <w:rPr>
                <w:szCs w:val="16"/>
              </w:rPr>
              <w:t> </w:t>
            </w:r>
            <w:r w:rsidRPr="005675B0">
              <w:rPr>
                <w:szCs w:val="16"/>
              </w:rPr>
              <w:t>June 2003</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102, </w:t>
            </w:r>
            <w:r w:rsidR="00B1055F" w:rsidRPr="005675B0">
              <w:rPr>
                <w:szCs w:val="16"/>
              </w:rPr>
              <w:t>2004</w:t>
            </w:r>
          </w:p>
        </w:tc>
        <w:tc>
          <w:tcPr>
            <w:tcW w:w="1206" w:type="pct"/>
            <w:shd w:val="clear" w:color="auto" w:fill="auto"/>
          </w:tcPr>
          <w:p w:rsidR="00B1055F" w:rsidRPr="005675B0" w:rsidRDefault="00B1055F" w:rsidP="00A53ED4">
            <w:pPr>
              <w:pStyle w:val="ENoteTableText"/>
            </w:pPr>
            <w:r w:rsidRPr="005675B0">
              <w:rPr>
                <w:szCs w:val="16"/>
              </w:rPr>
              <w:t>28</w:t>
            </w:r>
            <w:r w:rsidR="005675B0">
              <w:rPr>
                <w:szCs w:val="16"/>
              </w:rPr>
              <w:t> </w:t>
            </w:r>
            <w:r w:rsidRPr="005675B0">
              <w:rPr>
                <w:szCs w:val="16"/>
              </w:rPr>
              <w:t>May 2004</w:t>
            </w:r>
          </w:p>
        </w:tc>
        <w:tc>
          <w:tcPr>
            <w:tcW w:w="1327" w:type="pct"/>
            <w:shd w:val="clear" w:color="auto" w:fill="auto"/>
          </w:tcPr>
          <w:p w:rsidR="00B1055F" w:rsidRPr="005675B0" w:rsidRDefault="00B1055F" w:rsidP="00A53ED4">
            <w:pPr>
              <w:pStyle w:val="ENoteTableText"/>
            </w:pPr>
            <w:r w:rsidRPr="005675B0">
              <w:rPr>
                <w:szCs w:val="16"/>
              </w:rPr>
              <w:t>28</w:t>
            </w:r>
            <w:r w:rsidR="005675B0">
              <w:rPr>
                <w:szCs w:val="16"/>
              </w:rPr>
              <w:t> </w:t>
            </w:r>
            <w:r w:rsidRPr="005675B0">
              <w:rPr>
                <w:szCs w:val="16"/>
              </w:rPr>
              <w:t>May 2004</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210, </w:t>
            </w:r>
            <w:r w:rsidR="00B1055F" w:rsidRPr="005675B0">
              <w:rPr>
                <w:szCs w:val="16"/>
              </w:rPr>
              <w:t>2004</w:t>
            </w:r>
          </w:p>
        </w:tc>
        <w:tc>
          <w:tcPr>
            <w:tcW w:w="1206" w:type="pct"/>
            <w:shd w:val="clear" w:color="auto" w:fill="auto"/>
          </w:tcPr>
          <w:p w:rsidR="00B1055F" w:rsidRPr="005675B0" w:rsidRDefault="00B1055F" w:rsidP="00A53ED4">
            <w:pPr>
              <w:pStyle w:val="ENoteTableText"/>
            </w:pPr>
            <w:r w:rsidRPr="005675B0">
              <w:rPr>
                <w:szCs w:val="16"/>
              </w:rPr>
              <w:t>9</w:t>
            </w:r>
            <w:r w:rsidR="005675B0">
              <w:rPr>
                <w:szCs w:val="16"/>
              </w:rPr>
              <w:t> </w:t>
            </w:r>
            <w:r w:rsidRPr="005675B0">
              <w:rPr>
                <w:szCs w:val="16"/>
              </w:rPr>
              <w:t>July 2004</w:t>
            </w:r>
          </w:p>
        </w:tc>
        <w:tc>
          <w:tcPr>
            <w:tcW w:w="1327" w:type="pct"/>
            <w:shd w:val="clear" w:color="auto" w:fill="auto"/>
          </w:tcPr>
          <w:p w:rsidR="00B1055F" w:rsidRPr="005675B0" w:rsidRDefault="00B1055F" w:rsidP="00A53ED4">
            <w:pPr>
              <w:pStyle w:val="ENoteTableText"/>
            </w:pPr>
            <w:r w:rsidRPr="005675B0">
              <w:rPr>
                <w:szCs w:val="16"/>
              </w:rPr>
              <w:t>9</w:t>
            </w:r>
            <w:r w:rsidR="005675B0">
              <w:rPr>
                <w:szCs w:val="16"/>
              </w:rPr>
              <w:t> </w:t>
            </w:r>
            <w:r w:rsidRPr="005675B0">
              <w:rPr>
                <w:szCs w:val="16"/>
              </w:rPr>
              <w:t>July 2004</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397, </w:t>
            </w:r>
            <w:r w:rsidR="00B1055F" w:rsidRPr="005675B0">
              <w:rPr>
                <w:szCs w:val="16"/>
              </w:rPr>
              <w:t>2004</w:t>
            </w:r>
          </w:p>
        </w:tc>
        <w:tc>
          <w:tcPr>
            <w:tcW w:w="1206" w:type="pct"/>
            <w:shd w:val="clear" w:color="auto" w:fill="auto"/>
          </w:tcPr>
          <w:p w:rsidR="00B1055F" w:rsidRPr="005675B0" w:rsidRDefault="00B1055F" w:rsidP="00A53ED4">
            <w:pPr>
              <w:pStyle w:val="ENoteTableText"/>
            </w:pPr>
            <w:r w:rsidRPr="005675B0">
              <w:rPr>
                <w:szCs w:val="16"/>
              </w:rPr>
              <w:t>23 Dec 2004</w:t>
            </w:r>
          </w:p>
        </w:tc>
        <w:tc>
          <w:tcPr>
            <w:tcW w:w="1327" w:type="pct"/>
            <w:shd w:val="clear" w:color="auto" w:fill="auto"/>
          </w:tcPr>
          <w:p w:rsidR="00B1055F" w:rsidRPr="005675B0" w:rsidRDefault="00B1055F" w:rsidP="00F85236">
            <w:pPr>
              <w:pStyle w:val="ENoteTableText"/>
            </w:pPr>
            <w:r w:rsidRPr="005675B0">
              <w:rPr>
                <w:szCs w:val="16"/>
              </w:rPr>
              <w:t>r 1–3 and Sch 1:</w:t>
            </w:r>
            <w:r w:rsidR="00F85236" w:rsidRPr="005675B0">
              <w:rPr>
                <w:szCs w:val="16"/>
              </w:rPr>
              <w:t xml:space="preserve"> </w:t>
            </w:r>
            <w:r w:rsidRPr="005675B0">
              <w:rPr>
                <w:szCs w:val="16"/>
              </w:rPr>
              <w:t>23 Dec 2004</w:t>
            </w:r>
            <w:r w:rsidR="00F85236" w:rsidRPr="005675B0">
              <w:rPr>
                <w:szCs w:val="16"/>
              </w:rPr>
              <w:t xml:space="preserve"> (r 2)</w:t>
            </w:r>
            <w:r w:rsidRPr="005675B0">
              <w:rPr>
                <w:szCs w:val="16"/>
              </w:rPr>
              <w:br/>
              <w:t>Remainder: 1 Jan 2005</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101, </w:t>
            </w:r>
            <w:r w:rsidR="00B1055F" w:rsidRPr="005675B0">
              <w:rPr>
                <w:szCs w:val="16"/>
              </w:rPr>
              <w:t>2006</w:t>
            </w:r>
          </w:p>
        </w:tc>
        <w:tc>
          <w:tcPr>
            <w:tcW w:w="1206" w:type="pct"/>
            <w:shd w:val="clear" w:color="auto" w:fill="auto"/>
          </w:tcPr>
          <w:p w:rsidR="00B1055F" w:rsidRPr="005675B0" w:rsidRDefault="00B1055F" w:rsidP="00A53ED4">
            <w:pPr>
              <w:pStyle w:val="ENoteTableText"/>
            </w:pPr>
            <w:r w:rsidRPr="005675B0">
              <w:rPr>
                <w:szCs w:val="16"/>
              </w:rPr>
              <w:t>10</w:t>
            </w:r>
            <w:r w:rsidR="005675B0">
              <w:rPr>
                <w:szCs w:val="16"/>
              </w:rPr>
              <w:t> </w:t>
            </w:r>
            <w:r w:rsidRPr="005675B0">
              <w:rPr>
                <w:szCs w:val="16"/>
              </w:rPr>
              <w:t>May 2006 (F2006L01443)</w:t>
            </w:r>
          </w:p>
        </w:tc>
        <w:tc>
          <w:tcPr>
            <w:tcW w:w="1327" w:type="pct"/>
            <w:shd w:val="clear" w:color="auto" w:fill="auto"/>
          </w:tcPr>
          <w:p w:rsidR="00B1055F" w:rsidRPr="005675B0" w:rsidRDefault="00B1055F" w:rsidP="00A53ED4">
            <w:pPr>
              <w:pStyle w:val="ENoteTableText"/>
            </w:pPr>
            <w:r w:rsidRPr="005675B0">
              <w:rPr>
                <w:szCs w:val="16"/>
              </w:rPr>
              <w:t>11</w:t>
            </w:r>
            <w:r w:rsidR="005675B0">
              <w:rPr>
                <w:szCs w:val="16"/>
              </w:rPr>
              <w:t> </w:t>
            </w:r>
            <w:r w:rsidRPr="005675B0">
              <w:rPr>
                <w:szCs w:val="16"/>
              </w:rPr>
              <w:t>May 2006</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119, </w:t>
            </w:r>
            <w:r w:rsidR="00B1055F" w:rsidRPr="005675B0">
              <w:rPr>
                <w:szCs w:val="16"/>
              </w:rPr>
              <w:t>2007</w:t>
            </w:r>
          </w:p>
        </w:tc>
        <w:tc>
          <w:tcPr>
            <w:tcW w:w="1206" w:type="pct"/>
            <w:shd w:val="clear" w:color="auto" w:fill="auto"/>
          </w:tcPr>
          <w:p w:rsidR="00B1055F" w:rsidRPr="005675B0" w:rsidRDefault="00B1055F" w:rsidP="00A53ED4">
            <w:pPr>
              <w:pStyle w:val="ENoteTableText"/>
            </w:pPr>
            <w:r w:rsidRPr="005675B0">
              <w:rPr>
                <w:szCs w:val="16"/>
              </w:rPr>
              <w:t>14</w:t>
            </w:r>
            <w:r w:rsidR="005675B0">
              <w:rPr>
                <w:szCs w:val="16"/>
              </w:rPr>
              <w:t> </w:t>
            </w:r>
            <w:r w:rsidRPr="005675B0">
              <w:rPr>
                <w:szCs w:val="16"/>
              </w:rPr>
              <w:t>May 2007 (F2007L01269)</w:t>
            </w:r>
          </w:p>
        </w:tc>
        <w:tc>
          <w:tcPr>
            <w:tcW w:w="1327" w:type="pct"/>
            <w:shd w:val="clear" w:color="auto" w:fill="auto"/>
          </w:tcPr>
          <w:p w:rsidR="00B1055F" w:rsidRPr="005675B0" w:rsidRDefault="00B1055F" w:rsidP="00A53ED4">
            <w:pPr>
              <w:pStyle w:val="ENoteTableText"/>
            </w:pPr>
            <w:r w:rsidRPr="005675B0">
              <w:rPr>
                <w:szCs w:val="16"/>
              </w:rPr>
              <w:t>15</w:t>
            </w:r>
            <w:r w:rsidR="005675B0">
              <w:rPr>
                <w:szCs w:val="16"/>
              </w:rPr>
              <w:t> </w:t>
            </w:r>
            <w:r w:rsidRPr="005675B0">
              <w:rPr>
                <w:szCs w:val="16"/>
              </w:rPr>
              <w:t>May 2007</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321, </w:t>
            </w:r>
            <w:r w:rsidR="00B1055F" w:rsidRPr="005675B0">
              <w:rPr>
                <w:szCs w:val="16"/>
              </w:rPr>
              <w:t>2007</w:t>
            </w:r>
          </w:p>
        </w:tc>
        <w:tc>
          <w:tcPr>
            <w:tcW w:w="1206" w:type="pct"/>
            <w:shd w:val="clear" w:color="auto" w:fill="auto"/>
          </w:tcPr>
          <w:p w:rsidR="00B1055F" w:rsidRPr="005675B0" w:rsidRDefault="00B1055F" w:rsidP="00A53ED4">
            <w:pPr>
              <w:pStyle w:val="ENoteTableText"/>
            </w:pPr>
            <w:r w:rsidRPr="005675B0">
              <w:rPr>
                <w:szCs w:val="16"/>
              </w:rPr>
              <w:t>28 Sept 2007 (F2007L03800)</w:t>
            </w:r>
          </w:p>
        </w:tc>
        <w:tc>
          <w:tcPr>
            <w:tcW w:w="1327" w:type="pct"/>
            <w:shd w:val="clear" w:color="auto" w:fill="auto"/>
          </w:tcPr>
          <w:p w:rsidR="00B1055F" w:rsidRPr="005675B0" w:rsidRDefault="00B1055F" w:rsidP="00A53ED4">
            <w:pPr>
              <w:pStyle w:val="ENoteTableText"/>
            </w:pPr>
            <w:r w:rsidRPr="005675B0">
              <w:rPr>
                <w:szCs w:val="16"/>
              </w:rPr>
              <w:t>29 Sept 2007</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322, </w:t>
            </w:r>
            <w:r w:rsidR="00B1055F" w:rsidRPr="005675B0">
              <w:rPr>
                <w:szCs w:val="16"/>
              </w:rPr>
              <w:t>2007</w:t>
            </w:r>
          </w:p>
        </w:tc>
        <w:tc>
          <w:tcPr>
            <w:tcW w:w="1206" w:type="pct"/>
            <w:shd w:val="clear" w:color="auto" w:fill="auto"/>
          </w:tcPr>
          <w:p w:rsidR="00B1055F" w:rsidRPr="005675B0" w:rsidRDefault="00B1055F" w:rsidP="00A53ED4">
            <w:pPr>
              <w:pStyle w:val="ENoteTableText"/>
            </w:pPr>
            <w:r w:rsidRPr="005675B0">
              <w:rPr>
                <w:szCs w:val="16"/>
              </w:rPr>
              <w:t>28 Sept 2007 (F2007L03845)</w:t>
            </w:r>
          </w:p>
        </w:tc>
        <w:tc>
          <w:tcPr>
            <w:tcW w:w="1327" w:type="pct"/>
            <w:shd w:val="clear" w:color="auto" w:fill="auto"/>
          </w:tcPr>
          <w:p w:rsidR="00B1055F" w:rsidRPr="005675B0" w:rsidRDefault="00B1055F" w:rsidP="00F85236">
            <w:pPr>
              <w:pStyle w:val="ENoteTableText"/>
            </w:pPr>
            <w:r w:rsidRPr="005675B0">
              <w:rPr>
                <w:szCs w:val="16"/>
              </w:rPr>
              <w:t>31 Dec 2007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86, </w:t>
            </w:r>
            <w:r w:rsidR="00B1055F" w:rsidRPr="005675B0">
              <w:rPr>
                <w:szCs w:val="16"/>
              </w:rPr>
              <w:t>2010</w:t>
            </w:r>
          </w:p>
        </w:tc>
        <w:tc>
          <w:tcPr>
            <w:tcW w:w="1206" w:type="pct"/>
            <w:shd w:val="clear" w:color="auto" w:fill="auto"/>
          </w:tcPr>
          <w:p w:rsidR="00B1055F" w:rsidRPr="005675B0" w:rsidRDefault="00B1055F" w:rsidP="00A53ED4">
            <w:pPr>
              <w:pStyle w:val="ENoteTableText"/>
            </w:pPr>
            <w:r w:rsidRPr="005675B0">
              <w:rPr>
                <w:szCs w:val="16"/>
              </w:rPr>
              <w:t>6</w:t>
            </w:r>
            <w:r w:rsidR="005675B0">
              <w:rPr>
                <w:szCs w:val="16"/>
              </w:rPr>
              <w:t> </w:t>
            </w:r>
            <w:r w:rsidRPr="005675B0">
              <w:rPr>
                <w:szCs w:val="16"/>
              </w:rPr>
              <w:t>May 2010 (F2010L01096)</w:t>
            </w:r>
          </w:p>
        </w:tc>
        <w:tc>
          <w:tcPr>
            <w:tcW w:w="1327" w:type="pct"/>
            <w:shd w:val="clear" w:color="auto" w:fill="auto"/>
          </w:tcPr>
          <w:p w:rsidR="00B1055F" w:rsidRPr="005675B0" w:rsidRDefault="00B1055F" w:rsidP="00F85236">
            <w:pPr>
              <w:pStyle w:val="ENoteTableText"/>
            </w:pPr>
            <w:r w:rsidRPr="005675B0">
              <w:rPr>
                <w:szCs w:val="16"/>
              </w:rPr>
              <w:t>6</w:t>
            </w:r>
            <w:r w:rsidR="005675B0">
              <w:rPr>
                <w:szCs w:val="16"/>
              </w:rPr>
              <w:t> </w:t>
            </w:r>
            <w:r w:rsidRPr="005675B0">
              <w:rPr>
                <w:szCs w:val="16"/>
              </w:rPr>
              <w:t>May 2010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C61D91">
            <w:pPr>
              <w:pStyle w:val="ENoteTableText"/>
            </w:pPr>
            <w:r w:rsidRPr="005675B0">
              <w:rPr>
                <w:szCs w:val="16"/>
              </w:rPr>
              <w:t xml:space="preserve">87, </w:t>
            </w:r>
            <w:r w:rsidR="00B1055F" w:rsidRPr="005675B0">
              <w:rPr>
                <w:szCs w:val="16"/>
              </w:rPr>
              <w:t>2010</w:t>
            </w:r>
          </w:p>
        </w:tc>
        <w:tc>
          <w:tcPr>
            <w:tcW w:w="1206" w:type="pct"/>
            <w:shd w:val="clear" w:color="auto" w:fill="auto"/>
          </w:tcPr>
          <w:p w:rsidR="00B1055F" w:rsidRPr="005675B0" w:rsidRDefault="00B1055F" w:rsidP="00A53ED4">
            <w:pPr>
              <w:pStyle w:val="ENoteTableText"/>
            </w:pPr>
            <w:r w:rsidRPr="005675B0">
              <w:rPr>
                <w:szCs w:val="16"/>
              </w:rPr>
              <w:t>10</w:t>
            </w:r>
            <w:r w:rsidR="005675B0">
              <w:rPr>
                <w:szCs w:val="16"/>
              </w:rPr>
              <w:t> </w:t>
            </w:r>
            <w:r w:rsidRPr="005675B0">
              <w:rPr>
                <w:szCs w:val="16"/>
              </w:rPr>
              <w:t>May 2010 (F2010L01197)</w:t>
            </w:r>
          </w:p>
        </w:tc>
        <w:tc>
          <w:tcPr>
            <w:tcW w:w="1327" w:type="pct"/>
            <w:shd w:val="clear" w:color="auto" w:fill="auto"/>
          </w:tcPr>
          <w:p w:rsidR="00B1055F" w:rsidRPr="005675B0" w:rsidRDefault="00B1055F" w:rsidP="00A53ED4">
            <w:pPr>
              <w:pStyle w:val="ENoteTableText"/>
            </w:pPr>
            <w:r w:rsidRPr="005675B0">
              <w:rPr>
                <w:szCs w:val="16"/>
              </w:rPr>
              <w:t>1 Jan 2011</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953428">
            <w:pPr>
              <w:pStyle w:val="ENoteTableText"/>
            </w:pPr>
            <w:r w:rsidRPr="005675B0">
              <w:rPr>
                <w:szCs w:val="16"/>
              </w:rPr>
              <w:t xml:space="preserve">183, </w:t>
            </w:r>
            <w:r w:rsidR="00B1055F" w:rsidRPr="005675B0">
              <w:rPr>
                <w:szCs w:val="16"/>
              </w:rPr>
              <w:t>2010</w:t>
            </w:r>
          </w:p>
        </w:tc>
        <w:tc>
          <w:tcPr>
            <w:tcW w:w="1206" w:type="pct"/>
            <w:shd w:val="clear" w:color="auto" w:fill="auto"/>
          </w:tcPr>
          <w:p w:rsidR="00B1055F" w:rsidRPr="005675B0" w:rsidRDefault="00B1055F" w:rsidP="00A53ED4">
            <w:pPr>
              <w:pStyle w:val="ENoteTableText"/>
            </w:pPr>
            <w:r w:rsidRPr="005675B0">
              <w:rPr>
                <w:szCs w:val="16"/>
              </w:rPr>
              <w:t>30</w:t>
            </w:r>
            <w:r w:rsidR="005675B0">
              <w:rPr>
                <w:szCs w:val="16"/>
              </w:rPr>
              <w:t> </w:t>
            </w:r>
            <w:r w:rsidRPr="005675B0">
              <w:rPr>
                <w:szCs w:val="16"/>
              </w:rPr>
              <w:t>June 2010 (F2010L01801)</w:t>
            </w:r>
          </w:p>
        </w:tc>
        <w:tc>
          <w:tcPr>
            <w:tcW w:w="1327" w:type="pct"/>
            <w:shd w:val="clear" w:color="auto" w:fill="auto"/>
          </w:tcPr>
          <w:p w:rsidR="00B1055F" w:rsidRPr="005675B0" w:rsidRDefault="00B1055F" w:rsidP="002234A8">
            <w:pPr>
              <w:pStyle w:val="ENoteTableText"/>
            </w:pPr>
            <w:r w:rsidRPr="005675B0">
              <w:rPr>
                <w:szCs w:val="16"/>
              </w:rPr>
              <w:t>28</w:t>
            </w:r>
            <w:r w:rsidR="005675B0">
              <w:rPr>
                <w:szCs w:val="16"/>
              </w:rPr>
              <w:t> </w:t>
            </w:r>
            <w:r w:rsidRPr="005675B0">
              <w:rPr>
                <w:szCs w:val="16"/>
              </w:rPr>
              <w:t>June 2010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953428">
            <w:pPr>
              <w:pStyle w:val="ENoteTableText"/>
            </w:pPr>
            <w:r w:rsidRPr="005675B0">
              <w:rPr>
                <w:szCs w:val="16"/>
              </w:rPr>
              <w:t xml:space="preserve">278, </w:t>
            </w:r>
            <w:r w:rsidR="00B1055F" w:rsidRPr="005675B0">
              <w:rPr>
                <w:szCs w:val="16"/>
              </w:rPr>
              <w:t>2010</w:t>
            </w:r>
          </w:p>
        </w:tc>
        <w:tc>
          <w:tcPr>
            <w:tcW w:w="1206" w:type="pct"/>
            <w:shd w:val="clear" w:color="auto" w:fill="auto"/>
          </w:tcPr>
          <w:p w:rsidR="00B1055F" w:rsidRPr="005675B0" w:rsidRDefault="00B1055F" w:rsidP="00A53ED4">
            <w:pPr>
              <w:pStyle w:val="ENoteTableText"/>
            </w:pPr>
            <w:r w:rsidRPr="005675B0">
              <w:rPr>
                <w:szCs w:val="16"/>
              </w:rPr>
              <w:t>18 Nov 2010 (F2010L03015)</w:t>
            </w:r>
          </w:p>
        </w:tc>
        <w:tc>
          <w:tcPr>
            <w:tcW w:w="1327" w:type="pct"/>
            <w:shd w:val="clear" w:color="auto" w:fill="auto"/>
          </w:tcPr>
          <w:p w:rsidR="00B1055F" w:rsidRPr="005675B0" w:rsidRDefault="00B1055F" w:rsidP="00A53ED4">
            <w:pPr>
              <w:pStyle w:val="ENoteTableText"/>
            </w:pPr>
            <w:r w:rsidRPr="005675B0">
              <w:rPr>
                <w:szCs w:val="16"/>
              </w:rPr>
              <w:t>1 Jan 2011</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953428">
            <w:pPr>
              <w:pStyle w:val="ENoteTableText"/>
            </w:pPr>
            <w:r w:rsidRPr="005675B0">
              <w:rPr>
                <w:szCs w:val="16"/>
              </w:rPr>
              <w:t xml:space="preserve">331, </w:t>
            </w:r>
            <w:r w:rsidR="00B1055F" w:rsidRPr="005675B0">
              <w:rPr>
                <w:szCs w:val="16"/>
              </w:rPr>
              <w:t>2010</w:t>
            </w:r>
          </w:p>
        </w:tc>
        <w:tc>
          <w:tcPr>
            <w:tcW w:w="1206" w:type="pct"/>
            <w:shd w:val="clear" w:color="auto" w:fill="auto"/>
          </w:tcPr>
          <w:p w:rsidR="00B1055F" w:rsidRPr="005675B0" w:rsidRDefault="00B1055F" w:rsidP="00A53ED4">
            <w:pPr>
              <w:pStyle w:val="ENoteTableText"/>
            </w:pPr>
            <w:r w:rsidRPr="005675B0">
              <w:rPr>
                <w:szCs w:val="16"/>
              </w:rPr>
              <w:t>10 Dec 2010 (F2010L03187)</w:t>
            </w:r>
          </w:p>
        </w:tc>
        <w:tc>
          <w:tcPr>
            <w:tcW w:w="1327" w:type="pct"/>
            <w:shd w:val="clear" w:color="auto" w:fill="auto"/>
          </w:tcPr>
          <w:p w:rsidR="00B1055F" w:rsidRPr="005675B0" w:rsidRDefault="00B1055F" w:rsidP="004B5687">
            <w:pPr>
              <w:pStyle w:val="ENoteTableText"/>
            </w:pPr>
            <w:r w:rsidRPr="005675B0">
              <w:rPr>
                <w:szCs w:val="16"/>
              </w:rPr>
              <w:t>13 Dec 2010 (r 2 and F2010L03188)</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953428">
            <w:pPr>
              <w:pStyle w:val="ENoteTableText"/>
            </w:pPr>
            <w:r w:rsidRPr="005675B0">
              <w:rPr>
                <w:szCs w:val="16"/>
              </w:rPr>
              <w:t xml:space="preserve">193, </w:t>
            </w:r>
            <w:r w:rsidR="00B1055F" w:rsidRPr="005675B0">
              <w:rPr>
                <w:szCs w:val="16"/>
              </w:rPr>
              <w:t>2011</w:t>
            </w:r>
          </w:p>
        </w:tc>
        <w:tc>
          <w:tcPr>
            <w:tcW w:w="1206" w:type="pct"/>
            <w:shd w:val="clear" w:color="auto" w:fill="auto"/>
          </w:tcPr>
          <w:p w:rsidR="00B1055F" w:rsidRPr="005675B0" w:rsidRDefault="00B1055F" w:rsidP="00A53ED4">
            <w:pPr>
              <w:pStyle w:val="ENoteTableText"/>
            </w:pPr>
            <w:r w:rsidRPr="005675B0">
              <w:rPr>
                <w:szCs w:val="16"/>
              </w:rPr>
              <w:t>21 Oct 2011 (F2011L02103)</w:t>
            </w:r>
          </w:p>
        </w:tc>
        <w:tc>
          <w:tcPr>
            <w:tcW w:w="1327" w:type="pct"/>
            <w:shd w:val="clear" w:color="auto" w:fill="auto"/>
          </w:tcPr>
          <w:p w:rsidR="00B1055F" w:rsidRPr="005675B0" w:rsidRDefault="00B1055F" w:rsidP="00A53ED4">
            <w:pPr>
              <w:pStyle w:val="ENoteTableText"/>
            </w:pPr>
            <w:r w:rsidRPr="005675B0">
              <w:rPr>
                <w:szCs w:val="16"/>
              </w:rPr>
              <w:t>31 Oct 2011</w:t>
            </w:r>
            <w:r w:rsidR="004B5687" w:rsidRPr="005675B0">
              <w:rPr>
                <w:szCs w:val="16"/>
              </w:rPr>
              <w:t xml:space="preserve"> (r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953428">
            <w:pPr>
              <w:pStyle w:val="ENoteTableText"/>
            </w:pPr>
            <w:r w:rsidRPr="005675B0">
              <w:rPr>
                <w:szCs w:val="16"/>
              </w:rPr>
              <w:t xml:space="preserve">69, </w:t>
            </w:r>
            <w:r w:rsidR="00B1055F" w:rsidRPr="005675B0">
              <w:rPr>
                <w:szCs w:val="16"/>
              </w:rPr>
              <w:t>2012</w:t>
            </w:r>
          </w:p>
        </w:tc>
        <w:tc>
          <w:tcPr>
            <w:tcW w:w="1206" w:type="pct"/>
            <w:shd w:val="clear" w:color="auto" w:fill="auto"/>
          </w:tcPr>
          <w:p w:rsidR="00B1055F" w:rsidRPr="005675B0" w:rsidRDefault="00B1055F" w:rsidP="00A53ED4">
            <w:pPr>
              <w:pStyle w:val="ENoteTableText"/>
            </w:pPr>
            <w:r w:rsidRPr="005675B0">
              <w:rPr>
                <w:szCs w:val="16"/>
              </w:rPr>
              <w:t>11</w:t>
            </w:r>
            <w:r w:rsidR="005675B0">
              <w:rPr>
                <w:szCs w:val="16"/>
              </w:rPr>
              <w:t> </w:t>
            </w:r>
            <w:r w:rsidRPr="005675B0">
              <w:rPr>
                <w:szCs w:val="16"/>
              </w:rPr>
              <w:t>May 2012 (F2012L01026)</w:t>
            </w:r>
          </w:p>
        </w:tc>
        <w:tc>
          <w:tcPr>
            <w:tcW w:w="1327" w:type="pct"/>
            <w:shd w:val="clear" w:color="auto" w:fill="auto"/>
          </w:tcPr>
          <w:p w:rsidR="00B1055F" w:rsidRPr="005675B0" w:rsidRDefault="00B1055F" w:rsidP="00A53ED4">
            <w:pPr>
              <w:pStyle w:val="ENoteTableText"/>
            </w:pPr>
            <w:r w:rsidRPr="005675B0">
              <w:rPr>
                <w:szCs w:val="16"/>
              </w:rPr>
              <w:t>12</w:t>
            </w:r>
            <w:r w:rsidR="005675B0">
              <w:rPr>
                <w:szCs w:val="16"/>
              </w:rPr>
              <w:t> </w:t>
            </w:r>
            <w:r w:rsidRPr="005675B0">
              <w:rPr>
                <w:szCs w:val="16"/>
              </w:rPr>
              <w:t>May 2012</w:t>
            </w:r>
            <w:r w:rsidR="004B5687" w:rsidRPr="005675B0">
              <w:rPr>
                <w:szCs w:val="16"/>
              </w:rPr>
              <w:t xml:space="preserve"> (</w:t>
            </w:r>
            <w:r w:rsidR="00395BF6" w:rsidRPr="005675B0">
              <w:rPr>
                <w:szCs w:val="16"/>
              </w:rPr>
              <w:t>s</w:t>
            </w:r>
            <w:r w:rsidR="004B5687" w:rsidRPr="005675B0">
              <w:rPr>
                <w:szCs w:val="16"/>
              </w:rPr>
              <w:t xml:space="preserve">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953428">
            <w:pPr>
              <w:pStyle w:val="ENoteTableText"/>
            </w:pPr>
            <w:r w:rsidRPr="005675B0">
              <w:rPr>
                <w:szCs w:val="16"/>
              </w:rPr>
              <w:t xml:space="preserve">247, </w:t>
            </w:r>
            <w:r w:rsidR="00B1055F" w:rsidRPr="005675B0">
              <w:rPr>
                <w:szCs w:val="16"/>
              </w:rPr>
              <w:t>2012</w:t>
            </w:r>
          </w:p>
        </w:tc>
        <w:tc>
          <w:tcPr>
            <w:tcW w:w="1206" w:type="pct"/>
            <w:shd w:val="clear" w:color="auto" w:fill="auto"/>
          </w:tcPr>
          <w:p w:rsidR="00B1055F" w:rsidRPr="005675B0" w:rsidRDefault="00B1055F" w:rsidP="00A53ED4">
            <w:pPr>
              <w:pStyle w:val="ENoteTableText"/>
            </w:pPr>
            <w:r w:rsidRPr="005675B0">
              <w:rPr>
                <w:szCs w:val="16"/>
              </w:rPr>
              <w:t>30 Oct 2012 (F2012L02102)</w:t>
            </w:r>
          </w:p>
        </w:tc>
        <w:tc>
          <w:tcPr>
            <w:tcW w:w="1327" w:type="pct"/>
            <w:shd w:val="clear" w:color="auto" w:fill="auto"/>
          </w:tcPr>
          <w:p w:rsidR="00B1055F" w:rsidRPr="005675B0" w:rsidRDefault="00B1055F" w:rsidP="00A53ED4">
            <w:pPr>
              <w:pStyle w:val="ENoteTableText"/>
            </w:pPr>
            <w:r w:rsidRPr="005675B0">
              <w:rPr>
                <w:szCs w:val="16"/>
              </w:rPr>
              <w:t xml:space="preserve">1 Nov 2012 </w:t>
            </w:r>
            <w:r w:rsidR="004B5687" w:rsidRPr="005675B0">
              <w:rPr>
                <w:szCs w:val="16"/>
              </w:rPr>
              <w:t>(</w:t>
            </w:r>
            <w:r w:rsidR="00395BF6" w:rsidRPr="005675B0">
              <w:rPr>
                <w:szCs w:val="16"/>
              </w:rPr>
              <w:t>s</w:t>
            </w:r>
            <w:r w:rsidR="004B5687" w:rsidRPr="005675B0">
              <w:rPr>
                <w:szCs w:val="16"/>
              </w:rPr>
              <w:t xml:space="preserve">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6160CF">
            <w:pPr>
              <w:pStyle w:val="ENoteTableText"/>
            </w:pPr>
            <w:r w:rsidRPr="005675B0">
              <w:rPr>
                <w:szCs w:val="16"/>
              </w:rPr>
              <w:t>25</w:t>
            </w:r>
            <w:r w:rsidR="00953428" w:rsidRPr="005675B0">
              <w:rPr>
                <w:szCs w:val="16"/>
              </w:rPr>
              <w:t xml:space="preserve">, </w:t>
            </w:r>
            <w:r w:rsidR="00B1055F" w:rsidRPr="005675B0">
              <w:rPr>
                <w:szCs w:val="16"/>
              </w:rPr>
              <w:t>2013</w:t>
            </w:r>
          </w:p>
        </w:tc>
        <w:tc>
          <w:tcPr>
            <w:tcW w:w="1206" w:type="pct"/>
            <w:shd w:val="clear" w:color="auto" w:fill="auto"/>
          </w:tcPr>
          <w:p w:rsidR="00B1055F" w:rsidRPr="005675B0" w:rsidRDefault="00B1055F" w:rsidP="00A53ED4">
            <w:pPr>
              <w:pStyle w:val="ENoteTableText"/>
            </w:pPr>
            <w:r w:rsidRPr="005675B0">
              <w:rPr>
                <w:szCs w:val="16"/>
              </w:rPr>
              <w:t>1 Mar 2013 (F2013L00385)</w:t>
            </w:r>
          </w:p>
        </w:tc>
        <w:tc>
          <w:tcPr>
            <w:tcW w:w="1327" w:type="pct"/>
            <w:shd w:val="clear" w:color="auto" w:fill="auto"/>
          </w:tcPr>
          <w:p w:rsidR="00B1055F" w:rsidRPr="005675B0" w:rsidRDefault="00B1055F" w:rsidP="00A53ED4">
            <w:pPr>
              <w:pStyle w:val="ENoteTableText"/>
            </w:pPr>
            <w:r w:rsidRPr="005675B0">
              <w:rPr>
                <w:szCs w:val="16"/>
              </w:rPr>
              <w:t>1 Mar 2013</w:t>
            </w:r>
            <w:r w:rsidR="002234A8" w:rsidRPr="005675B0">
              <w:rPr>
                <w:szCs w:val="16"/>
              </w:rPr>
              <w:t xml:space="preserve"> </w:t>
            </w:r>
            <w:r w:rsidR="004B5687" w:rsidRPr="005675B0">
              <w:rPr>
                <w:szCs w:val="16"/>
              </w:rPr>
              <w:t>(</w:t>
            </w:r>
            <w:r w:rsidR="00395BF6" w:rsidRPr="005675B0">
              <w:rPr>
                <w:szCs w:val="16"/>
              </w:rPr>
              <w:t>s</w:t>
            </w:r>
            <w:r w:rsidR="004B5687" w:rsidRPr="005675B0">
              <w:rPr>
                <w:szCs w:val="16"/>
              </w:rPr>
              <w:t xml:space="preserve"> 2)</w:t>
            </w:r>
          </w:p>
        </w:tc>
        <w:tc>
          <w:tcPr>
            <w:tcW w:w="1129" w:type="pct"/>
            <w:shd w:val="clear" w:color="auto" w:fill="auto"/>
          </w:tcPr>
          <w:p w:rsidR="00B1055F" w:rsidRPr="005675B0" w:rsidRDefault="00B1055F" w:rsidP="00A53ED4">
            <w:pPr>
              <w:pStyle w:val="ENoteTableText"/>
            </w:pPr>
            <w:r w:rsidRPr="005675B0">
              <w:rPr>
                <w:szCs w:val="16"/>
              </w:rPr>
              <w:t>—</w:t>
            </w:r>
          </w:p>
        </w:tc>
      </w:tr>
      <w:tr w:rsidR="00B1055F" w:rsidRPr="005675B0" w:rsidTr="002D6144">
        <w:tc>
          <w:tcPr>
            <w:tcW w:w="1338" w:type="pct"/>
            <w:shd w:val="clear" w:color="auto" w:fill="auto"/>
          </w:tcPr>
          <w:p w:rsidR="00B1055F" w:rsidRPr="005675B0" w:rsidRDefault="00B1055F" w:rsidP="00ED39D7">
            <w:pPr>
              <w:pStyle w:val="ENoteTableText"/>
              <w:rPr>
                <w:szCs w:val="16"/>
              </w:rPr>
            </w:pPr>
            <w:r w:rsidRPr="005675B0">
              <w:rPr>
                <w:szCs w:val="16"/>
              </w:rPr>
              <w:t>152, 2013</w:t>
            </w:r>
          </w:p>
        </w:tc>
        <w:tc>
          <w:tcPr>
            <w:tcW w:w="1206" w:type="pct"/>
            <w:shd w:val="clear" w:color="auto" w:fill="auto"/>
          </w:tcPr>
          <w:p w:rsidR="00B1055F" w:rsidRPr="005675B0" w:rsidRDefault="00B1055F" w:rsidP="00A53ED4">
            <w:pPr>
              <w:pStyle w:val="ENoteTableText"/>
              <w:rPr>
                <w:szCs w:val="16"/>
              </w:rPr>
            </w:pPr>
            <w:r w:rsidRPr="005675B0">
              <w:rPr>
                <w:szCs w:val="16"/>
              </w:rPr>
              <w:t>28</w:t>
            </w:r>
            <w:r w:rsidR="005675B0">
              <w:rPr>
                <w:szCs w:val="16"/>
              </w:rPr>
              <w:t> </w:t>
            </w:r>
            <w:r w:rsidRPr="005675B0">
              <w:rPr>
                <w:szCs w:val="16"/>
              </w:rPr>
              <w:t>June 2013 (F2013L01264)</w:t>
            </w:r>
          </w:p>
        </w:tc>
        <w:tc>
          <w:tcPr>
            <w:tcW w:w="1327" w:type="pct"/>
            <w:shd w:val="clear" w:color="auto" w:fill="auto"/>
          </w:tcPr>
          <w:p w:rsidR="00B1055F" w:rsidRPr="005675B0" w:rsidRDefault="00B1055F" w:rsidP="002234A8">
            <w:pPr>
              <w:pStyle w:val="ENoteTableText"/>
              <w:rPr>
                <w:szCs w:val="16"/>
              </w:rPr>
            </w:pPr>
            <w:r w:rsidRPr="005675B0">
              <w:rPr>
                <w:szCs w:val="16"/>
              </w:rPr>
              <w:t>Sch 1 (items</w:t>
            </w:r>
            <w:r w:rsidR="005675B0">
              <w:rPr>
                <w:szCs w:val="16"/>
              </w:rPr>
              <w:t> </w:t>
            </w:r>
            <w:r w:rsidRPr="005675B0">
              <w:rPr>
                <w:szCs w:val="16"/>
              </w:rPr>
              <w:t>1–4): 1</w:t>
            </w:r>
            <w:r w:rsidR="005675B0">
              <w:rPr>
                <w:szCs w:val="16"/>
              </w:rPr>
              <w:t> </w:t>
            </w:r>
            <w:r w:rsidRPr="005675B0">
              <w:rPr>
                <w:szCs w:val="16"/>
              </w:rPr>
              <w:t>July 2013</w:t>
            </w:r>
            <w:r w:rsidR="002234A8" w:rsidRPr="005675B0">
              <w:rPr>
                <w:szCs w:val="16"/>
              </w:rPr>
              <w:t xml:space="preserve"> (s 2)</w:t>
            </w:r>
          </w:p>
        </w:tc>
        <w:tc>
          <w:tcPr>
            <w:tcW w:w="1129" w:type="pct"/>
            <w:shd w:val="clear" w:color="auto" w:fill="auto"/>
          </w:tcPr>
          <w:p w:rsidR="00B1055F" w:rsidRPr="005675B0" w:rsidRDefault="00B1055F" w:rsidP="00A53ED4">
            <w:pPr>
              <w:pStyle w:val="ENoteTableText"/>
              <w:rPr>
                <w:szCs w:val="16"/>
              </w:rPr>
            </w:pPr>
            <w:r w:rsidRPr="005675B0">
              <w:rPr>
                <w:szCs w:val="16"/>
              </w:rPr>
              <w:t>—</w:t>
            </w:r>
          </w:p>
        </w:tc>
      </w:tr>
      <w:tr w:rsidR="00B1055F" w:rsidRPr="005675B0" w:rsidTr="002D6144">
        <w:tc>
          <w:tcPr>
            <w:tcW w:w="1338" w:type="pct"/>
            <w:shd w:val="clear" w:color="auto" w:fill="auto"/>
          </w:tcPr>
          <w:p w:rsidR="00B1055F" w:rsidRPr="005675B0" w:rsidRDefault="00B1055F" w:rsidP="00ED39D7">
            <w:pPr>
              <w:pStyle w:val="ENoteTableText"/>
              <w:rPr>
                <w:szCs w:val="16"/>
              </w:rPr>
            </w:pPr>
            <w:r w:rsidRPr="005675B0">
              <w:rPr>
                <w:szCs w:val="16"/>
              </w:rPr>
              <w:lastRenderedPageBreak/>
              <w:t>192, 2013</w:t>
            </w:r>
          </w:p>
        </w:tc>
        <w:tc>
          <w:tcPr>
            <w:tcW w:w="1206" w:type="pct"/>
            <w:shd w:val="clear" w:color="auto" w:fill="auto"/>
          </w:tcPr>
          <w:p w:rsidR="00B1055F" w:rsidRPr="005675B0" w:rsidRDefault="00B1055F" w:rsidP="00D86D2C">
            <w:pPr>
              <w:pStyle w:val="ENoteTableText"/>
              <w:rPr>
                <w:szCs w:val="16"/>
              </w:rPr>
            </w:pPr>
            <w:r w:rsidRPr="005675B0">
              <w:rPr>
                <w:szCs w:val="16"/>
              </w:rPr>
              <w:t>25</w:t>
            </w:r>
            <w:r w:rsidR="005675B0">
              <w:rPr>
                <w:szCs w:val="16"/>
              </w:rPr>
              <w:t> </w:t>
            </w:r>
            <w:r w:rsidRPr="005675B0">
              <w:rPr>
                <w:szCs w:val="16"/>
              </w:rPr>
              <w:t>July 2013 (F2013L01431)</w:t>
            </w:r>
          </w:p>
        </w:tc>
        <w:tc>
          <w:tcPr>
            <w:tcW w:w="1327" w:type="pct"/>
            <w:shd w:val="clear" w:color="auto" w:fill="auto"/>
          </w:tcPr>
          <w:p w:rsidR="00B1055F" w:rsidRPr="005675B0" w:rsidRDefault="00B1055F" w:rsidP="00646F2F">
            <w:pPr>
              <w:pStyle w:val="ENoteTableText"/>
              <w:rPr>
                <w:szCs w:val="16"/>
              </w:rPr>
            </w:pPr>
            <w:r w:rsidRPr="005675B0">
              <w:rPr>
                <w:szCs w:val="16"/>
              </w:rPr>
              <w:t>Sch 1 (items</w:t>
            </w:r>
            <w:r w:rsidR="005675B0">
              <w:rPr>
                <w:szCs w:val="16"/>
              </w:rPr>
              <w:t> </w:t>
            </w:r>
            <w:r w:rsidRPr="005675B0">
              <w:rPr>
                <w:szCs w:val="16"/>
              </w:rPr>
              <w:t>1–5): 26</w:t>
            </w:r>
            <w:r w:rsidR="005675B0">
              <w:rPr>
                <w:szCs w:val="16"/>
              </w:rPr>
              <w:t> </w:t>
            </w:r>
            <w:r w:rsidRPr="005675B0">
              <w:rPr>
                <w:szCs w:val="16"/>
              </w:rPr>
              <w:t>July 2013</w:t>
            </w:r>
            <w:r w:rsidR="002234A8" w:rsidRPr="005675B0">
              <w:rPr>
                <w:szCs w:val="16"/>
              </w:rPr>
              <w:t xml:space="preserve"> (s 2)</w:t>
            </w:r>
          </w:p>
        </w:tc>
        <w:tc>
          <w:tcPr>
            <w:tcW w:w="1129" w:type="pct"/>
            <w:shd w:val="clear" w:color="auto" w:fill="auto"/>
          </w:tcPr>
          <w:p w:rsidR="00B1055F" w:rsidRPr="005675B0" w:rsidRDefault="00B1055F" w:rsidP="00A53ED4">
            <w:pPr>
              <w:pStyle w:val="ENoteTableText"/>
              <w:rPr>
                <w:szCs w:val="16"/>
              </w:rPr>
            </w:pPr>
            <w:r w:rsidRPr="005675B0">
              <w:rPr>
                <w:szCs w:val="16"/>
              </w:rPr>
              <w:t>—</w:t>
            </w:r>
          </w:p>
        </w:tc>
      </w:tr>
      <w:tr w:rsidR="00B1055F" w:rsidRPr="005675B0" w:rsidTr="002D6144">
        <w:tc>
          <w:tcPr>
            <w:tcW w:w="1338" w:type="pct"/>
            <w:shd w:val="clear" w:color="auto" w:fill="auto"/>
          </w:tcPr>
          <w:p w:rsidR="00B1055F" w:rsidRPr="005675B0" w:rsidRDefault="00B1055F" w:rsidP="00ED39D7">
            <w:pPr>
              <w:pStyle w:val="ENoteTableText"/>
              <w:rPr>
                <w:szCs w:val="16"/>
              </w:rPr>
            </w:pPr>
            <w:r w:rsidRPr="005675B0">
              <w:rPr>
                <w:szCs w:val="16"/>
              </w:rPr>
              <w:t>33, 2014</w:t>
            </w:r>
          </w:p>
        </w:tc>
        <w:tc>
          <w:tcPr>
            <w:tcW w:w="1206" w:type="pct"/>
            <w:shd w:val="clear" w:color="auto" w:fill="auto"/>
          </w:tcPr>
          <w:p w:rsidR="00B1055F" w:rsidRPr="005675B0" w:rsidRDefault="00B1055F" w:rsidP="00D86D2C">
            <w:pPr>
              <w:pStyle w:val="ENoteTableText"/>
              <w:rPr>
                <w:szCs w:val="16"/>
              </w:rPr>
            </w:pPr>
            <w:r w:rsidRPr="005675B0">
              <w:rPr>
                <w:szCs w:val="16"/>
              </w:rPr>
              <w:t>14 Mar 2014 (F2014L00261)</w:t>
            </w:r>
          </w:p>
        </w:tc>
        <w:tc>
          <w:tcPr>
            <w:tcW w:w="1327" w:type="pct"/>
            <w:shd w:val="clear" w:color="auto" w:fill="auto"/>
          </w:tcPr>
          <w:p w:rsidR="00B1055F" w:rsidRPr="005675B0" w:rsidRDefault="00B1055F" w:rsidP="002234A8">
            <w:pPr>
              <w:pStyle w:val="ENoteTableText"/>
              <w:rPr>
                <w:szCs w:val="16"/>
              </w:rPr>
            </w:pPr>
            <w:r w:rsidRPr="005675B0">
              <w:rPr>
                <w:szCs w:val="16"/>
              </w:rPr>
              <w:t>Sch 1 (item</w:t>
            </w:r>
            <w:r w:rsidR="005675B0">
              <w:rPr>
                <w:szCs w:val="16"/>
              </w:rPr>
              <w:t> </w:t>
            </w:r>
            <w:r w:rsidRPr="005675B0">
              <w:rPr>
                <w:szCs w:val="16"/>
              </w:rPr>
              <w:t>1) and Sch 3 (item</w:t>
            </w:r>
            <w:r w:rsidR="005675B0">
              <w:rPr>
                <w:szCs w:val="16"/>
              </w:rPr>
              <w:t> </w:t>
            </w:r>
            <w:r w:rsidRPr="005675B0">
              <w:rPr>
                <w:szCs w:val="16"/>
              </w:rPr>
              <w:t>1): 15 Mar 2014</w:t>
            </w:r>
            <w:r w:rsidR="002234A8" w:rsidRPr="005675B0">
              <w:rPr>
                <w:szCs w:val="16"/>
              </w:rPr>
              <w:t xml:space="preserve"> </w:t>
            </w:r>
            <w:r w:rsidR="002234A8" w:rsidRPr="005675B0">
              <w:rPr>
                <w:szCs w:val="16"/>
              </w:rPr>
              <w:br/>
              <w:t>(s 2)</w:t>
            </w:r>
          </w:p>
        </w:tc>
        <w:tc>
          <w:tcPr>
            <w:tcW w:w="1129" w:type="pct"/>
            <w:shd w:val="clear" w:color="auto" w:fill="auto"/>
          </w:tcPr>
          <w:p w:rsidR="00B1055F" w:rsidRPr="005675B0" w:rsidRDefault="00B1055F" w:rsidP="00A53ED4">
            <w:pPr>
              <w:pStyle w:val="ENoteTableText"/>
              <w:rPr>
                <w:szCs w:val="16"/>
              </w:rPr>
            </w:pPr>
            <w:r w:rsidRPr="005675B0">
              <w:rPr>
                <w:szCs w:val="16"/>
              </w:rPr>
              <w:t>—</w:t>
            </w:r>
          </w:p>
        </w:tc>
      </w:tr>
      <w:tr w:rsidR="00B1055F" w:rsidRPr="005675B0" w:rsidTr="002D6144">
        <w:tc>
          <w:tcPr>
            <w:tcW w:w="1338" w:type="pct"/>
            <w:shd w:val="clear" w:color="auto" w:fill="auto"/>
          </w:tcPr>
          <w:p w:rsidR="00B1055F" w:rsidRPr="005675B0" w:rsidRDefault="00B1055F" w:rsidP="00ED39D7">
            <w:pPr>
              <w:pStyle w:val="ENoteTableText"/>
              <w:rPr>
                <w:szCs w:val="16"/>
              </w:rPr>
            </w:pPr>
            <w:r w:rsidRPr="005675B0">
              <w:rPr>
                <w:szCs w:val="16"/>
              </w:rPr>
              <w:t>88, 2014</w:t>
            </w:r>
          </w:p>
        </w:tc>
        <w:tc>
          <w:tcPr>
            <w:tcW w:w="1206" w:type="pct"/>
            <w:shd w:val="clear" w:color="auto" w:fill="auto"/>
          </w:tcPr>
          <w:p w:rsidR="00B1055F" w:rsidRPr="005675B0" w:rsidRDefault="00B1055F" w:rsidP="001269AC">
            <w:pPr>
              <w:pStyle w:val="ENoteTableText"/>
              <w:rPr>
                <w:szCs w:val="16"/>
              </w:rPr>
            </w:pPr>
            <w:r w:rsidRPr="005675B0">
              <w:rPr>
                <w:szCs w:val="16"/>
              </w:rPr>
              <w:t>13</w:t>
            </w:r>
            <w:r w:rsidR="005675B0">
              <w:rPr>
                <w:szCs w:val="16"/>
              </w:rPr>
              <w:t> </w:t>
            </w:r>
            <w:r w:rsidRPr="005675B0">
              <w:rPr>
                <w:szCs w:val="16"/>
              </w:rPr>
              <w:t>June 2014 (F2014L00711)</w:t>
            </w:r>
          </w:p>
        </w:tc>
        <w:tc>
          <w:tcPr>
            <w:tcW w:w="1327" w:type="pct"/>
            <w:shd w:val="clear" w:color="auto" w:fill="auto"/>
          </w:tcPr>
          <w:p w:rsidR="00B1055F" w:rsidRPr="005675B0" w:rsidRDefault="00B1055F" w:rsidP="00C01A6F">
            <w:pPr>
              <w:pStyle w:val="ENoteTableText"/>
              <w:rPr>
                <w:szCs w:val="16"/>
              </w:rPr>
            </w:pPr>
            <w:r w:rsidRPr="005675B0">
              <w:rPr>
                <w:szCs w:val="16"/>
              </w:rPr>
              <w:t>Sch 3 (items</w:t>
            </w:r>
            <w:r w:rsidR="005675B0">
              <w:rPr>
                <w:szCs w:val="16"/>
              </w:rPr>
              <w:t> </w:t>
            </w:r>
            <w:r w:rsidRPr="005675B0">
              <w:rPr>
                <w:szCs w:val="16"/>
              </w:rPr>
              <w:t>1, 2): 14</w:t>
            </w:r>
            <w:r w:rsidR="005675B0">
              <w:rPr>
                <w:szCs w:val="16"/>
              </w:rPr>
              <w:t> </w:t>
            </w:r>
            <w:r w:rsidRPr="005675B0">
              <w:rPr>
                <w:szCs w:val="16"/>
              </w:rPr>
              <w:t>June 2014</w:t>
            </w:r>
            <w:r w:rsidR="002234A8" w:rsidRPr="005675B0">
              <w:rPr>
                <w:szCs w:val="16"/>
              </w:rPr>
              <w:t xml:space="preserve"> (s 2)</w:t>
            </w:r>
          </w:p>
        </w:tc>
        <w:tc>
          <w:tcPr>
            <w:tcW w:w="1129" w:type="pct"/>
            <w:shd w:val="clear" w:color="auto" w:fill="auto"/>
          </w:tcPr>
          <w:p w:rsidR="00B1055F" w:rsidRPr="005675B0" w:rsidRDefault="00B1055F" w:rsidP="00A53ED4">
            <w:pPr>
              <w:pStyle w:val="ENoteTableText"/>
              <w:rPr>
                <w:szCs w:val="16"/>
              </w:rPr>
            </w:pPr>
            <w:r w:rsidRPr="005675B0">
              <w:rPr>
                <w:szCs w:val="16"/>
              </w:rPr>
              <w:t>—</w:t>
            </w:r>
          </w:p>
        </w:tc>
      </w:tr>
      <w:tr w:rsidR="00B1055F" w:rsidRPr="005675B0" w:rsidTr="002D6144">
        <w:tc>
          <w:tcPr>
            <w:tcW w:w="1338" w:type="pct"/>
            <w:shd w:val="clear" w:color="auto" w:fill="auto"/>
          </w:tcPr>
          <w:p w:rsidR="00B1055F" w:rsidRPr="005675B0" w:rsidRDefault="00B1055F" w:rsidP="00ED39D7">
            <w:pPr>
              <w:pStyle w:val="ENoteTableText"/>
              <w:rPr>
                <w:szCs w:val="16"/>
              </w:rPr>
            </w:pPr>
            <w:r w:rsidRPr="005675B0">
              <w:rPr>
                <w:szCs w:val="16"/>
              </w:rPr>
              <w:t>185, 2014</w:t>
            </w:r>
          </w:p>
        </w:tc>
        <w:tc>
          <w:tcPr>
            <w:tcW w:w="1206" w:type="pct"/>
            <w:shd w:val="clear" w:color="auto" w:fill="auto"/>
          </w:tcPr>
          <w:p w:rsidR="00B1055F" w:rsidRPr="005675B0" w:rsidRDefault="00B1055F" w:rsidP="001269AC">
            <w:pPr>
              <w:pStyle w:val="ENoteTableText"/>
              <w:rPr>
                <w:szCs w:val="16"/>
              </w:rPr>
            </w:pPr>
            <w:r w:rsidRPr="005675B0">
              <w:rPr>
                <w:szCs w:val="16"/>
              </w:rPr>
              <w:t>1 Dec 2014 (F2014L01612)</w:t>
            </w:r>
          </w:p>
        </w:tc>
        <w:tc>
          <w:tcPr>
            <w:tcW w:w="1327" w:type="pct"/>
            <w:shd w:val="clear" w:color="auto" w:fill="auto"/>
          </w:tcPr>
          <w:p w:rsidR="00B1055F" w:rsidRPr="005675B0" w:rsidRDefault="00B1055F" w:rsidP="005C73E1">
            <w:pPr>
              <w:pStyle w:val="ENoteTableText"/>
              <w:rPr>
                <w:szCs w:val="16"/>
              </w:rPr>
            </w:pPr>
            <w:r w:rsidRPr="005675B0">
              <w:rPr>
                <w:szCs w:val="16"/>
              </w:rPr>
              <w:t>Sch</w:t>
            </w:r>
            <w:r w:rsidR="00C01A6F" w:rsidRPr="005675B0">
              <w:rPr>
                <w:szCs w:val="16"/>
              </w:rPr>
              <w:t> </w:t>
            </w:r>
            <w:r w:rsidRPr="005675B0">
              <w:rPr>
                <w:szCs w:val="16"/>
              </w:rPr>
              <w:t>1</w:t>
            </w:r>
            <w:r w:rsidR="00C01A6F" w:rsidRPr="005675B0">
              <w:rPr>
                <w:szCs w:val="16"/>
              </w:rPr>
              <w:t xml:space="preserve"> </w:t>
            </w:r>
            <w:r w:rsidRPr="005675B0">
              <w:rPr>
                <w:szCs w:val="16"/>
              </w:rPr>
              <w:t>(item</w:t>
            </w:r>
            <w:r w:rsidR="005675B0">
              <w:rPr>
                <w:szCs w:val="16"/>
              </w:rPr>
              <w:t> </w:t>
            </w:r>
            <w:r w:rsidRPr="005675B0">
              <w:rPr>
                <w:szCs w:val="16"/>
              </w:rPr>
              <w:t>1): 1 Dec 2014 (s 2</w:t>
            </w:r>
            <w:r w:rsidR="004B5687" w:rsidRPr="005675B0">
              <w:rPr>
                <w:szCs w:val="16"/>
              </w:rPr>
              <w:t xml:space="preserve"> item</w:t>
            </w:r>
            <w:r w:rsidR="005675B0">
              <w:rPr>
                <w:szCs w:val="16"/>
              </w:rPr>
              <w:t> </w:t>
            </w:r>
            <w:r w:rsidR="004B5687" w:rsidRPr="005675B0">
              <w:rPr>
                <w:szCs w:val="16"/>
              </w:rPr>
              <w:t>2</w:t>
            </w:r>
            <w:r w:rsidRPr="005675B0">
              <w:rPr>
                <w:szCs w:val="16"/>
              </w:rPr>
              <w:t>)</w:t>
            </w:r>
          </w:p>
        </w:tc>
        <w:tc>
          <w:tcPr>
            <w:tcW w:w="1129" w:type="pct"/>
            <w:shd w:val="clear" w:color="auto" w:fill="auto"/>
          </w:tcPr>
          <w:p w:rsidR="00B1055F" w:rsidRPr="005675B0" w:rsidRDefault="00B1055F" w:rsidP="00A53ED4">
            <w:pPr>
              <w:pStyle w:val="ENoteTableText"/>
              <w:rPr>
                <w:szCs w:val="16"/>
              </w:rPr>
            </w:pPr>
            <w:r w:rsidRPr="005675B0">
              <w:rPr>
                <w:szCs w:val="16"/>
              </w:rPr>
              <w:t>—</w:t>
            </w:r>
          </w:p>
        </w:tc>
      </w:tr>
      <w:tr w:rsidR="002F63AF" w:rsidRPr="005675B0" w:rsidTr="002D6144">
        <w:tc>
          <w:tcPr>
            <w:tcW w:w="1338" w:type="pct"/>
            <w:tcBorders>
              <w:bottom w:val="single" w:sz="2" w:space="0" w:color="auto"/>
            </w:tcBorders>
            <w:shd w:val="clear" w:color="auto" w:fill="auto"/>
          </w:tcPr>
          <w:p w:rsidR="002F63AF" w:rsidRPr="005675B0" w:rsidRDefault="002F63AF" w:rsidP="00ED39D7">
            <w:pPr>
              <w:pStyle w:val="ENoteTableText"/>
              <w:rPr>
                <w:szCs w:val="16"/>
              </w:rPr>
            </w:pPr>
            <w:r w:rsidRPr="005675B0">
              <w:rPr>
                <w:szCs w:val="16"/>
              </w:rPr>
              <w:t>92, 2015</w:t>
            </w:r>
          </w:p>
        </w:tc>
        <w:tc>
          <w:tcPr>
            <w:tcW w:w="1206" w:type="pct"/>
            <w:tcBorders>
              <w:bottom w:val="single" w:sz="2" w:space="0" w:color="auto"/>
            </w:tcBorders>
            <w:shd w:val="clear" w:color="auto" w:fill="auto"/>
          </w:tcPr>
          <w:p w:rsidR="002F63AF" w:rsidRPr="005675B0" w:rsidRDefault="00D143E8" w:rsidP="00622C34">
            <w:pPr>
              <w:pStyle w:val="ENoteTableText"/>
              <w:rPr>
                <w:szCs w:val="16"/>
              </w:rPr>
            </w:pPr>
            <w:r w:rsidRPr="005675B0">
              <w:rPr>
                <w:szCs w:val="16"/>
              </w:rPr>
              <w:t>18</w:t>
            </w:r>
            <w:r w:rsidR="005675B0">
              <w:rPr>
                <w:szCs w:val="16"/>
              </w:rPr>
              <w:t> </w:t>
            </w:r>
            <w:r w:rsidRPr="005675B0">
              <w:rPr>
                <w:szCs w:val="16"/>
              </w:rPr>
              <w:t>June 2015 (F2015L00841)</w:t>
            </w:r>
          </w:p>
        </w:tc>
        <w:tc>
          <w:tcPr>
            <w:tcW w:w="1327" w:type="pct"/>
            <w:tcBorders>
              <w:bottom w:val="single" w:sz="2" w:space="0" w:color="auto"/>
            </w:tcBorders>
            <w:shd w:val="clear" w:color="auto" w:fill="auto"/>
          </w:tcPr>
          <w:p w:rsidR="002F63AF" w:rsidRPr="005675B0" w:rsidRDefault="00D143E8" w:rsidP="005C73E1">
            <w:pPr>
              <w:pStyle w:val="ENoteTableText"/>
              <w:rPr>
                <w:szCs w:val="16"/>
              </w:rPr>
            </w:pPr>
            <w:r w:rsidRPr="005675B0">
              <w:rPr>
                <w:szCs w:val="16"/>
              </w:rPr>
              <w:t>Sch 1 (item</w:t>
            </w:r>
            <w:r w:rsidR="005675B0">
              <w:rPr>
                <w:szCs w:val="16"/>
              </w:rPr>
              <w:t> </w:t>
            </w:r>
            <w:r w:rsidRPr="005675B0">
              <w:rPr>
                <w:szCs w:val="16"/>
              </w:rPr>
              <w:t>1): 19</w:t>
            </w:r>
            <w:r w:rsidR="005675B0">
              <w:rPr>
                <w:szCs w:val="16"/>
              </w:rPr>
              <w:t> </w:t>
            </w:r>
            <w:r w:rsidRPr="005675B0">
              <w:rPr>
                <w:szCs w:val="16"/>
              </w:rPr>
              <w:t>June 2015</w:t>
            </w:r>
            <w:r w:rsidR="00F730B7" w:rsidRPr="005675B0">
              <w:rPr>
                <w:szCs w:val="16"/>
              </w:rPr>
              <w:t xml:space="preserve"> (s</w:t>
            </w:r>
            <w:r w:rsidR="003550C3" w:rsidRPr="005675B0">
              <w:rPr>
                <w:szCs w:val="16"/>
              </w:rPr>
              <w:t xml:space="preserve"> </w:t>
            </w:r>
            <w:r w:rsidR="00F730B7" w:rsidRPr="005675B0">
              <w:rPr>
                <w:szCs w:val="16"/>
              </w:rPr>
              <w:t>2(1) item</w:t>
            </w:r>
            <w:r w:rsidR="005675B0">
              <w:rPr>
                <w:szCs w:val="16"/>
              </w:rPr>
              <w:t> </w:t>
            </w:r>
            <w:r w:rsidR="00F730B7" w:rsidRPr="005675B0">
              <w:rPr>
                <w:szCs w:val="16"/>
              </w:rPr>
              <w:t>1)</w:t>
            </w:r>
          </w:p>
        </w:tc>
        <w:tc>
          <w:tcPr>
            <w:tcW w:w="1129" w:type="pct"/>
            <w:tcBorders>
              <w:bottom w:val="single" w:sz="2" w:space="0" w:color="auto"/>
            </w:tcBorders>
            <w:shd w:val="clear" w:color="auto" w:fill="auto"/>
          </w:tcPr>
          <w:p w:rsidR="002F63AF" w:rsidRPr="005675B0" w:rsidRDefault="00D143E8" w:rsidP="00A53ED4">
            <w:pPr>
              <w:pStyle w:val="ENoteTableText"/>
              <w:rPr>
                <w:szCs w:val="16"/>
              </w:rPr>
            </w:pPr>
            <w:r w:rsidRPr="005675B0">
              <w:rPr>
                <w:szCs w:val="16"/>
              </w:rPr>
              <w:t>—</w:t>
            </w:r>
          </w:p>
        </w:tc>
      </w:tr>
      <w:tr w:rsidR="00AA3BA2" w:rsidRPr="005675B0" w:rsidTr="002D6144">
        <w:tc>
          <w:tcPr>
            <w:tcW w:w="1338" w:type="pct"/>
            <w:tcBorders>
              <w:top w:val="single" w:sz="2" w:space="0" w:color="auto"/>
              <w:bottom w:val="single" w:sz="12" w:space="0" w:color="auto"/>
            </w:tcBorders>
            <w:shd w:val="clear" w:color="auto" w:fill="auto"/>
          </w:tcPr>
          <w:p w:rsidR="00AA3BA2" w:rsidRPr="005675B0" w:rsidRDefault="00AA3BA2" w:rsidP="00ED39D7">
            <w:pPr>
              <w:pStyle w:val="ENoteTableText"/>
              <w:rPr>
                <w:szCs w:val="16"/>
              </w:rPr>
            </w:pPr>
            <w:r w:rsidRPr="005675B0">
              <w:rPr>
                <w:szCs w:val="16"/>
              </w:rPr>
              <w:t>134, 2015</w:t>
            </w:r>
          </w:p>
        </w:tc>
        <w:tc>
          <w:tcPr>
            <w:tcW w:w="1206" w:type="pct"/>
            <w:tcBorders>
              <w:top w:val="single" w:sz="2" w:space="0" w:color="auto"/>
              <w:bottom w:val="single" w:sz="12" w:space="0" w:color="auto"/>
            </w:tcBorders>
            <w:shd w:val="clear" w:color="auto" w:fill="auto"/>
          </w:tcPr>
          <w:p w:rsidR="00AA3BA2" w:rsidRPr="005675B0" w:rsidRDefault="00AA3BA2" w:rsidP="00AF72E9">
            <w:pPr>
              <w:pStyle w:val="ENoteTableText"/>
              <w:rPr>
                <w:szCs w:val="16"/>
              </w:rPr>
            </w:pPr>
            <w:r w:rsidRPr="005675B0">
              <w:rPr>
                <w:szCs w:val="16"/>
              </w:rPr>
              <w:t>12 Aug 2015 (F2015L01262)</w:t>
            </w:r>
          </w:p>
        </w:tc>
        <w:tc>
          <w:tcPr>
            <w:tcW w:w="1327" w:type="pct"/>
            <w:tcBorders>
              <w:top w:val="single" w:sz="2" w:space="0" w:color="auto"/>
              <w:bottom w:val="single" w:sz="12" w:space="0" w:color="auto"/>
            </w:tcBorders>
            <w:shd w:val="clear" w:color="auto" w:fill="auto"/>
          </w:tcPr>
          <w:p w:rsidR="00AA3BA2" w:rsidRPr="005675B0" w:rsidRDefault="00AA3BA2" w:rsidP="005C73E1">
            <w:pPr>
              <w:pStyle w:val="ENoteTableText"/>
              <w:rPr>
                <w:szCs w:val="16"/>
              </w:rPr>
            </w:pPr>
            <w:r w:rsidRPr="005675B0">
              <w:rPr>
                <w:szCs w:val="16"/>
              </w:rPr>
              <w:t>Sch 1 (item</w:t>
            </w:r>
            <w:r w:rsidR="005675B0">
              <w:rPr>
                <w:szCs w:val="16"/>
              </w:rPr>
              <w:t> </w:t>
            </w:r>
            <w:r w:rsidRPr="005675B0">
              <w:rPr>
                <w:szCs w:val="16"/>
              </w:rPr>
              <w:t>1): 13 Aug 2015 (s 2(1) item</w:t>
            </w:r>
            <w:r w:rsidR="005675B0">
              <w:rPr>
                <w:szCs w:val="16"/>
              </w:rPr>
              <w:t> </w:t>
            </w:r>
            <w:r w:rsidRPr="005675B0">
              <w:rPr>
                <w:szCs w:val="16"/>
              </w:rPr>
              <w:t>1)</w:t>
            </w:r>
          </w:p>
        </w:tc>
        <w:tc>
          <w:tcPr>
            <w:tcW w:w="1129" w:type="pct"/>
            <w:tcBorders>
              <w:top w:val="single" w:sz="2" w:space="0" w:color="auto"/>
              <w:bottom w:val="single" w:sz="12" w:space="0" w:color="auto"/>
            </w:tcBorders>
            <w:shd w:val="clear" w:color="auto" w:fill="auto"/>
          </w:tcPr>
          <w:p w:rsidR="00AA3BA2" w:rsidRPr="005675B0" w:rsidRDefault="00AA3BA2" w:rsidP="00A53ED4">
            <w:pPr>
              <w:pStyle w:val="ENoteTableText"/>
              <w:rPr>
                <w:szCs w:val="16"/>
              </w:rPr>
            </w:pPr>
            <w:r w:rsidRPr="005675B0">
              <w:rPr>
                <w:szCs w:val="16"/>
              </w:rPr>
              <w:t>—</w:t>
            </w:r>
          </w:p>
        </w:tc>
      </w:tr>
    </w:tbl>
    <w:p w:rsidR="00DF6F1A" w:rsidRPr="005675B0" w:rsidRDefault="00DF6F1A" w:rsidP="00DF6F1A">
      <w:pPr>
        <w:pStyle w:val="Tabletext"/>
      </w:pPr>
    </w:p>
    <w:tbl>
      <w:tblPr>
        <w:tblW w:w="489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2290"/>
        <w:gridCol w:w="1993"/>
        <w:gridCol w:w="2195"/>
        <w:gridCol w:w="1865"/>
      </w:tblGrid>
      <w:tr w:rsidR="00DF6F1A" w:rsidRPr="005675B0" w:rsidTr="002D6144">
        <w:trPr>
          <w:tblHeader/>
        </w:trPr>
        <w:tc>
          <w:tcPr>
            <w:tcW w:w="1372" w:type="pct"/>
            <w:tcBorders>
              <w:top w:val="single" w:sz="12" w:space="0" w:color="auto"/>
              <w:bottom w:val="single" w:sz="12" w:space="0" w:color="auto"/>
            </w:tcBorders>
            <w:shd w:val="clear" w:color="auto" w:fill="auto"/>
          </w:tcPr>
          <w:p w:rsidR="00DF6F1A" w:rsidRPr="005675B0" w:rsidRDefault="00DF6F1A" w:rsidP="00DF6F1A">
            <w:pPr>
              <w:pStyle w:val="ENoteTableHeading"/>
            </w:pPr>
            <w:r w:rsidRPr="005675B0">
              <w:t>Name</w:t>
            </w:r>
          </w:p>
        </w:tc>
        <w:tc>
          <w:tcPr>
            <w:tcW w:w="1194" w:type="pct"/>
            <w:tcBorders>
              <w:top w:val="single" w:sz="12" w:space="0" w:color="auto"/>
              <w:bottom w:val="single" w:sz="12" w:space="0" w:color="auto"/>
            </w:tcBorders>
            <w:shd w:val="clear" w:color="auto" w:fill="auto"/>
          </w:tcPr>
          <w:p w:rsidR="00DF6F1A" w:rsidRPr="005675B0" w:rsidRDefault="00F715C9" w:rsidP="00DF6F1A">
            <w:pPr>
              <w:pStyle w:val="ENoteTableHeading"/>
            </w:pPr>
            <w:r w:rsidRPr="005675B0">
              <w:t>Registration</w:t>
            </w:r>
          </w:p>
        </w:tc>
        <w:tc>
          <w:tcPr>
            <w:tcW w:w="1315" w:type="pct"/>
            <w:tcBorders>
              <w:top w:val="single" w:sz="12" w:space="0" w:color="auto"/>
              <w:bottom w:val="single" w:sz="12" w:space="0" w:color="auto"/>
            </w:tcBorders>
            <w:shd w:val="clear" w:color="auto" w:fill="auto"/>
          </w:tcPr>
          <w:p w:rsidR="00DF6F1A" w:rsidRPr="005675B0" w:rsidRDefault="00DF6F1A" w:rsidP="00DF6F1A">
            <w:pPr>
              <w:pStyle w:val="ENoteTableHeading"/>
            </w:pPr>
            <w:r w:rsidRPr="005675B0">
              <w:t>Commencement</w:t>
            </w:r>
          </w:p>
        </w:tc>
        <w:tc>
          <w:tcPr>
            <w:tcW w:w="1118" w:type="pct"/>
            <w:tcBorders>
              <w:top w:val="single" w:sz="12" w:space="0" w:color="auto"/>
              <w:bottom w:val="single" w:sz="12" w:space="0" w:color="auto"/>
            </w:tcBorders>
            <w:shd w:val="clear" w:color="auto" w:fill="auto"/>
          </w:tcPr>
          <w:p w:rsidR="00DF6F1A" w:rsidRPr="005675B0" w:rsidRDefault="00DF6F1A" w:rsidP="00DF6F1A">
            <w:pPr>
              <w:pStyle w:val="ENoteTableHeading"/>
            </w:pPr>
            <w:r w:rsidRPr="005675B0">
              <w:t>Application, saving and transitional provisions</w:t>
            </w:r>
          </w:p>
        </w:tc>
      </w:tr>
      <w:tr w:rsidR="00DF6F1A" w:rsidRPr="005675B0" w:rsidTr="002D6144">
        <w:tc>
          <w:tcPr>
            <w:tcW w:w="1372" w:type="pct"/>
            <w:tcBorders>
              <w:top w:val="single" w:sz="12" w:space="0" w:color="auto"/>
              <w:bottom w:val="single" w:sz="4" w:space="0" w:color="auto"/>
            </w:tcBorders>
            <w:shd w:val="clear" w:color="auto" w:fill="auto"/>
          </w:tcPr>
          <w:p w:rsidR="00DF6F1A" w:rsidRPr="005675B0" w:rsidRDefault="00DF6F1A" w:rsidP="00DF6F1A">
            <w:pPr>
              <w:pStyle w:val="ENoteTableText"/>
            </w:pPr>
            <w:r w:rsidRPr="005675B0">
              <w:t>Treasury Laws Amendment (2016 Measures No.</w:t>
            </w:r>
            <w:r w:rsidR="005675B0">
              <w:t> </w:t>
            </w:r>
            <w:r w:rsidRPr="005675B0">
              <w:t>1) Regulation</w:t>
            </w:r>
            <w:r w:rsidR="005675B0">
              <w:t> </w:t>
            </w:r>
            <w:r w:rsidRPr="005675B0">
              <w:t>2016</w:t>
            </w:r>
          </w:p>
        </w:tc>
        <w:tc>
          <w:tcPr>
            <w:tcW w:w="1194" w:type="pct"/>
            <w:tcBorders>
              <w:top w:val="single" w:sz="12" w:space="0" w:color="auto"/>
              <w:bottom w:val="single" w:sz="4" w:space="0" w:color="auto"/>
            </w:tcBorders>
            <w:shd w:val="clear" w:color="auto" w:fill="auto"/>
          </w:tcPr>
          <w:p w:rsidR="00DF6F1A" w:rsidRPr="005675B0" w:rsidRDefault="00DF6F1A" w:rsidP="00DF6F1A">
            <w:pPr>
              <w:pStyle w:val="ENoteTableText"/>
            </w:pPr>
            <w:r w:rsidRPr="005675B0">
              <w:t>26 Feb 2016 (F2016L00156)</w:t>
            </w:r>
          </w:p>
        </w:tc>
        <w:tc>
          <w:tcPr>
            <w:tcW w:w="1315" w:type="pct"/>
            <w:tcBorders>
              <w:top w:val="single" w:sz="12" w:space="0" w:color="auto"/>
              <w:bottom w:val="single" w:sz="4" w:space="0" w:color="auto"/>
            </w:tcBorders>
            <w:shd w:val="clear" w:color="auto" w:fill="auto"/>
          </w:tcPr>
          <w:p w:rsidR="00DF6F1A" w:rsidRPr="005675B0" w:rsidRDefault="00DF6F1A" w:rsidP="00DF6F1A">
            <w:pPr>
              <w:pStyle w:val="ENoteTableText"/>
            </w:pPr>
            <w:r w:rsidRPr="005675B0">
              <w:t>Sch 2 (items</w:t>
            </w:r>
            <w:r w:rsidR="005675B0">
              <w:t> </w:t>
            </w:r>
            <w:r w:rsidRPr="005675B0">
              <w:t>1–8): 27 Feb 2016</w:t>
            </w:r>
            <w:r w:rsidR="00BB240C" w:rsidRPr="005675B0">
              <w:t xml:space="preserve"> (s 2(1) item</w:t>
            </w:r>
            <w:r w:rsidR="005675B0">
              <w:t> </w:t>
            </w:r>
            <w:r w:rsidR="00BB240C" w:rsidRPr="005675B0">
              <w:t>1)</w:t>
            </w:r>
          </w:p>
        </w:tc>
        <w:tc>
          <w:tcPr>
            <w:tcW w:w="1118" w:type="pct"/>
            <w:tcBorders>
              <w:top w:val="single" w:sz="12" w:space="0" w:color="auto"/>
              <w:bottom w:val="single" w:sz="4" w:space="0" w:color="auto"/>
            </w:tcBorders>
            <w:shd w:val="clear" w:color="auto" w:fill="auto"/>
          </w:tcPr>
          <w:p w:rsidR="00DF6F1A" w:rsidRPr="005675B0" w:rsidRDefault="001E45CD" w:rsidP="00DF6F1A">
            <w:pPr>
              <w:pStyle w:val="ENoteTableText"/>
            </w:pPr>
            <w:r w:rsidRPr="005675B0">
              <w:rPr>
                <w:szCs w:val="16"/>
              </w:rPr>
              <w:t>—</w:t>
            </w:r>
          </w:p>
        </w:tc>
      </w:tr>
      <w:tr w:rsidR="00BE7D5C" w:rsidRPr="005675B0" w:rsidTr="002D6144">
        <w:tc>
          <w:tcPr>
            <w:tcW w:w="1372" w:type="pct"/>
            <w:tcBorders>
              <w:top w:val="single" w:sz="4" w:space="0" w:color="auto"/>
              <w:bottom w:val="single" w:sz="4" w:space="0" w:color="auto"/>
            </w:tcBorders>
            <w:shd w:val="clear" w:color="auto" w:fill="auto"/>
          </w:tcPr>
          <w:p w:rsidR="00BE7D5C" w:rsidRPr="005675B0" w:rsidRDefault="00BE7D5C" w:rsidP="00DF6F1A">
            <w:pPr>
              <w:pStyle w:val="ENoteTableText"/>
            </w:pPr>
            <w:r w:rsidRPr="005675B0">
              <w:t>Corporations and Other Legislation Amendment (Insolvency Law Reform) Regulation</w:t>
            </w:r>
            <w:r w:rsidR="005675B0">
              <w:t> </w:t>
            </w:r>
            <w:r w:rsidRPr="005675B0">
              <w:t>2016</w:t>
            </w:r>
          </w:p>
        </w:tc>
        <w:tc>
          <w:tcPr>
            <w:tcW w:w="1194" w:type="pct"/>
            <w:tcBorders>
              <w:top w:val="single" w:sz="4" w:space="0" w:color="auto"/>
              <w:bottom w:val="single" w:sz="4" w:space="0" w:color="auto"/>
            </w:tcBorders>
            <w:shd w:val="clear" w:color="auto" w:fill="auto"/>
          </w:tcPr>
          <w:p w:rsidR="00BE7D5C" w:rsidRPr="005675B0" w:rsidRDefault="00BE7D5C" w:rsidP="00DF6F1A">
            <w:pPr>
              <w:pStyle w:val="ENoteTableText"/>
            </w:pPr>
            <w:r w:rsidRPr="005675B0">
              <w:t>13 Dec 2016 (F2016L01926)</w:t>
            </w:r>
          </w:p>
        </w:tc>
        <w:tc>
          <w:tcPr>
            <w:tcW w:w="1315" w:type="pct"/>
            <w:tcBorders>
              <w:top w:val="single" w:sz="4" w:space="0" w:color="auto"/>
              <w:bottom w:val="single" w:sz="4" w:space="0" w:color="auto"/>
            </w:tcBorders>
            <w:shd w:val="clear" w:color="auto" w:fill="auto"/>
          </w:tcPr>
          <w:p w:rsidR="00BE7D5C" w:rsidRPr="005675B0" w:rsidRDefault="00BE7D5C" w:rsidP="00DF6F1A">
            <w:pPr>
              <w:pStyle w:val="ENoteTableText"/>
            </w:pPr>
            <w:r w:rsidRPr="005675B0">
              <w:t>Sch 1 (items</w:t>
            </w:r>
            <w:r w:rsidR="005675B0">
              <w:t> </w:t>
            </w:r>
            <w:r w:rsidRPr="005675B0">
              <w:t>5–7): 1 Mar 2017 (s</w:t>
            </w:r>
            <w:r w:rsidR="00AF0DBE" w:rsidRPr="005675B0">
              <w:t xml:space="preserve"> </w:t>
            </w:r>
            <w:r w:rsidRPr="005675B0">
              <w:t>2(1) item</w:t>
            </w:r>
            <w:r w:rsidR="005675B0">
              <w:t> </w:t>
            </w:r>
            <w:r w:rsidRPr="005675B0">
              <w:t>2)</w:t>
            </w:r>
          </w:p>
        </w:tc>
        <w:tc>
          <w:tcPr>
            <w:tcW w:w="1118" w:type="pct"/>
            <w:tcBorders>
              <w:top w:val="single" w:sz="4" w:space="0" w:color="auto"/>
              <w:bottom w:val="single" w:sz="4" w:space="0" w:color="auto"/>
            </w:tcBorders>
            <w:shd w:val="clear" w:color="auto" w:fill="auto"/>
          </w:tcPr>
          <w:p w:rsidR="00BE7D5C" w:rsidRPr="005675B0" w:rsidRDefault="00BE7D5C" w:rsidP="00DF6F1A">
            <w:pPr>
              <w:pStyle w:val="ENoteTableText"/>
              <w:rPr>
                <w:szCs w:val="16"/>
              </w:rPr>
            </w:pPr>
            <w:r w:rsidRPr="005675B0">
              <w:rPr>
                <w:szCs w:val="16"/>
              </w:rPr>
              <w:t>—</w:t>
            </w:r>
          </w:p>
        </w:tc>
      </w:tr>
      <w:tr w:rsidR="004A1FAA" w:rsidRPr="005675B0" w:rsidTr="002D6144">
        <w:tc>
          <w:tcPr>
            <w:tcW w:w="1372" w:type="pct"/>
            <w:tcBorders>
              <w:top w:val="single" w:sz="4" w:space="0" w:color="auto"/>
              <w:bottom w:val="single" w:sz="4" w:space="0" w:color="auto"/>
            </w:tcBorders>
            <w:shd w:val="clear" w:color="auto" w:fill="auto"/>
          </w:tcPr>
          <w:p w:rsidR="004A1FAA" w:rsidRPr="005675B0" w:rsidRDefault="004A1FAA" w:rsidP="00DF6F1A">
            <w:pPr>
              <w:pStyle w:val="ENoteTableText"/>
            </w:pPr>
            <w:r w:rsidRPr="005675B0">
              <w:t>Treasury Laws Amendment (Professional Standards Schemes) Regulations</w:t>
            </w:r>
            <w:r w:rsidR="005675B0">
              <w:t> </w:t>
            </w:r>
            <w:r w:rsidRPr="005675B0">
              <w:t>2017</w:t>
            </w:r>
          </w:p>
        </w:tc>
        <w:tc>
          <w:tcPr>
            <w:tcW w:w="1194" w:type="pct"/>
            <w:tcBorders>
              <w:top w:val="single" w:sz="4" w:space="0" w:color="auto"/>
              <w:bottom w:val="single" w:sz="4" w:space="0" w:color="auto"/>
            </w:tcBorders>
            <w:shd w:val="clear" w:color="auto" w:fill="auto"/>
          </w:tcPr>
          <w:p w:rsidR="004A1FAA" w:rsidRPr="005675B0" w:rsidRDefault="004A1FAA" w:rsidP="00DF6F1A">
            <w:pPr>
              <w:pStyle w:val="ENoteTableText"/>
            </w:pPr>
            <w:r w:rsidRPr="005675B0">
              <w:t>24</w:t>
            </w:r>
            <w:r w:rsidR="005675B0">
              <w:t> </w:t>
            </w:r>
            <w:r w:rsidRPr="005675B0">
              <w:t>May 2017 (F2017L00595)</w:t>
            </w:r>
          </w:p>
        </w:tc>
        <w:tc>
          <w:tcPr>
            <w:tcW w:w="1315" w:type="pct"/>
            <w:tcBorders>
              <w:top w:val="single" w:sz="4" w:space="0" w:color="auto"/>
              <w:bottom w:val="single" w:sz="4" w:space="0" w:color="auto"/>
            </w:tcBorders>
            <w:shd w:val="clear" w:color="auto" w:fill="auto"/>
          </w:tcPr>
          <w:p w:rsidR="004A1FAA" w:rsidRPr="005675B0" w:rsidRDefault="004A1FAA" w:rsidP="00DF6F1A">
            <w:pPr>
              <w:pStyle w:val="ENoteTableText"/>
            </w:pPr>
            <w:r w:rsidRPr="005675B0">
              <w:t>Sch 1 (items</w:t>
            </w:r>
            <w:r w:rsidR="005675B0">
              <w:t> </w:t>
            </w:r>
            <w:r w:rsidRPr="005675B0">
              <w:t>1–11): 25</w:t>
            </w:r>
            <w:r w:rsidR="005675B0">
              <w:t> </w:t>
            </w:r>
            <w:r w:rsidRPr="005675B0">
              <w:t>May 2017 (s 2(1) item</w:t>
            </w:r>
            <w:r w:rsidR="005675B0">
              <w:t> </w:t>
            </w:r>
            <w:r w:rsidRPr="005675B0">
              <w:t>1)</w:t>
            </w:r>
          </w:p>
        </w:tc>
        <w:tc>
          <w:tcPr>
            <w:tcW w:w="1118" w:type="pct"/>
            <w:tcBorders>
              <w:top w:val="single" w:sz="4" w:space="0" w:color="auto"/>
              <w:bottom w:val="single" w:sz="4" w:space="0" w:color="auto"/>
            </w:tcBorders>
            <w:shd w:val="clear" w:color="auto" w:fill="auto"/>
          </w:tcPr>
          <w:p w:rsidR="004A1FAA" w:rsidRPr="005675B0" w:rsidRDefault="004A1FAA" w:rsidP="00DF6F1A">
            <w:pPr>
              <w:pStyle w:val="ENoteTableText"/>
              <w:rPr>
                <w:szCs w:val="16"/>
              </w:rPr>
            </w:pPr>
            <w:r w:rsidRPr="005675B0">
              <w:rPr>
                <w:szCs w:val="16"/>
              </w:rPr>
              <w:t>—</w:t>
            </w:r>
          </w:p>
        </w:tc>
      </w:tr>
      <w:tr w:rsidR="000C22D7" w:rsidRPr="005675B0" w:rsidTr="002D6144">
        <w:tc>
          <w:tcPr>
            <w:tcW w:w="1372" w:type="pct"/>
            <w:tcBorders>
              <w:top w:val="single" w:sz="4" w:space="0" w:color="auto"/>
              <w:bottom w:val="single" w:sz="4" w:space="0" w:color="auto"/>
            </w:tcBorders>
            <w:shd w:val="clear" w:color="auto" w:fill="auto"/>
          </w:tcPr>
          <w:p w:rsidR="000C22D7" w:rsidRPr="005675B0" w:rsidRDefault="000C22D7" w:rsidP="00DF6F1A">
            <w:pPr>
              <w:pStyle w:val="ENoteTableText"/>
            </w:pPr>
            <w:r w:rsidRPr="005675B0">
              <w:t>Treasury Laws Amendment (Professional Standards Schemes) Regulations</w:t>
            </w:r>
            <w:r w:rsidR="005675B0">
              <w:t> </w:t>
            </w:r>
            <w:r w:rsidRPr="005675B0">
              <w:t>2018</w:t>
            </w:r>
          </w:p>
        </w:tc>
        <w:tc>
          <w:tcPr>
            <w:tcW w:w="1194" w:type="pct"/>
            <w:tcBorders>
              <w:top w:val="single" w:sz="4" w:space="0" w:color="auto"/>
              <w:bottom w:val="single" w:sz="4" w:space="0" w:color="auto"/>
            </w:tcBorders>
            <w:shd w:val="clear" w:color="auto" w:fill="auto"/>
          </w:tcPr>
          <w:p w:rsidR="000C22D7" w:rsidRPr="005675B0" w:rsidRDefault="000C22D7" w:rsidP="00DF6F1A">
            <w:pPr>
              <w:pStyle w:val="ENoteTableText"/>
            </w:pPr>
            <w:r w:rsidRPr="005675B0">
              <w:t>9 Feb 2018 (F2018L00096)</w:t>
            </w:r>
          </w:p>
        </w:tc>
        <w:tc>
          <w:tcPr>
            <w:tcW w:w="1315" w:type="pct"/>
            <w:tcBorders>
              <w:top w:val="single" w:sz="4" w:space="0" w:color="auto"/>
              <w:bottom w:val="single" w:sz="4" w:space="0" w:color="auto"/>
            </w:tcBorders>
            <w:shd w:val="clear" w:color="auto" w:fill="auto"/>
          </w:tcPr>
          <w:p w:rsidR="000C22D7" w:rsidRPr="005675B0" w:rsidRDefault="00DE4CE4" w:rsidP="00DF6F1A">
            <w:pPr>
              <w:pStyle w:val="ENoteTableText"/>
            </w:pPr>
            <w:r w:rsidRPr="005675B0">
              <w:t>Sch 1 (items</w:t>
            </w:r>
            <w:r w:rsidR="005675B0">
              <w:t> </w:t>
            </w:r>
            <w:r w:rsidRPr="005675B0">
              <w:t>1–3): 10 Feb 2018 (s 2(1) item</w:t>
            </w:r>
            <w:r w:rsidR="005675B0">
              <w:t> </w:t>
            </w:r>
            <w:r w:rsidRPr="005675B0">
              <w:t>1)</w:t>
            </w:r>
          </w:p>
        </w:tc>
        <w:tc>
          <w:tcPr>
            <w:tcW w:w="1118" w:type="pct"/>
            <w:tcBorders>
              <w:top w:val="single" w:sz="4" w:space="0" w:color="auto"/>
              <w:bottom w:val="single" w:sz="4" w:space="0" w:color="auto"/>
            </w:tcBorders>
            <w:shd w:val="clear" w:color="auto" w:fill="auto"/>
          </w:tcPr>
          <w:p w:rsidR="000C22D7" w:rsidRPr="005675B0" w:rsidRDefault="000C22D7" w:rsidP="00DF6F1A">
            <w:pPr>
              <w:pStyle w:val="ENoteTableText"/>
              <w:rPr>
                <w:szCs w:val="16"/>
              </w:rPr>
            </w:pPr>
            <w:r w:rsidRPr="005675B0">
              <w:rPr>
                <w:szCs w:val="16"/>
              </w:rPr>
              <w:t>—</w:t>
            </w:r>
          </w:p>
        </w:tc>
      </w:tr>
      <w:tr w:rsidR="00F17BFF" w:rsidRPr="005675B0" w:rsidTr="00B251FC">
        <w:tc>
          <w:tcPr>
            <w:tcW w:w="1372" w:type="pct"/>
            <w:tcBorders>
              <w:top w:val="single" w:sz="4" w:space="0" w:color="auto"/>
              <w:bottom w:val="single" w:sz="4" w:space="0" w:color="auto"/>
            </w:tcBorders>
            <w:shd w:val="clear" w:color="auto" w:fill="auto"/>
          </w:tcPr>
          <w:p w:rsidR="00F17BFF" w:rsidRPr="005675B0" w:rsidRDefault="00F17BFF" w:rsidP="00DF6F1A">
            <w:pPr>
              <w:pStyle w:val="ENoteTableText"/>
            </w:pPr>
            <w:r w:rsidRPr="005675B0">
              <w:t>Corporations Amendment (Asia Region Funds Passport) Regulations</w:t>
            </w:r>
            <w:r w:rsidR="005675B0">
              <w:t> </w:t>
            </w:r>
            <w:r w:rsidRPr="005675B0">
              <w:t>2018</w:t>
            </w:r>
          </w:p>
        </w:tc>
        <w:tc>
          <w:tcPr>
            <w:tcW w:w="1194" w:type="pct"/>
            <w:tcBorders>
              <w:top w:val="single" w:sz="4" w:space="0" w:color="auto"/>
              <w:bottom w:val="single" w:sz="4" w:space="0" w:color="auto"/>
            </w:tcBorders>
            <w:shd w:val="clear" w:color="auto" w:fill="auto"/>
          </w:tcPr>
          <w:p w:rsidR="00F17BFF" w:rsidRPr="005675B0" w:rsidRDefault="00F17BFF" w:rsidP="00DF6F1A">
            <w:pPr>
              <w:pStyle w:val="ENoteTableText"/>
            </w:pPr>
            <w:r w:rsidRPr="005675B0">
              <w:t>20 Aug 2018 (F2018L01144)</w:t>
            </w:r>
          </w:p>
        </w:tc>
        <w:tc>
          <w:tcPr>
            <w:tcW w:w="1315" w:type="pct"/>
            <w:tcBorders>
              <w:top w:val="single" w:sz="4" w:space="0" w:color="auto"/>
              <w:bottom w:val="single" w:sz="4" w:space="0" w:color="auto"/>
            </w:tcBorders>
            <w:shd w:val="clear" w:color="auto" w:fill="auto"/>
          </w:tcPr>
          <w:p w:rsidR="00F17BFF" w:rsidRPr="005675B0" w:rsidRDefault="00F17BFF" w:rsidP="00901F54">
            <w:pPr>
              <w:pStyle w:val="ENoteTableText"/>
            </w:pPr>
            <w:r w:rsidRPr="005675B0">
              <w:t>Sch 2 (items</w:t>
            </w:r>
            <w:r w:rsidR="005675B0">
              <w:t> </w:t>
            </w:r>
            <w:r w:rsidRPr="005675B0">
              <w:t>13, 14): 18 Sept 2018 (s 2(1) item</w:t>
            </w:r>
            <w:r w:rsidR="005675B0">
              <w:t> </w:t>
            </w:r>
            <w:r w:rsidRPr="005675B0">
              <w:t>2)</w:t>
            </w:r>
          </w:p>
        </w:tc>
        <w:tc>
          <w:tcPr>
            <w:tcW w:w="1118" w:type="pct"/>
            <w:tcBorders>
              <w:top w:val="single" w:sz="4" w:space="0" w:color="auto"/>
              <w:bottom w:val="single" w:sz="4" w:space="0" w:color="auto"/>
            </w:tcBorders>
            <w:shd w:val="clear" w:color="auto" w:fill="auto"/>
          </w:tcPr>
          <w:p w:rsidR="00F17BFF" w:rsidRPr="005675B0" w:rsidRDefault="00F17BFF" w:rsidP="00DF6F1A">
            <w:pPr>
              <w:pStyle w:val="ENoteTableText"/>
              <w:rPr>
                <w:szCs w:val="16"/>
              </w:rPr>
            </w:pPr>
            <w:r w:rsidRPr="005675B0">
              <w:rPr>
                <w:szCs w:val="16"/>
              </w:rPr>
              <w:t>—</w:t>
            </w:r>
          </w:p>
        </w:tc>
      </w:tr>
      <w:tr w:rsidR="00CF093F" w:rsidRPr="005675B0" w:rsidTr="008F0641">
        <w:tc>
          <w:tcPr>
            <w:tcW w:w="1372" w:type="pct"/>
            <w:tcBorders>
              <w:top w:val="single" w:sz="4" w:space="0" w:color="auto"/>
              <w:bottom w:val="single" w:sz="4" w:space="0" w:color="auto"/>
            </w:tcBorders>
            <w:shd w:val="clear" w:color="auto" w:fill="auto"/>
          </w:tcPr>
          <w:p w:rsidR="00CF093F" w:rsidRPr="005675B0" w:rsidRDefault="00CF093F" w:rsidP="00DF6F1A">
            <w:pPr>
              <w:pStyle w:val="ENoteTableText"/>
            </w:pPr>
            <w:r w:rsidRPr="005675B0">
              <w:t>Treasury Laws Amendment (Professional Standards Schemes No.</w:t>
            </w:r>
            <w:r w:rsidR="005675B0">
              <w:t> </w:t>
            </w:r>
            <w:r w:rsidRPr="005675B0">
              <w:t>2) Regulations</w:t>
            </w:r>
            <w:r w:rsidR="005675B0">
              <w:t> </w:t>
            </w:r>
            <w:r w:rsidRPr="005675B0">
              <w:t>2018</w:t>
            </w:r>
          </w:p>
        </w:tc>
        <w:tc>
          <w:tcPr>
            <w:tcW w:w="1194" w:type="pct"/>
            <w:tcBorders>
              <w:top w:val="single" w:sz="4" w:space="0" w:color="auto"/>
              <w:bottom w:val="single" w:sz="4" w:space="0" w:color="auto"/>
            </w:tcBorders>
            <w:shd w:val="clear" w:color="auto" w:fill="auto"/>
          </w:tcPr>
          <w:p w:rsidR="00CF093F" w:rsidRPr="005675B0" w:rsidRDefault="00CF093F" w:rsidP="000C4F18">
            <w:pPr>
              <w:pStyle w:val="ENoteTableText"/>
            </w:pPr>
            <w:r w:rsidRPr="005675B0">
              <w:t>2 Oct 2018 (F2018L01393)</w:t>
            </w:r>
          </w:p>
        </w:tc>
        <w:tc>
          <w:tcPr>
            <w:tcW w:w="1315" w:type="pct"/>
            <w:tcBorders>
              <w:top w:val="single" w:sz="4" w:space="0" w:color="auto"/>
              <w:bottom w:val="single" w:sz="4" w:space="0" w:color="auto"/>
            </w:tcBorders>
            <w:shd w:val="clear" w:color="auto" w:fill="auto"/>
          </w:tcPr>
          <w:p w:rsidR="00CF093F" w:rsidRPr="005675B0" w:rsidRDefault="00CF093F" w:rsidP="00901F54">
            <w:pPr>
              <w:pStyle w:val="ENoteTableText"/>
            </w:pPr>
            <w:r w:rsidRPr="005675B0">
              <w:t>Sch 1 (items</w:t>
            </w:r>
            <w:r w:rsidR="005675B0">
              <w:t> </w:t>
            </w:r>
            <w:r w:rsidRPr="005675B0">
              <w:t>1–6): 3 Oct 2018</w:t>
            </w:r>
            <w:r w:rsidR="00021B7D" w:rsidRPr="005675B0">
              <w:t xml:space="preserve"> (s 2(1) item</w:t>
            </w:r>
            <w:r w:rsidR="005675B0">
              <w:t> </w:t>
            </w:r>
            <w:r w:rsidR="00021B7D" w:rsidRPr="005675B0">
              <w:t>1)</w:t>
            </w:r>
          </w:p>
        </w:tc>
        <w:tc>
          <w:tcPr>
            <w:tcW w:w="1118" w:type="pct"/>
            <w:tcBorders>
              <w:top w:val="single" w:sz="4" w:space="0" w:color="auto"/>
              <w:bottom w:val="single" w:sz="4" w:space="0" w:color="auto"/>
            </w:tcBorders>
            <w:shd w:val="clear" w:color="auto" w:fill="auto"/>
          </w:tcPr>
          <w:p w:rsidR="00CF093F" w:rsidRPr="005675B0" w:rsidRDefault="00CF093F" w:rsidP="00DF6F1A">
            <w:pPr>
              <w:pStyle w:val="ENoteTableText"/>
              <w:rPr>
                <w:szCs w:val="16"/>
              </w:rPr>
            </w:pPr>
            <w:r w:rsidRPr="005675B0">
              <w:rPr>
                <w:szCs w:val="16"/>
              </w:rPr>
              <w:t>—</w:t>
            </w:r>
          </w:p>
        </w:tc>
      </w:tr>
      <w:tr w:rsidR="00E779FB" w:rsidRPr="005675B0" w:rsidTr="00C43DFA">
        <w:tc>
          <w:tcPr>
            <w:tcW w:w="1372" w:type="pct"/>
            <w:tcBorders>
              <w:top w:val="single" w:sz="4" w:space="0" w:color="auto"/>
              <w:bottom w:val="single" w:sz="4" w:space="0" w:color="auto"/>
            </w:tcBorders>
            <w:shd w:val="clear" w:color="auto" w:fill="auto"/>
          </w:tcPr>
          <w:p w:rsidR="00E779FB" w:rsidRPr="005675B0" w:rsidRDefault="00E779FB" w:rsidP="00DF6F1A">
            <w:pPr>
              <w:pStyle w:val="ENoteTableText"/>
            </w:pPr>
            <w:r w:rsidRPr="005675B0">
              <w:t>Treasury Laws Amendment (Professional Standards Schemes) Regulations</w:t>
            </w:r>
            <w:r w:rsidR="005675B0">
              <w:t> </w:t>
            </w:r>
            <w:r w:rsidRPr="005675B0">
              <w:t>2019</w:t>
            </w:r>
          </w:p>
        </w:tc>
        <w:tc>
          <w:tcPr>
            <w:tcW w:w="1194" w:type="pct"/>
            <w:tcBorders>
              <w:top w:val="single" w:sz="4" w:space="0" w:color="auto"/>
              <w:bottom w:val="single" w:sz="4" w:space="0" w:color="auto"/>
            </w:tcBorders>
            <w:shd w:val="clear" w:color="auto" w:fill="auto"/>
          </w:tcPr>
          <w:p w:rsidR="00E779FB" w:rsidRPr="005675B0" w:rsidRDefault="00E779FB" w:rsidP="000C4F18">
            <w:pPr>
              <w:pStyle w:val="ENoteTableText"/>
            </w:pPr>
            <w:r w:rsidRPr="005675B0">
              <w:t>25 Mar 2019 (F2019L00368)</w:t>
            </w:r>
          </w:p>
        </w:tc>
        <w:tc>
          <w:tcPr>
            <w:tcW w:w="1315" w:type="pct"/>
            <w:tcBorders>
              <w:top w:val="single" w:sz="4" w:space="0" w:color="auto"/>
              <w:bottom w:val="single" w:sz="4" w:space="0" w:color="auto"/>
            </w:tcBorders>
            <w:shd w:val="clear" w:color="auto" w:fill="auto"/>
          </w:tcPr>
          <w:p w:rsidR="00E779FB" w:rsidRPr="005675B0" w:rsidRDefault="00E779FB" w:rsidP="00901F54">
            <w:pPr>
              <w:pStyle w:val="ENoteTableText"/>
            </w:pPr>
            <w:r w:rsidRPr="005675B0">
              <w:t>Sch 1 (items</w:t>
            </w:r>
            <w:r w:rsidR="005675B0">
              <w:t> </w:t>
            </w:r>
            <w:r w:rsidRPr="005675B0">
              <w:t>1–7): 26 Mar 2019 (s 2(1) item</w:t>
            </w:r>
            <w:r w:rsidR="005675B0">
              <w:t> </w:t>
            </w:r>
            <w:r w:rsidRPr="005675B0">
              <w:t>1)</w:t>
            </w:r>
          </w:p>
        </w:tc>
        <w:tc>
          <w:tcPr>
            <w:tcW w:w="1118" w:type="pct"/>
            <w:tcBorders>
              <w:top w:val="single" w:sz="4" w:space="0" w:color="auto"/>
              <w:bottom w:val="single" w:sz="4" w:space="0" w:color="auto"/>
            </w:tcBorders>
            <w:shd w:val="clear" w:color="auto" w:fill="auto"/>
          </w:tcPr>
          <w:p w:rsidR="00E779FB" w:rsidRPr="005675B0" w:rsidRDefault="00E779FB" w:rsidP="00DF6F1A">
            <w:pPr>
              <w:pStyle w:val="ENoteTableText"/>
              <w:rPr>
                <w:szCs w:val="16"/>
              </w:rPr>
            </w:pPr>
            <w:r w:rsidRPr="005675B0">
              <w:rPr>
                <w:szCs w:val="16"/>
              </w:rPr>
              <w:t>—</w:t>
            </w:r>
          </w:p>
        </w:tc>
      </w:tr>
      <w:tr w:rsidR="00302B74" w:rsidRPr="005675B0" w:rsidTr="00FA7EC8">
        <w:trPr>
          <w:cantSplit/>
        </w:trPr>
        <w:tc>
          <w:tcPr>
            <w:tcW w:w="1372" w:type="pct"/>
            <w:tcBorders>
              <w:top w:val="single" w:sz="4" w:space="0" w:color="auto"/>
              <w:bottom w:val="single" w:sz="4" w:space="0" w:color="auto"/>
            </w:tcBorders>
            <w:shd w:val="clear" w:color="auto" w:fill="auto"/>
          </w:tcPr>
          <w:p w:rsidR="00302B74" w:rsidRPr="005675B0" w:rsidRDefault="00302B74" w:rsidP="00FA7EC8">
            <w:pPr>
              <w:pStyle w:val="ENoteTableText"/>
            </w:pPr>
            <w:r w:rsidRPr="005675B0">
              <w:rPr>
                <w:noProof/>
              </w:rPr>
              <w:lastRenderedPageBreak/>
              <w:t>Treasury Laws Amendment (Professional Standards Schemes No.</w:t>
            </w:r>
            <w:r w:rsidR="005675B0">
              <w:rPr>
                <w:noProof/>
              </w:rPr>
              <w:t> </w:t>
            </w:r>
            <w:r w:rsidRPr="005675B0">
              <w:rPr>
                <w:noProof/>
              </w:rPr>
              <w:t>2) Regulations</w:t>
            </w:r>
            <w:r w:rsidR="005675B0">
              <w:rPr>
                <w:noProof/>
              </w:rPr>
              <w:t> </w:t>
            </w:r>
            <w:r w:rsidRPr="005675B0">
              <w:rPr>
                <w:noProof/>
              </w:rPr>
              <w:t>2019</w:t>
            </w:r>
          </w:p>
        </w:tc>
        <w:tc>
          <w:tcPr>
            <w:tcW w:w="1194" w:type="pct"/>
            <w:tcBorders>
              <w:top w:val="single" w:sz="4" w:space="0" w:color="auto"/>
              <w:bottom w:val="single" w:sz="4" w:space="0" w:color="auto"/>
            </w:tcBorders>
            <w:shd w:val="clear" w:color="auto" w:fill="auto"/>
          </w:tcPr>
          <w:p w:rsidR="00302B74" w:rsidRPr="005675B0" w:rsidRDefault="00302B74" w:rsidP="000C4F18">
            <w:pPr>
              <w:pStyle w:val="ENoteTableText"/>
            </w:pPr>
            <w:r w:rsidRPr="005675B0">
              <w:t>21 Oct 2019 (F2019L01351)</w:t>
            </w:r>
          </w:p>
        </w:tc>
        <w:tc>
          <w:tcPr>
            <w:tcW w:w="1315" w:type="pct"/>
            <w:tcBorders>
              <w:top w:val="single" w:sz="4" w:space="0" w:color="auto"/>
              <w:bottom w:val="single" w:sz="4" w:space="0" w:color="auto"/>
            </w:tcBorders>
            <w:shd w:val="clear" w:color="auto" w:fill="auto"/>
          </w:tcPr>
          <w:p w:rsidR="00302B74" w:rsidRPr="005675B0" w:rsidRDefault="00302B74" w:rsidP="00901F54">
            <w:pPr>
              <w:pStyle w:val="ENoteTableText"/>
            </w:pPr>
            <w:r w:rsidRPr="005675B0">
              <w:t>Sch 1 (items</w:t>
            </w:r>
            <w:r w:rsidR="005675B0">
              <w:t> </w:t>
            </w:r>
            <w:r w:rsidRPr="005675B0">
              <w:t>1</w:t>
            </w:r>
            <w:r w:rsidR="002B6D72" w:rsidRPr="005675B0">
              <w:t>–</w:t>
            </w:r>
            <w:r w:rsidRPr="005675B0">
              <w:t>11): 22 Oct 2019 (s 2(1) item</w:t>
            </w:r>
            <w:r w:rsidR="005675B0">
              <w:t> </w:t>
            </w:r>
            <w:r w:rsidRPr="005675B0">
              <w:t>1)</w:t>
            </w:r>
          </w:p>
        </w:tc>
        <w:tc>
          <w:tcPr>
            <w:tcW w:w="1118" w:type="pct"/>
            <w:tcBorders>
              <w:top w:val="single" w:sz="4" w:space="0" w:color="auto"/>
              <w:bottom w:val="single" w:sz="4" w:space="0" w:color="auto"/>
            </w:tcBorders>
            <w:shd w:val="clear" w:color="auto" w:fill="auto"/>
          </w:tcPr>
          <w:p w:rsidR="00302B74" w:rsidRPr="005675B0" w:rsidRDefault="00302B74" w:rsidP="00DF6F1A">
            <w:pPr>
              <w:pStyle w:val="ENoteTableText"/>
              <w:rPr>
                <w:szCs w:val="16"/>
              </w:rPr>
            </w:pPr>
            <w:r w:rsidRPr="005675B0">
              <w:rPr>
                <w:szCs w:val="16"/>
              </w:rPr>
              <w:t>—</w:t>
            </w:r>
          </w:p>
        </w:tc>
      </w:tr>
      <w:tr w:rsidR="00517E69" w:rsidRPr="005675B0" w:rsidTr="00517E69">
        <w:tc>
          <w:tcPr>
            <w:tcW w:w="1372" w:type="pct"/>
            <w:tcBorders>
              <w:top w:val="single" w:sz="4" w:space="0" w:color="auto"/>
              <w:bottom w:val="single" w:sz="4" w:space="0" w:color="auto"/>
            </w:tcBorders>
            <w:shd w:val="clear" w:color="auto" w:fill="auto"/>
          </w:tcPr>
          <w:p w:rsidR="00517E69" w:rsidRPr="005675B0" w:rsidRDefault="00517E69" w:rsidP="00DF6F1A">
            <w:pPr>
              <w:pStyle w:val="ENoteTableText"/>
              <w:rPr>
                <w:noProof/>
              </w:rPr>
            </w:pPr>
            <w:r w:rsidRPr="005675B0">
              <w:t>Australian Securities and Investments Commission Amendment (First Home Loan Deposit Scheme Guarantees) Regulations</w:t>
            </w:r>
            <w:r w:rsidR="005675B0">
              <w:t> </w:t>
            </w:r>
            <w:r w:rsidRPr="005675B0">
              <w:t>2019</w:t>
            </w:r>
          </w:p>
        </w:tc>
        <w:tc>
          <w:tcPr>
            <w:tcW w:w="1194" w:type="pct"/>
            <w:tcBorders>
              <w:top w:val="single" w:sz="4" w:space="0" w:color="auto"/>
              <w:bottom w:val="single" w:sz="4" w:space="0" w:color="auto"/>
            </w:tcBorders>
            <w:shd w:val="clear" w:color="auto" w:fill="auto"/>
          </w:tcPr>
          <w:p w:rsidR="00517E69" w:rsidRPr="005675B0" w:rsidRDefault="00517E69" w:rsidP="000C4F18">
            <w:pPr>
              <w:pStyle w:val="ENoteTableText"/>
            </w:pPr>
            <w:r w:rsidRPr="005675B0">
              <w:t>16 Dec 2019 (F2019L01625)</w:t>
            </w:r>
          </w:p>
        </w:tc>
        <w:tc>
          <w:tcPr>
            <w:tcW w:w="1315" w:type="pct"/>
            <w:tcBorders>
              <w:top w:val="single" w:sz="4" w:space="0" w:color="auto"/>
              <w:bottom w:val="single" w:sz="4" w:space="0" w:color="auto"/>
            </w:tcBorders>
            <w:shd w:val="clear" w:color="auto" w:fill="auto"/>
          </w:tcPr>
          <w:p w:rsidR="00517E69" w:rsidRPr="005675B0" w:rsidRDefault="00517E69" w:rsidP="00901F54">
            <w:pPr>
              <w:pStyle w:val="ENoteTableText"/>
            </w:pPr>
            <w:r w:rsidRPr="005675B0">
              <w:t>17 Dec 2019 (s 2(1) item</w:t>
            </w:r>
            <w:r w:rsidR="005675B0">
              <w:t> </w:t>
            </w:r>
            <w:r w:rsidRPr="005675B0">
              <w:t>1)</w:t>
            </w:r>
          </w:p>
        </w:tc>
        <w:tc>
          <w:tcPr>
            <w:tcW w:w="1118" w:type="pct"/>
            <w:tcBorders>
              <w:top w:val="single" w:sz="4" w:space="0" w:color="auto"/>
              <w:bottom w:val="single" w:sz="4" w:space="0" w:color="auto"/>
            </w:tcBorders>
            <w:shd w:val="clear" w:color="auto" w:fill="auto"/>
          </w:tcPr>
          <w:p w:rsidR="00517E69" w:rsidRPr="005675B0" w:rsidRDefault="00517E69" w:rsidP="00DF6F1A">
            <w:pPr>
              <w:pStyle w:val="ENoteTableText"/>
              <w:rPr>
                <w:szCs w:val="16"/>
              </w:rPr>
            </w:pPr>
            <w:r w:rsidRPr="005675B0">
              <w:rPr>
                <w:szCs w:val="16"/>
              </w:rPr>
              <w:t>—</w:t>
            </w:r>
          </w:p>
        </w:tc>
      </w:tr>
      <w:tr w:rsidR="00517E69" w:rsidRPr="005675B0" w:rsidTr="00FA7EC8">
        <w:tc>
          <w:tcPr>
            <w:tcW w:w="1372" w:type="pct"/>
            <w:tcBorders>
              <w:top w:val="single" w:sz="4" w:space="0" w:color="auto"/>
              <w:bottom w:val="single" w:sz="4" w:space="0" w:color="auto"/>
            </w:tcBorders>
            <w:shd w:val="clear" w:color="auto" w:fill="auto"/>
          </w:tcPr>
          <w:p w:rsidR="00517E69" w:rsidRPr="005675B0" w:rsidRDefault="00517E69" w:rsidP="00DF6F1A">
            <w:pPr>
              <w:pStyle w:val="ENoteTableText"/>
              <w:rPr>
                <w:noProof/>
              </w:rPr>
            </w:pPr>
            <w:r w:rsidRPr="005675B0">
              <w:t>Treasury Laws Amendment (Miscellaneous Amendments) Regulations</w:t>
            </w:r>
            <w:r w:rsidR="005675B0">
              <w:t> </w:t>
            </w:r>
            <w:r w:rsidRPr="005675B0">
              <w:t>2019</w:t>
            </w:r>
          </w:p>
        </w:tc>
        <w:tc>
          <w:tcPr>
            <w:tcW w:w="1194" w:type="pct"/>
            <w:tcBorders>
              <w:top w:val="single" w:sz="4" w:space="0" w:color="auto"/>
              <w:bottom w:val="single" w:sz="4" w:space="0" w:color="auto"/>
            </w:tcBorders>
            <w:shd w:val="clear" w:color="auto" w:fill="auto"/>
          </w:tcPr>
          <w:p w:rsidR="00517E69" w:rsidRPr="005675B0" w:rsidRDefault="00517E69" w:rsidP="000C4F18">
            <w:pPr>
              <w:pStyle w:val="ENoteTableText"/>
            </w:pPr>
            <w:r w:rsidRPr="005675B0">
              <w:t>17 Dec 2019 (F2019L01641)</w:t>
            </w:r>
          </w:p>
        </w:tc>
        <w:tc>
          <w:tcPr>
            <w:tcW w:w="1315" w:type="pct"/>
            <w:tcBorders>
              <w:top w:val="single" w:sz="4" w:space="0" w:color="auto"/>
              <w:bottom w:val="single" w:sz="4" w:space="0" w:color="auto"/>
            </w:tcBorders>
            <w:shd w:val="clear" w:color="auto" w:fill="auto"/>
          </w:tcPr>
          <w:p w:rsidR="00517E69" w:rsidRPr="005675B0" w:rsidRDefault="00517E69" w:rsidP="00901F54">
            <w:pPr>
              <w:pStyle w:val="ENoteTableText"/>
            </w:pPr>
            <w:r w:rsidRPr="005675B0">
              <w:t>Sch 1 (item</w:t>
            </w:r>
            <w:r w:rsidR="005675B0">
              <w:t> </w:t>
            </w:r>
            <w:r w:rsidRPr="005675B0">
              <w:t>1): 18 Dec 2019 (</w:t>
            </w:r>
            <w:r w:rsidR="00677974" w:rsidRPr="005675B0">
              <w:t xml:space="preserve">s </w:t>
            </w:r>
            <w:r w:rsidRPr="005675B0">
              <w:t>2(1) item</w:t>
            </w:r>
            <w:r w:rsidR="005675B0">
              <w:t> </w:t>
            </w:r>
            <w:r w:rsidRPr="005675B0">
              <w:t>2)</w:t>
            </w:r>
          </w:p>
        </w:tc>
        <w:tc>
          <w:tcPr>
            <w:tcW w:w="1118" w:type="pct"/>
            <w:tcBorders>
              <w:top w:val="single" w:sz="4" w:space="0" w:color="auto"/>
              <w:bottom w:val="single" w:sz="4" w:space="0" w:color="auto"/>
            </w:tcBorders>
            <w:shd w:val="clear" w:color="auto" w:fill="auto"/>
          </w:tcPr>
          <w:p w:rsidR="00517E69" w:rsidRPr="005675B0" w:rsidRDefault="00517E69" w:rsidP="00DF6F1A">
            <w:pPr>
              <w:pStyle w:val="ENoteTableText"/>
              <w:rPr>
                <w:szCs w:val="16"/>
              </w:rPr>
            </w:pPr>
            <w:r w:rsidRPr="005675B0">
              <w:rPr>
                <w:szCs w:val="16"/>
              </w:rPr>
              <w:t>—</w:t>
            </w:r>
          </w:p>
        </w:tc>
      </w:tr>
      <w:tr w:rsidR="00290BC0" w:rsidRPr="005675B0" w:rsidTr="002D6144">
        <w:tc>
          <w:tcPr>
            <w:tcW w:w="1372" w:type="pct"/>
            <w:tcBorders>
              <w:top w:val="single" w:sz="4" w:space="0" w:color="auto"/>
              <w:bottom w:val="single" w:sz="12" w:space="0" w:color="auto"/>
            </w:tcBorders>
            <w:shd w:val="clear" w:color="auto" w:fill="auto"/>
          </w:tcPr>
          <w:p w:rsidR="00290BC0" w:rsidRPr="005675B0" w:rsidRDefault="00290BC0" w:rsidP="00DF6F1A">
            <w:pPr>
              <w:pStyle w:val="ENoteTableText"/>
            </w:pPr>
            <w:r w:rsidRPr="005675B0">
              <w:t>Treasury Laws Amendment (Professional Standards Schemes) Regulations</w:t>
            </w:r>
            <w:r w:rsidR="005675B0">
              <w:t> </w:t>
            </w:r>
            <w:r w:rsidRPr="005675B0">
              <w:t>2020</w:t>
            </w:r>
          </w:p>
        </w:tc>
        <w:tc>
          <w:tcPr>
            <w:tcW w:w="1194" w:type="pct"/>
            <w:tcBorders>
              <w:top w:val="single" w:sz="4" w:space="0" w:color="auto"/>
              <w:bottom w:val="single" w:sz="12" w:space="0" w:color="auto"/>
            </w:tcBorders>
            <w:shd w:val="clear" w:color="auto" w:fill="auto"/>
          </w:tcPr>
          <w:p w:rsidR="00290BC0" w:rsidRPr="005675B0" w:rsidRDefault="00290BC0" w:rsidP="000C4F18">
            <w:pPr>
              <w:pStyle w:val="ENoteTableText"/>
            </w:pPr>
            <w:r w:rsidRPr="005675B0">
              <w:t>12</w:t>
            </w:r>
            <w:r w:rsidR="005675B0">
              <w:t> </w:t>
            </w:r>
            <w:r w:rsidRPr="005675B0">
              <w:t>June 2020 (F2020L00699)</w:t>
            </w:r>
          </w:p>
        </w:tc>
        <w:tc>
          <w:tcPr>
            <w:tcW w:w="1315" w:type="pct"/>
            <w:tcBorders>
              <w:top w:val="single" w:sz="4" w:space="0" w:color="auto"/>
              <w:bottom w:val="single" w:sz="12" w:space="0" w:color="auto"/>
            </w:tcBorders>
            <w:shd w:val="clear" w:color="auto" w:fill="auto"/>
          </w:tcPr>
          <w:p w:rsidR="00290BC0" w:rsidRPr="005675B0" w:rsidRDefault="00290BC0" w:rsidP="00901F54">
            <w:pPr>
              <w:pStyle w:val="ENoteTableText"/>
            </w:pPr>
            <w:r w:rsidRPr="005675B0">
              <w:t>Sch 1 (items</w:t>
            </w:r>
            <w:r w:rsidR="005675B0">
              <w:t> </w:t>
            </w:r>
            <w:r w:rsidRPr="005675B0">
              <w:t>1–5): 1</w:t>
            </w:r>
            <w:r w:rsidR="005675B0">
              <w:t> </w:t>
            </w:r>
            <w:r w:rsidRPr="005675B0">
              <w:t>July 2020 (s 2(1) item</w:t>
            </w:r>
            <w:r w:rsidR="005675B0">
              <w:t> </w:t>
            </w:r>
            <w:r w:rsidRPr="005675B0">
              <w:t>1)</w:t>
            </w:r>
          </w:p>
        </w:tc>
        <w:tc>
          <w:tcPr>
            <w:tcW w:w="1118" w:type="pct"/>
            <w:tcBorders>
              <w:top w:val="single" w:sz="4" w:space="0" w:color="auto"/>
              <w:bottom w:val="single" w:sz="12" w:space="0" w:color="auto"/>
            </w:tcBorders>
            <w:shd w:val="clear" w:color="auto" w:fill="auto"/>
          </w:tcPr>
          <w:p w:rsidR="00290BC0" w:rsidRPr="005675B0" w:rsidRDefault="00290BC0" w:rsidP="00DF6F1A">
            <w:pPr>
              <w:pStyle w:val="ENoteTableText"/>
              <w:rPr>
                <w:szCs w:val="16"/>
              </w:rPr>
            </w:pPr>
            <w:r w:rsidRPr="005675B0">
              <w:rPr>
                <w:szCs w:val="16"/>
              </w:rPr>
              <w:t>—</w:t>
            </w:r>
          </w:p>
        </w:tc>
      </w:tr>
    </w:tbl>
    <w:p w:rsidR="00DF6F1A" w:rsidRPr="005675B0" w:rsidRDefault="00DF6F1A" w:rsidP="001C2892">
      <w:pPr>
        <w:pStyle w:val="Tabletext"/>
      </w:pPr>
    </w:p>
    <w:p w:rsidR="004C7D0D" w:rsidRPr="005675B0" w:rsidRDefault="004C7D0D" w:rsidP="00C56D30">
      <w:pPr>
        <w:pStyle w:val="ENotesHeading2"/>
        <w:pageBreakBefore/>
        <w:outlineLvl w:val="9"/>
      </w:pPr>
      <w:bookmarkStart w:id="90" w:name="_Toc46238206"/>
      <w:r w:rsidRPr="005675B0">
        <w:lastRenderedPageBreak/>
        <w:t>Endnote 4—Amendment history</w:t>
      </w:r>
      <w:bookmarkEnd w:id="90"/>
    </w:p>
    <w:p w:rsidR="00BB7319" w:rsidRPr="005675B0" w:rsidRDefault="00BB7319" w:rsidP="00DE27A5">
      <w:pPr>
        <w:pStyle w:val="Tabletext"/>
      </w:pPr>
    </w:p>
    <w:tbl>
      <w:tblPr>
        <w:tblW w:w="489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2373"/>
        <w:gridCol w:w="5970"/>
      </w:tblGrid>
      <w:tr w:rsidR="00C24767" w:rsidRPr="005675B0" w:rsidTr="007636A5">
        <w:trPr>
          <w:tblHeader/>
        </w:trPr>
        <w:tc>
          <w:tcPr>
            <w:tcW w:w="1422" w:type="pct"/>
            <w:tcBorders>
              <w:top w:val="single" w:sz="12" w:space="0" w:color="auto"/>
              <w:bottom w:val="single" w:sz="12" w:space="0" w:color="auto"/>
            </w:tcBorders>
            <w:shd w:val="clear" w:color="auto" w:fill="auto"/>
          </w:tcPr>
          <w:p w:rsidR="00C24767" w:rsidRPr="005675B0" w:rsidRDefault="00C24767" w:rsidP="00DF6F1A">
            <w:pPr>
              <w:pStyle w:val="ENoteTableHeading"/>
              <w:tabs>
                <w:tab w:val="center" w:leader="dot" w:pos="2268"/>
              </w:tabs>
            </w:pPr>
            <w:r w:rsidRPr="005675B0">
              <w:t>Provision affected</w:t>
            </w:r>
          </w:p>
        </w:tc>
        <w:tc>
          <w:tcPr>
            <w:tcW w:w="3578" w:type="pct"/>
            <w:tcBorders>
              <w:top w:val="single" w:sz="12" w:space="0" w:color="auto"/>
              <w:bottom w:val="single" w:sz="12" w:space="0" w:color="auto"/>
            </w:tcBorders>
            <w:shd w:val="clear" w:color="auto" w:fill="auto"/>
          </w:tcPr>
          <w:p w:rsidR="00C24767" w:rsidRPr="005675B0" w:rsidRDefault="00C24767" w:rsidP="00DF6F1A">
            <w:pPr>
              <w:pStyle w:val="ENoteTableHeading"/>
              <w:tabs>
                <w:tab w:val="center" w:leader="dot" w:pos="2268"/>
              </w:tabs>
            </w:pPr>
            <w:r w:rsidRPr="005675B0">
              <w:t>How affected</w:t>
            </w:r>
          </w:p>
        </w:tc>
      </w:tr>
      <w:tr w:rsidR="00A913DE" w:rsidRPr="005675B0" w:rsidTr="007636A5">
        <w:tc>
          <w:tcPr>
            <w:tcW w:w="1422" w:type="pct"/>
            <w:tcBorders>
              <w:top w:val="single" w:sz="12" w:space="0" w:color="auto"/>
              <w:bottom w:val="nil"/>
            </w:tcBorders>
            <w:shd w:val="clear" w:color="auto" w:fill="auto"/>
          </w:tcPr>
          <w:p w:rsidR="00A913DE" w:rsidRPr="005675B0" w:rsidRDefault="00A913DE" w:rsidP="00EC2BEA">
            <w:pPr>
              <w:pStyle w:val="ENoteTableText"/>
              <w:tabs>
                <w:tab w:val="center" w:leader="dot" w:pos="2268"/>
              </w:tabs>
            </w:pPr>
            <w:r w:rsidRPr="005675B0">
              <w:t>Note</w:t>
            </w:r>
            <w:r w:rsidR="005C0818" w:rsidRPr="005675B0">
              <w:t xml:space="preserve"> about numbering</w:t>
            </w:r>
            <w:r w:rsidRPr="005675B0">
              <w:tab/>
            </w:r>
          </w:p>
        </w:tc>
        <w:tc>
          <w:tcPr>
            <w:tcW w:w="3578" w:type="pct"/>
            <w:tcBorders>
              <w:top w:val="single" w:sz="12" w:space="0" w:color="auto"/>
              <w:bottom w:val="nil"/>
            </w:tcBorders>
            <w:shd w:val="clear" w:color="auto" w:fill="auto"/>
          </w:tcPr>
          <w:p w:rsidR="00A913DE" w:rsidRPr="005675B0" w:rsidRDefault="00A913DE" w:rsidP="00A53ED4">
            <w:pPr>
              <w:pStyle w:val="ENoteTableText"/>
              <w:rPr>
                <w:u w:val="single"/>
              </w:rPr>
            </w:pPr>
            <w:r w:rsidRPr="005675B0">
              <w:t>rep F2019L01641</w:t>
            </w:r>
          </w:p>
        </w:tc>
      </w:tr>
      <w:tr w:rsidR="00BB7319" w:rsidRPr="005675B0" w:rsidTr="007636A5">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Part</w:t>
            </w:r>
            <w:r w:rsidR="005675B0">
              <w:rPr>
                <w:b/>
              </w:rPr>
              <w:t> </w:t>
            </w:r>
            <w:r w:rsidRPr="005675B0">
              <w:rPr>
                <w:b/>
              </w:rPr>
              <w:t>1</w:t>
            </w:r>
          </w:p>
        </w:tc>
        <w:tc>
          <w:tcPr>
            <w:tcW w:w="3578" w:type="pct"/>
            <w:tcBorders>
              <w:top w:val="nil"/>
              <w:bottom w:val="nil"/>
            </w:tcBorders>
            <w:shd w:val="clear" w:color="auto" w:fill="auto"/>
          </w:tcPr>
          <w:p w:rsidR="00BB7319" w:rsidRPr="005675B0" w:rsidRDefault="00BB7319" w:rsidP="00A53ED4">
            <w:pPr>
              <w:pStyle w:val="ENoteTableText"/>
            </w:pPr>
          </w:p>
        </w:tc>
      </w:tr>
      <w:tr w:rsidR="00C502A0" w:rsidRPr="005675B0" w:rsidTr="002D6144">
        <w:tc>
          <w:tcPr>
            <w:tcW w:w="1422" w:type="pct"/>
            <w:tcBorders>
              <w:top w:val="nil"/>
              <w:bottom w:val="nil"/>
            </w:tcBorders>
            <w:shd w:val="clear" w:color="auto" w:fill="auto"/>
          </w:tcPr>
          <w:p w:rsidR="00C502A0" w:rsidRPr="005675B0" w:rsidRDefault="00C502A0" w:rsidP="00EC2BEA">
            <w:pPr>
              <w:pStyle w:val="ENoteTableText"/>
              <w:tabs>
                <w:tab w:val="center" w:leader="dot" w:pos="2268"/>
              </w:tabs>
            </w:pPr>
            <w:r w:rsidRPr="005675B0">
              <w:t>r 1A</w:t>
            </w:r>
            <w:r w:rsidRPr="005675B0">
              <w:tab/>
            </w:r>
          </w:p>
        </w:tc>
        <w:tc>
          <w:tcPr>
            <w:tcW w:w="3578" w:type="pct"/>
            <w:tcBorders>
              <w:top w:val="nil"/>
              <w:bottom w:val="nil"/>
            </w:tcBorders>
            <w:shd w:val="clear" w:color="auto" w:fill="auto"/>
          </w:tcPr>
          <w:p w:rsidR="00C502A0" w:rsidRPr="005675B0" w:rsidRDefault="00C502A0" w:rsidP="00EC2BEA">
            <w:pPr>
              <w:pStyle w:val="ENoteTableText"/>
            </w:pPr>
            <w:r w:rsidRPr="005675B0">
              <w:t>rep LA s 48D</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rFonts w:ascii="Arial" w:hAnsi="Arial"/>
              </w:rPr>
            </w:pPr>
            <w:r w:rsidRPr="005675B0">
              <w:t>r 2</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D203BE" w:rsidRPr="005675B0">
              <w:t xml:space="preserve">No 69, </w:t>
            </w:r>
            <w:r w:rsidRPr="005675B0">
              <w:t>2012</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2A</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2AC</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210, </w:t>
            </w:r>
            <w:r w:rsidRPr="005675B0">
              <w:t>2004</w:t>
            </w:r>
          </w:p>
        </w:tc>
      </w:tr>
      <w:tr w:rsidR="00D3792A" w:rsidRPr="005675B0" w:rsidTr="002D6144">
        <w:tc>
          <w:tcPr>
            <w:tcW w:w="1422" w:type="pct"/>
            <w:tcBorders>
              <w:top w:val="nil"/>
              <w:bottom w:val="nil"/>
            </w:tcBorders>
            <w:shd w:val="clear" w:color="auto" w:fill="auto"/>
          </w:tcPr>
          <w:p w:rsidR="00D3792A" w:rsidRPr="005675B0"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5675B0" w:rsidRDefault="00D3792A" w:rsidP="00EC2BEA">
            <w:pPr>
              <w:pStyle w:val="ENoteTableText"/>
            </w:pPr>
            <w:r w:rsidRPr="005675B0">
              <w:t>am No 152, 2013</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2B</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2BA</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87, </w:t>
            </w:r>
            <w:r w:rsidRPr="005675B0">
              <w:t>2010</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2BB</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69, </w:t>
            </w:r>
            <w:r w:rsidRPr="005675B0">
              <w:t>2012</w:t>
            </w:r>
          </w:p>
        </w:tc>
      </w:tr>
      <w:tr w:rsidR="00ED088F" w:rsidRPr="005675B0" w:rsidTr="002D6144">
        <w:tc>
          <w:tcPr>
            <w:tcW w:w="1422" w:type="pct"/>
            <w:tcBorders>
              <w:top w:val="nil"/>
              <w:bottom w:val="nil"/>
            </w:tcBorders>
            <w:shd w:val="clear" w:color="auto" w:fill="auto"/>
          </w:tcPr>
          <w:p w:rsidR="00ED088F" w:rsidRPr="005675B0" w:rsidRDefault="00ED088F" w:rsidP="00EC2BEA">
            <w:pPr>
              <w:pStyle w:val="ENoteTableText"/>
              <w:tabs>
                <w:tab w:val="center" w:leader="dot" w:pos="2268"/>
              </w:tabs>
            </w:pPr>
          </w:p>
        </w:tc>
        <w:tc>
          <w:tcPr>
            <w:tcW w:w="3578" w:type="pct"/>
            <w:tcBorders>
              <w:top w:val="nil"/>
              <w:bottom w:val="nil"/>
            </w:tcBorders>
            <w:shd w:val="clear" w:color="auto" w:fill="auto"/>
          </w:tcPr>
          <w:p w:rsidR="00ED088F" w:rsidRPr="005675B0" w:rsidRDefault="00ED088F" w:rsidP="00EC2BEA">
            <w:pPr>
              <w:pStyle w:val="ENoteTableText"/>
            </w:pPr>
            <w:r w:rsidRPr="005675B0">
              <w:t>(1) exp 1</w:t>
            </w:r>
            <w:r w:rsidR="005675B0">
              <w:t> </w:t>
            </w:r>
            <w:r w:rsidRPr="005675B0">
              <w:t>July 2012 (r 2BB(2))</w:t>
            </w:r>
          </w:p>
        </w:tc>
      </w:tr>
      <w:tr w:rsidR="00F0641B" w:rsidRPr="005675B0" w:rsidTr="002D6144">
        <w:tc>
          <w:tcPr>
            <w:tcW w:w="1422" w:type="pct"/>
            <w:tcBorders>
              <w:top w:val="nil"/>
              <w:bottom w:val="nil"/>
            </w:tcBorders>
            <w:shd w:val="clear" w:color="auto" w:fill="auto"/>
          </w:tcPr>
          <w:p w:rsidR="00F0641B" w:rsidRPr="005675B0" w:rsidRDefault="00F0641B" w:rsidP="00EC2BEA">
            <w:pPr>
              <w:pStyle w:val="ENoteTableText"/>
              <w:tabs>
                <w:tab w:val="center" w:leader="dot" w:pos="2268"/>
              </w:tabs>
            </w:pPr>
            <w:r w:rsidRPr="005675B0">
              <w:t>r 2BC</w:t>
            </w:r>
            <w:r w:rsidRPr="005675B0">
              <w:tab/>
            </w:r>
          </w:p>
        </w:tc>
        <w:tc>
          <w:tcPr>
            <w:tcW w:w="3578" w:type="pct"/>
            <w:tcBorders>
              <w:top w:val="nil"/>
              <w:bottom w:val="nil"/>
            </w:tcBorders>
            <w:shd w:val="clear" w:color="auto" w:fill="auto"/>
          </w:tcPr>
          <w:p w:rsidR="00F0641B" w:rsidRPr="005675B0" w:rsidRDefault="00F0641B" w:rsidP="00EC2BEA">
            <w:pPr>
              <w:pStyle w:val="ENoteTableText"/>
            </w:pPr>
            <w:r w:rsidRPr="005675B0">
              <w:t>ad No 33, 2014</w:t>
            </w:r>
          </w:p>
        </w:tc>
      </w:tr>
      <w:tr w:rsidR="00F86768" w:rsidRPr="005675B0" w:rsidTr="002D6144">
        <w:tc>
          <w:tcPr>
            <w:tcW w:w="1422" w:type="pct"/>
            <w:tcBorders>
              <w:top w:val="nil"/>
              <w:bottom w:val="nil"/>
            </w:tcBorders>
            <w:shd w:val="clear" w:color="auto" w:fill="auto"/>
          </w:tcPr>
          <w:p w:rsidR="00F86768" w:rsidRPr="005675B0" w:rsidRDefault="00F86768" w:rsidP="00EC2BEA">
            <w:pPr>
              <w:pStyle w:val="ENoteTableText"/>
              <w:tabs>
                <w:tab w:val="center" w:leader="dot" w:pos="2268"/>
              </w:tabs>
            </w:pPr>
            <w:r w:rsidRPr="005675B0">
              <w:t>r 2BD</w:t>
            </w:r>
            <w:r w:rsidRPr="005675B0">
              <w:tab/>
            </w:r>
          </w:p>
        </w:tc>
        <w:tc>
          <w:tcPr>
            <w:tcW w:w="3578" w:type="pct"/>
            <w:tcBorders>
              <w:top w:val="nil"/>
              <w:bottom w:val="nil"/>
            </w:tcBorders>
            <w:shd w:val="clear" w:color="auto" w:fill="auto"/>
          </w:tcPr>
          <w:p w:rsidR="00F86768" w:rsidRPr="005675B0" w:rsidRDefault="00F86768" w:rsidP="00EC2BEA">
            <w:pPr>
              <w:pStyle w:val="ENoteTableText"/>
            </w:pPr>
            <w:r w:rsidRPr="005675B0">
              <w:t>ad F2019L01625</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2C</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107, </w:t>
            </w:r>
            <w:r w:rsidRPr="005675B0">
              <w:t>2003</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rs </w:t>
            </w:r>
            <w:r w:rsidR="00D203BE" w:rsidRPr="005675B0">
              <w:t xml:space="preserve">No 331, </w:t>
            </w:r>
            <w:r w:rsidRPr="005675B0">
              <w:t>2010</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2D</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86, </w:t>
            </w:r>
            <w:r w:rsidRPr="005675B0">
              <w:t>2010</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2E</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278, </w:t>
            </w:r>
            <w:r w:rsidRPr="005675B0">
              <w:t>2010</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2F</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278, </w:t>
            </w:r>
            <w:r w:rsidRPr="005675B0">
              <w:t>2010</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Part</w:t>
            </w:r>
            <w:r w:rsidR="005675B0">
              <w:rPr>
                <w:b/>
              </w:rPr>
              <w:t> </w:t>
            </w:r>
            <w:r w:rsidRPr="005675B0">
              <w:rPr>
                <w:b/>
              </w:rPr>
              <w:t>2</w:t>
            </w:r>
          </w:p>
        </w:tc>
        <w:tc>
          <w:tcPr>
            <w:tcW w:w="3578" w:type="pct"/>
            <w:tcBorders>
              <w:top w:val="nil"/>
              <w:bottom w:val="nil"/>
            </w:tcBorders>
            <w:shd w:val="clear" w:color="auto" w:fill="auto"/>
          </w:tcPr>
          <w:p w:rsidR="00BB7319" w:rsidRPr="005675B0" w:rsidRDefault="00BB7319" w:rsidP="00EC2BEA">
            <w:pPr>
              <w:pStyle w:val="ENoteTableText"/>
            </w:pP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3A</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101, </w:t>
            </w:r>
            <w:r w:rsidRPr="005675B0">
              <w:t>2006</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D203BE" w:rsidRPr="005675B0">
              <w:t xml:space="preserve">No 247, </w:t>
            </w:r>
            <w:r w:rsidRPr="005675B0">
              <w:t xml:space="preserve">2012; </w:t>
            </w:r>
            <w:r w:rsidR="00577761" w:rsidRPr="005675B0">
              <w:t>No</w:t>
            </w:r>
            <w:r w:rsidR="00091A5B" w:rsidRPr="005675B0">
              <w:t> </w:t>
            </w:r>
            <w:r w:rsidR="00577761" w:rsidRPr="005675B0">
              <w:t xml:space="preserve">25, </w:t>
            </w:r>
            <w:r w:rsidRPr="005675B0">
              <w:t>2013</w:t>
            </w:r>
            <w:r w:rsidR="00F0641B" w:rsidRPr="005675B0">
              <w:t>; No 33, 2014</w:t>
            </w:r>
            <w:r w:rsidR="00FC611C" w:rsidRPr="005675B0">
              <w:t>; No 88, 2014</w:t>
            </w:r>
          </w:p>
        </w:tc>
      </w:tr>
      <w:tr w:rsidR="000062AA" w:rsidRPr="005675B0" w:rsidTr="002D6144">
        <w:tc>
          <w:tcPr>
            <w:tcW w:w="1422" w:type="pct"/>
            <w:tcBorders>
              <w:top w:val="nil"/>
              <w:bottom w:val="nil"/>
            </w:tcBorders>
            <w:shd w:val="clear" w:color="auto" w:fill="auto"/>
          </w:tcPr>
          <w:p w:rsidR="000062AA" w:rsidRPr="005675B0" w:rsidRDefault="000062AA" w:rsidP="00EC2BEA">
            <w:pPr>
              <w:pStyle w:val="ENoteTableText"/>
              <w:tabs>
                <w:tab w:val="center" w:leader="dot" w:pos="2268"/>
              </w:tabs>
            </w:pPr>
          </w:p>
        </w:tc>
        <w:tc>
          <w:tcPr>
            <w:tcW w:w="3578" w:type="pct"/>
            <w:tcBorders>
              <w:top w:val="nil"/>
              <w:bottom w:val="nil"/>
            </w:tcBorders>
            <w:shd w:val="clear" w:color="auto" w:fill="auto"/>
          </w:tcPr>
          <w:p w:rsidR="000062AA" w:rsidRPr="005675B0" w:rsidRDefault="000062AA" w:rsidP="00EC2BEA">
            <w:pPr>
              <w:pStyle w:val="ENoteTableText"/>
            </w:pPr>
            <w:r w:rsidRPr="005675B0">
              <w:t>rs No 185, 2014</w:t>
            </w:r>
          </w:p>
        </w:tc>
      </w:tr>
      <w:tr w:rsidR="002F63AF" w:rsidRPr="005675B0" w:rsidTr="002D6144">
        <w:tc>
          <w:tcPr>
            <w:tcW w:w="1422" w:type="pct"/>
            <w:tcBorders>
              <w:top w:val="nil"/>
              <w:bottom w:val="nil"/>
            </w:tcBorders>
            <w:shd w:val="clear" w:color="auto" w:fill="auto"/>
          </w:tcPr>
          <w:p w:rsidR="002F63AF" w:rsidRPr="005675B0" w:rsidRDefault="002F63AF" w:rsidP="00EC2BEA">
            <w:pPr>
              <w:pStyle w:val="ENoteTableText"/>
              <w:tabs>
                <w:tab w:val="center" w:leader="dot" w:pos="2268"/>
              </w:tabs>
            </w:pPr>
          </w:p>
        </w:tc>
        <w:tc>
          <w:tcPr>
            <w:tcW w:w="3578" w:type="pct"/>
            <w:tcBorders>
              <w:top w:val="nil"/>
              <w:bottom w:val="nil"/>
            </w:tcBorders>
            <w:shd w:val="clear" w:color="auto" w:fill="auto"/>
          </w:tcPr>
          <w:p w:rsidR="002F63AF" w:rsidRPr="005675B0" w:rsidRDefault="002F63AF" w:rsidP="00EC2BEA">
            <w:pPr>
              <w:pStyle w:val="ENoteTableText"/>
            </w:pPr>
            <w:r w:rsidRPr="005675B0">
              <w:t xml:space="preserve">am </w:t>
            </w:r>
            <w:r w:rsidR="008E20CC" w:rsidRPr="005675B0">
              <w:t xml:space="preserve">No </w:t>
            </w:r>
            <w:r w:rsidRPr="005675B0">
              <w:t>92, 2015</w:t>
            </w:r>
            <w:r w:rsidR="00E237D6" w:rsidRPr="005675B0">
              <w:t>; No 134, 2015</w:t>
            </w:r>
            <w:r w:rsidR="00DF6F1A" w:rsidRPr="005675B0">
              <w:t>; F2016L00156</w:t>
            </w:r>
            <w:r w:rsidR="004A1FAA" w:rsidRPr="005675B0">
              <w:t>; F2017L00595</w:t>
            </w:r>
            <w:r w:rsidR="00DE4CE4" w:rsidRPr="005675B0">
              <w:t>; F2018L00096</w:t>
            </w:r>
            <w:r w:rsidR="00CF093F" w:rsidRPr="005675B0">
              <w:t>; F2018L01393</w:t>
            </w:r>
            <w:r w:rsidR="00E779FB" w:rsidRPr="005675B0">
              <w:t>; F2019L00368</w:t>
            </w:r>
            <w:r w:rsidR="00302B74" w:rsidRPr="005675B0">
              <w:t>; F2019L01351</w:t>
            </w:r>
            <w:r w:rsidR="00290BC0" w:rsidRPr="005675B0">
              <w:t>; F2020L00699</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3</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D203BE" w:rsidRPr="005675B0">
              <w:t xml:space="preserve">No 317, </w:t>
            </w:r>
            <w:r w:rsidRPr="005675B0">
              <w:t>2001;</w:t>
            </w:r>
            <w:r w:rsidR="00D203BE" w:rsidRPr="005675B0">
              <w:t xml:space="preserve"> No 69,</w:t>
            </w:r>
            <w:r w:rsidRPr="005675B0">
              <w:t xml:space="preserve"> 2012</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5</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D203BE"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8AA</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322, </w:t>
            </w:r>
            <w:r w:rsidRPr="005675B0">
              <w:t>2007</w:t>
            </w:r>
          </w:p>
        </w:tc>
      </w:tr>
      <w:tr w:rsidR="00D3792A" w:rsidRPr="005675B0" w:rsidTr="002D6144">
        <w:tc>
          <w:tcPr>
            <w:tcW w:w="1422" w:type="pct"/>
            <w:tcBorders>
              <w:top w:val="nil"/>
              <w:bottom w:val="nil"/>
            </w:tcBorders>
            <w:shd w:val="clear" w:color="auto" w:fill="auto"/>
          </w:tcPr>
          <w:p w:rsidR="00D3792A" w:rsidRPr="005675B0"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5675B0" w:rsidRDefault="00D3792A" w:rsidP="00EC2BEA">
            <w:pPr>
              <w:pStyle w:val="ENoteTableText"/>
            </w:pPr>
            <w:r w:rsidRPr="005675B0">
              <w:t>am No 152, 2013</w:t>
            </w:r>
          </w:p>
        </w:tc>
      </w:tr>
      <w:tr w:rsidR="00BE7D5C" w:rsidRPr="005675B0" w:rsidTr="002D6144">
        <w:tc>
          <w:tcPr>
            <w:tcW w:w="1422" w:type="pct"/>
            <w:tcBorders>
              <w:top w:val="nil"/>
              <w:bottom w:val="nil"/>
            </w:tcBorders>
            <w:shd w:val="clear" w:color="auto" w:fill="auto"/>
          </w:tcPr>
          <w:p w:rsidR="00BE7D5C" w:rsidRPr="005675B0" w:rsidRDefault="00BE7D5C" w:rsidP="00EC2BEA">
            <w:pPr>
              <w:pStyle w:val="ENoteTableText"/>
              <w:tabs>
                <w:tab w:val="center" w:leader="dot" w:pos="2268"/>
              </w:tabs>
            </w:pPr>
          </w:p>
        </w:tc>
        <w:tc>
          <w:tcPr>
            <w:tcW w:w="3578" w:type="pct"/>
            <w:tcBorders>
              <w:top w:val="nil"/>
              <w:bottom w:val="nil"/>
            </w:tcBorders>
            <w:shd w:val="clear" w:color="auto" w:fill="auto"/>
          </w:tcPr>
          <w:p w:rsidR="00BE7D5C" w:rsidRPr="005675B0" w:rsidRDefault="00BE7D5C" w:rsidP="00EC2BEA">
            <w:pPr>
              <w:pStyle w:val="ENoteTableText"/>
            </w:pPr>
            <w:r w:rsidRPr="005675B0">
              <w:t>rs F2016L01926</w:t>
            </w:r>
          </w:p>
        </w:tc>
      </w:tr>
      <w:tr w:rsidR="007B0615" w:rsidRPr="005675B0" w:rsidTr="002D6144">
        <w:tc>
          <w:tcPr>
            <w:tcW w:w="1422" w:type="pct"/>
            <w:tcBorders>
              <w:top w:val="nil"/>
              <w:bottom w:val="nil"/>
            </w:tcBorders>
            <w:shd w:val="clear" w:color="auto" w:fill="auto"/>
          </w:tcPr>
          <w:p w:rsidR="007B0615" w:rsidRPr="005675B0" w:rsidRDefault="007B0615" w:rsidP="00EC2BEA">
            <w:pPr>
              <w:pStyle w:val="ENoteTableText"/>
              <w:tabs>
                <w:tab w:val="center" w:leader="dot" w:pos="2268"/>
              </w:tabs>
            </w:pPr>
            <w:r w:rsidRPr="005675B0">
              <w:t>r 8AAA</w:t>
            </w:r>
            <w:r w:rsidRPr="005675B0">
              <w:tab/>
            </w:r>
          </w:p>
        </w:tc>
        <w:tc>
          <w:tcPr>
            <w:tcW w:w="3578" w:type="pct"/>
            <w:tcBorders>
              <w:top w:val="nil"/>
              <w:bottom w:val="nil"/>
            </w:tcBorders>
            <w:shd w:val="clear" w:color="auto" w:fill="auto"/>
          </w:tcPr>
          <w:p w:rsidR="007B0615" w:rsidRPr="005675B0" w:rsidRDefault="007B0615" w:rsidP="00EC2BEA">
            <w:pPr>
              <w:pStyle w:val="ENoteTableText"/>
            </w:pPr>
            <w:r w:rsidRPr="005675B0">
              <w:t>ad No 192, 2013</w:t>
            </w:r>
          </w:p>
        </w:tc>
      </w:tr>
      <w:tr w:rsidR="00BE7D5C" w:rsidRPr="005675B0" w:rsidTr="002D6144">
        <w:tc>
          <w:tcPr>
            <w:tcW w:w="1422" w:type="pct"/>
            <w:tcBorders>
              <w:top w:val="nil"/>
              <w:bottom w:val="nil"/>
            </w:tcBorders>
            <w:shd w:val="clear" w:color="auto" w:fill="auto"/>
          </w:tcPr>
          <w:p w:rsidR="00BE7D5C" w:rsidRPr="005675B0" w:rsidRDefault="00BE7D5C" w:rsidP="00EC2BEA">
            <w:pPr>
              <w:pStyle w:val="ENoteTableText"/>
              <w:tabs>
                <w:tab w:val="center" w:leader="dot" w:pos="2268"/>
              </w:tabs>
            </w:pPr>
          </w:p>
        </w:tc>
        <w:tc>
          <w:tcPr>
            <w:tcW w:w="3578" w:type="pct"/>
            <w:tcBorders>
              <w:top w:val="nil"/>
              <w:bottom w:val="nil"/>
            </w:tcBorders>
            <w:shd w:val="clear" w:color="auto" w:fill="auto"/>
          </w:tcPr>
          <w:p w:rsidR="00BE7D5C" w:rsidRPr="005675B0" w:rsidRDefault="00BE7D5C" w:rsidP="00EC2BEA">
            <w:pPr>
              <w:pStyle w:val="ENoteTableText"/>
            </w:pPr>
            <w:r w:rsidRPr="005675B0">
              <w:t>am F2016L01926</w:t>
            </w:r>
            <w:r w:rsidR="00F17BFF" w:rsidRPr="005675B0">
              <w:t>; F2018L01144</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8B</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D203BE" w:rsidRPr="005675B0">
              <w:t xml:space="preserve">No 183, </w:t>
            </w:r>
            <w:r w:rsidRPr="005675B0">
              <w:t>2010</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Part</w:t>
            </w:r>
            <w:r w:rsidR="005675B0">
              <w:rPr>
                <w:b/>
              </w:rPr>
              <w:t> </w:t>
            </w:r>
            <w:r w:rsidRPr="005675B0">
              <w:rPr>
                <w:b/>
              </w:rPr>
              <w:t>3</w:t>
            </w:r>
          </w:p>
        </w:tc>
        <w:tc>
          <w:tcPr>
            <w:tcW w:w="3578" w:type="pct"/>
            <w:tcBorders>
              <w:top w:val="nil"/>
              <w:bottom w:val="nil"/>
            </w:tcBorders>
            <w:shd w:val="clear" w:color="auto" w:fill="auto"/>
          </w:tcPr>
          <w:p w:rsidR="00BB7319" w:rsidRPr="005675B0" w:rsidRDefault="00BB7319" w:rsidP="00EC2BEA">
            <w:pPr>
              <w:pStyle w:val="ENoteTableText"/>
            </w:pP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Division</w:t>
            </w:r>
            <w:r w:rsidR="005675B0">
              <w:rPr>
                <w:b/>
              </w:rPr>
              <w:t> </w:t>
            </w:r>
            <w:r w:rsidRPr="005675B0">
              <w:rPr>
                <w:b/>
              </w:rPr>
              <w:t>1</w:t>
            </w:r>
          </w:p>
        </w:tc>
        <w:tc>
          <w:tcPr>
            <w:tcW w:w="3578" w:type="pct"/>
            <w:tcBorders>
              <w:top w:val="nil"/>
              <w:bottom w:val="nil"/>
            </w:tcBorders>
            <w:shd w:val="clear" w:color="auto" w:fill="auto"/>
          </w:tcPr>
          <w:p w:rsidR="00BB7319" w:rsidRPr="005675B0" w:rsidRDefault="00BB7319" w:rsidP="00EC2BEA">
            <w:pPr>
              <w:pStyle w:val="ENoteTableText"/>
            </w:pP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15</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D203BE" w:rsidRPr="005675B0">
              <w:t xml:space="preserve">No 317, </w:t>
            </w:r>
            <w:r w:rsidRPr="005675B0">
              <w:t>2001</w:t>
            </w:r>
          </w:p>
        </w:tc>
      </w:tr>
      <w:tr w:rsidR="007B0615" w:rsidRPr="005675B0" w:rsidTr="002D6144">
        <w:tc>
          <w:tcPr>
            <w:tcW w:w="1422" w:type="pct"/>
            <w:tcBorders>
              <w:top w:val="nil"/>
              <w:bottom w:val="nil"/>
            </w:tcBorders>
            <w:shd w:val="clear" w:color="auto" w:fill="auto"/>
          </w:tcPr>
          <w:p w:rsidR="007B0615" w:rsidRPr="005675B0" w:rsidRDefault="007B0615" w:rsidP="00EC2BEA">
            <w:pPr>
              <w:pStyle w:val="ENoteTableText"/>
              <w:tabs>
                <w:tab w:val="center" w:leader="dot" w:pos="2268"/>
              </w:tabs>
              <w:rPr>
                <w:b/>
              </w:rPr>
            </w:pPr>
            <w:r w:rsidRPr="005675B0">
              <w:rPr>
                <w:b/>
              </w:rPr>
              <w:t>Div</w:t>
            </w:r>
            <w:r w:rsidR="002234A8" w:rsidRPr="005675B0">
              <w:rPr>
                <w:b/>
              </w:rPr>
              <w:t>ision</w:t>
            </w:r>
            <w:r w:rsidR="005675B0">
              <w:rPr>
                <w:b/>
              </w:rPr>
              <w:t> </w:t>
            </w:r>
            <w:r w:rsidRPr="005675B0">
              <w:rPr>
                <w:b/>
              </w:rPr>
              <w:t>3</w:t>
            </w:r>
          </w:p>
        </w:tc>
        <w:tc>
          <w:tcPr>
            <w:tcW w:w="3578" w:type="pct"/>
            <w:tcBorders>
              <w:top w:val="nil"/>
              <w:bottom w:val="nil"/>
            </w:tcBorders>
            <w:shd w:val="clear" w:color="auto" w:fill="auto"/>
          </w:tcPr>
          <w:p w:rsidR="007B0615" w:rsidRPr="005675B0" w:rsidRDefault="007B0615" w:rsidP="00EC2BEA">
            <w:pPr>
              <w:pStyle w:val="ENoteTableText"/>
            </w:pPr>
          </w:p>
        </w:tc>
      </w:tr>
      <w:tr w:rsidR="007B0615" w:rsidRPr="005675B0" w:rsidTr="002D6144">
        <w:tc>
          <w:tcPr>
            <w:tcW w:w="1422" w:type="pct"/>
            <w:tcBorders>
              <w:top w:val="nil"/>
              <w:bottom w:val="nil"/>
            </w:tcBorders>
            <w:shd w:val="clear" w:color="auto" w:fill="auto"/>
          </w:tcPr>
          <w:p w:rsidR="007B0615" w:rsidRPr="005675B0" w:rsidRDefault="00157A48" w:rsidP="00EC2BEA">
            <w:pPr>
              <w:pStyle w:val="ENoteTableText"/>
              <w:tabs>
                <w:tab w:val="center" w:leader="dot" w:pos="2268"/>
              </w:tabs>
            </w:pPr>
            <w:r w:rsidRPr="005675B0">
              <w:t>r</w:t>
            </w:r>
            <w:r w:rsidR="007B0615" w:rsidRPr="005675B0">
              <w:t xml:space="preserve"> 21</w:t>
            </w:r>
            <w:r w:rsidR="007B0615" w:rsidRPr="005675B0">
              <w:tab/>
            </w:r>
          </w:p>
        </w:tc>
        <w:tc>
          <w:tcPr>
            <w:tcW w:w="3578" w:type="pct"/>
            <w:tcBorders>
              <w:top w:val="nil"/>
              <w:bottom w:val="nil"/>
            </w:tcBorders>
            <w:shd w:val="clear" w:color="auto" w:fill="auto"/>
          </w:tcPr>
          <w:p w:rsidR="007B0615" w:rsidRPr="005675B0" w:rsidRDefault="007B0615" w:rsidP="00EC2BEA">
            <w:pPr>
              <w:pStyle w:val="ENoteTableText"/>
            </w:pPr>
            <w:r w:rsidRPr="005675B0">
              <w:t>am No 192, 2013</w:t>
            </w:r>
          </w:p>
        </w:tc>
      </w:tr>
      <w:tr w:rsidR="007B0615" w:rsidRPr="005675B0" w:rsidTr="002D6144">
        <w:tc>
          <w:tcPr>
            <w:tcW w:w="1422" w:type="pct"/>
            <w:tcBorders>
              <w:top w:val="nil"/>
              <w:bottom w:val="nil"/>
            </w:tcBorders>
            <w:shd w:val="clear" w:color="auto" w:fill="auto"/>
          </w:tcPr>
          <w:p w:rsidR="007B0615" w:rsidRPr="005675B0" w:rsidRDefault="007B0615" w:rsidP="00E875E5">
            <w:pPr>
              <w:pStyle w:val="ENoteTableText"/>
              <w:keepNext/>
              <w:tabs>
                <w:tab w:val="center" w:leader="dot" w:pos="2268"/>
              </w:tabs>
              <w:rPr>
                <w:b/>
              </w:rPr>
            </w:pPr>
            <w:r w:rsidRPr="005675B0">
              <w:rPr>
                <w:b/>
              </w:rPr>
              <w:lastRenderedPageBreak/>
              <w:t>Div</w:t>
            </w:r>
            <w:r w:rsidR="002234A8" w:rsidRPr="005675B0">
              <w:rPr>
                <w:b/>
              </w:rPr>
              <w:t>ision</w:t>
            </w:r>
            <w:r w:rsidR="005675B0">
              <w:rPr>
                <w:b/>
              </w:rPr>
              <w:t> </w:t>
            </w:r>
            <w:r w:rsidR="00C01A6F" w:rsidRPr="005675B0">
              <w:rPr>
                <w:b/>
              </w:rPr>
              <w:t>5</w:t>
            </w:r>
          </w:p>
        </w:tc>
        <w:tc>
          <w:tcPr>
            <w:tcW w:w="3578" w:type="pct"/>
            <w:tcBorders>
              <w:top w:val="nil"/>
              <w:bottom w:val="nil"/>
            </w:tcBorders>
            <w:shd w:val="clear" w:color="auto" w:fill="auto"/>
          </w:tcPr>
          <w:p w:rsidR="007B0615" w:rsidRPr="005675B0" w:rsidRDefault="007B0615" w:rsidP="00EC2BEA">
            <w:pPr>
              <w:pStyle w:val="ENoteTableText"/>
            </w:pPr>
          </w:p>
        </w:tc>
      </w:tr>
      <w:tr w:rsidR="007B0615" w:rsidRPr="005675B0" w:rsidTr="002D6144">
        <w:tc>
          <w:tcPr>
            <w:tcW w:w="1422" w:type="pct"/>
            <w:tcBorders>
              <w:top w:val="nil"/>
              <w:bottom w:val="nil"/>
            </w:tcBorders>
            <w:shd w:val="clear" w:color="auto" w:fill="auto"/>
          </w:tcPr>
          <w:p w:rsidR="007B0615" w:rsidRPr="005675B0" w:rsidRDefault="00157A48" w:rsidP="00EC2BEA">
            <w:pPr>
              <w:pStyle w:val="ENoteTableText"/>
              <w:tabs>
                <w:tab w:val="center" w:leader="dot" w:pos="2268"/>
              </w:tabs>
            </w:pPr>
            <w:r w:rsidRPr="005675B0">
              <w:t>r</w:t>
            </w:r>
            <w:r w:rsidR="007B0615" w:rsidRPr="005675B0">
              <w:t xml:space="preserve"> 37</w:t>
            </w:r>
            <w:r w:rsidR="007B0615" w:rsidRPr="005675B0">
              <w:tab/>
            </w:r>
          </w:p>
        </w:tc>
        <w:tc>
          <w:tcPr>
            <w:tcW w:w="3578" w:type="pct"/>
            <w:tcBorders>
              <w:top w:val="nil"/>
              <w:bottom w:val="nil"/>
            </w:tcBorders>
            <w:shd w:val="clear" w:color="auto" w:fill="auto"/>
          </w:tcPr>
          <w:p w:rsidR="007B0615" w:rsidRPr="005675B0" w:rsidRDefault="007B0615" w:rsidP="00EC2BEA">
            <w:pPr>
              <w:pStyle w:val="ENoteTableText"/>
            </w:pPr>
            <w:r w:rsidRPr="005675B0">
              <w:t>am No 192, 2013</w:t>
            </w:r>
          </w:p>
        </w:tc>
      </w:tr>
      <w:tr w:rsidR="007B0615" w:rsidRPr="005675B0" w:rsidTr="002D6144">
        <w:tc>
          <w:tcPr>
            <w:tcW w:w="1422" w:type="pct"/>
            <w:tcBorders>
              <w:top w:val="nil"/>
              <w:bottom w:val="nil"/>
            </w:tcBorders>
            <w:shd w:val="clear" w:color="auto" w:fill="auto"/>
          </w:tcPr>
          <w:p w:rsidR="007B0615" w:rsidRPr="005675B0" w:rsidRDefault="00157A48" w:rsidP="00EC2BEA">
            <w:pPr>
              <w:pStyle w:val="ENoteTableText"/>
              <w:tabs>
                <w:tab w:val="center" w:leader="dot" w:pos="2268"/>
              </w:tabs>
              <w:rPr>
                <w:rFonts w:ascii="Arial" w:eastAsiaTheme="minorHAnsi" w:hAnsi="Arial" w:cs="Arial"/>
                <w:lang w:eastAsia="en-US"/>
              </w:rPr>
            </w:pPr>
            <w:r w:rsidRPr="005675B0">
              <w:t>r</w:t>
            </w:r>
            <w:r w:rsidR="007B0615" w:rsidRPr="005675B0">
              <w:t xml:space="preserve"> 38</w:t>
            </w:r>
            <w:r w:rsidR="007B0615" w:rsidRPr="005675B0">
              <w:tab/>
            </w:r>
          </w:p>
        </w:tc>
        <w:tc>
          <w:tcPr>
            <w:tcW w:w="3578" w:type="pct"/>
            <w:tcBorders>
              <w:top w:val="nil"/>
              <w:bottom w:val="nil"/>
            </w:tcBorders>
            <w:shd w:val="clear" w:color="auto" w:fill="auto"/>
          </w:tcPr>
          <w:p w:rsidR="007B0615" w:rsidRPr="005675B0" w:rsidRDefault="007B0615" w:rsidP="00EC2BEA">
            <w:pPr>
              <w:pStyle w:val="ENoteTableText"/>
              <w:rPr>
                <w:rFonts w:ascii="Arial" w:eastAsiaTheme="minorHAnsi" w:hAnsi="Arial" w:cs="Arial"/>
                <w:lang w:eastAsia="en-US"/>
              </w:rPr>
            </w:pPr>
            <w:r w:rsidRPr="005675B0">
              <w:t>am No 192, 2013</w:t>
            </w:r>
          </w:p>
        </w:tc>
      </w:tr>
      <w:tr w:rsidR="00EE0AC1" w:rsidRPr="005675B0" w:rsidTr="002D6144">
        <w:tc>
          <w:tcPr>
            <w:tcW w:w="1422" w:type="pct"/>
            <w:tcBorders>
              <w:top w:val="nil"/>
              <w:bottom w:val="nil"/>
            </w:tcBorders>
            <w:shd w:val="clear" w:color="auto" w:fill="auto"/>
          </w:tcPr>
          <w:p w:rsidR="00EE0AC1" w:rsidRPr="005675B0" w:rsidRDefault="00EE0AC1" w:rsidP="00EC2BEA">
            <w:pPr>
              <w:pStyle w:val="ENoteTableText"/>
              <w:tabs>
                <w:tab w:val="center" w:leader="dot" w:pos="2268"/>
              </w:tabs>
            </w:pPr>
            <w:r w:rsidRPr="005675B0">
              <w:t>Part</w:t>
            </w:r>
            <w:r w:rsidR="005675B0">
              <w:t> </w:t>
            </w:r>
            <w:r w:rsidRPr="005675B0">
              <w:t>4</w:t>
            </w:r>
            <w:r w:rsidRPr="005675B0">
              <w:tab/>
            </w:r>
          </w:p>
        </w:tc>
        <w:tc>
          <w:tcPr>
            <w:tcW w:w="3578" w:type="pct"/>
            <w:tcBorders>
              <w:top w:val="nil"/>
              <w:bottom w:val="nil"/>
            </w:tcBorders>
            <w:shd w:val="clear" w:color="auto" w:fill="auto"/>
          </w:tcPr>
          <w:p w:rsidR="00EE0AC1" w:rsidRPr="005675B0" w:rsidRDefault="00EE0AC1" w:rsidP="00EC2BEA">
            <w:pPr>
              <w:pStyle w:val="ENoteTableText"/>
            </w:pPr>
            <w:r w:rsidRPr="005675B0">
              <w:t>rep LA s 48C</w:t>
            </w:r>
          </w:p>
        </w:tc>
      </w:tr>
      <w:tr w:rsidR="00EE0AC1" w:rsidRPr="005675B0" w:rsidTr="002D6144">
        <w:tc>
          <w:tcPr>
            <w:tcW w:w="1422" w:type="pct"/>
            <w:tcBorders>
              <w:top w:val="nil"/>
              <w:bottom w:val="nil"/>
            </w:tcBorders>
            <w:shd w:val="clear" w:color="auto" w:fill="auto"/>
          </w:tcPr>
          <w:p w:rsidR="00EE0AC1" w:rsidRPr="005675B0" w:rsidRDefault="00EE0AC1" w:rsidP="00EC2BEA">
            <w:pPr>
              <w:pStyle w:val="ENoteTableText"/>
              <w:tabs>
                <w:tab w:val="center" w:leader="dot" w:pos="2268"/>
              </w:tabs>
            </w:pPr>
            <w:r w:rsidRPr="005675B0">
              <w:t>r 44</w:t>
            </w:r>
            <w:r w:rsidRPr="005675B0">
              <w:tab/>
            </w:r>
          </w:p>
        </w:tc>
        <w:tc>
          <w:tcPr>
            <w:tcW w:w="3578" w:type="pct"/>
            <w:tcBorders>
              <w:top w:val="nil"/>
              <w:bottom w:val="nil"/>
            </w:tcBorders>
            <w:shd w:val="clear" w:color="auto" w:fill="auto"/>
          </w:tcPr>
          <w:p w:rsidR="00EE0AC1" w:rsidRPr="005675B0" w:rsidRDefault="00EE0AC1" w:rsidP="00EC2BEA">
            <w:pPr>
              <w:pStyle w:val="ENoteTableText"/>
            </w:pPr>
            <w:r w:rsidRPr="005675B0">
              <w:t>rep LA s 48C</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Part</w:t>
            </w:r>
            <w:r w:rsidR="005675B0">
              <w:rPr>
                <w:b/>
              </w:rPr>
              <w:t> </w:t>
            </w:r>
            <w:r w:rsidRPr="005675B0">
              <w:rPr>
                <w:b/>
              </w:rPr>
              <w:t>5</w:t>
            </w:r>
          </w:p>
        </w:tc>
        <w:tc>
          <w:tcPr>
            <w:tcW w:w="3578" w:type="pct"/>
            <w:tcBorders>
              <w:top w:val="nil"/>
              <w:bottom w:val="nil"/>
            </w:tcBorders>
            <w:shd w:val="clear" w:color="auto" w:fill="auto"/>
          </w:tcPr>
          <w:p w:rsidR="00BB7319" w:rsidRPr="005675B0" w:rsidRDefault="00BB7319" w:rsidP="00EC2BEA">
            <w:pPr>
              <w:pStyle w:val="ENoteTableText"/>
            </w:pP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Part</w:t>
            </w:r>
            <w:r w:rsidR="005675B0">
              <w:t> </w:t>
            </w:r>
            <w:r w:rsidRPr="005675B0">
              <w:t>5</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45</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8324D8" w:rsidRPr="005675B0">
              <w:t xml:space="preserve">No 69, </w:t>
            </w:r>
            <w:r w:rsidRPr="005675B0">
              <w:t>2012</w:t>
            </w:r>
            <w:r w:rsidR="00503C8F" w:rsidRPr="005675B0">
              <w:t>; F2018L01144</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46</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No 31</w:t>
            </w:r>
            <w:r w:rsidR="00AF0DBE" w:rsidRPr="005675B0">
              <w:t>7</w:t>
            </w:r>
            <w:r w:rsidR="008324D8" w:rsidRPr="005675B0">
              <w:t xml:space="preserve">,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8324D8" w:rsidRPr="005675B0">
              <w:t xml:space="preserve">No 124, </w:t>
            </w:r>
            <w:r w:rsidRPr="005675B0">
              <w:t>2002;</w:t>
            </w:r>
            <w:r w:rsidR="008324D8" w:rsidRPr="005675B0">
              <w:t xml:space="preserve"> No 321,</w:t>
            </w:r>
            <w:r w:rsidRPr="005675B0">
              <w:t xml:space="preserve"> 2007</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47</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Part</w:t>
            </w:r>
            <w:r w:rsidR="005675B0">
              <w:t> </w:t>
            </w:r>
            <w:r w:rsidRPr="005675B0">
              <w:t>6</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 xml:space="preserve">No 397, </w:t>
            </w:r>
            <w:r w:rsidRPr="005675B0">
              <w:t>2004</w:t>
            </w:r>
          </w:p>
        </w:tc>
      </w:tr>
      <w:tr w:rsidR="00D3792A" w:rsidRPr="005675B0" w:rsidTr="002D6144">
        <w:tc>
          <w:tcPr>
            <w:tcW w:w="1422" w:type="pct"/>
            <w:tcBorders>
              <w:top w:val="nil"/>
              <w:bottom w:val="nil"/>
            </w:tcBorders>
            <w:shd w:val="clear" w:color="auto" w:fill="auto"/>
          </w:tcPr>
          <w:p w:rsidR="00D3792A" w:rsidRPr="005675B0"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5675B0" w:rsidRDefault="00D3792A" w:rsidP="00EC2BEA">
            <w:pPr>
              <w:pStyle w:val="ENoteTableText"/>
            </w:pPr>
            <w:r w:rsidRPr="005675B0">
              <w:t>rep No 152, 2013</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r 48</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 xml:space="preserve">No 397, </w:t>
            </w:r>
            <w:r w:rsidRPr="005675B0">
              <w:t>2004</w:t>
            </w:r>
          </w:p>
        </w:tc>
      </w:tr>
      <w:tr w:rsidR="00D3792A" w:rsidRPr="005675B0" w:rsidTr="002D6144">
        <w:tc>
          <w:tcPr>
            <w:tcW w:w="1422" w:type="pct"/>
            <w:tcBorders>
              <w:top w:val="nil"/>
              <w:bottom w:val="nil"/>
            </w:tcBorders>
            <w:shd w:val="clear" w:color="auto" w:fill="auto"/>
          </w:tcPr>
          <w:p w:rsidR="00D3792A" w:rsidRPr="005675B0"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5675B0" w:rsidRDefault="00D3792A" w:rsidP="00EC2BEA">
            <w:pPr>
              <w:pStyle w:val="ENoteTableText"/>
            </w:pPr>
            <w:r w:rsidRPr="005675B0">
              <w:t>rep No</w:t>
            </w:r>
            <w:r w:rsidR="00091A5B" w:rsidRPr="005675B0">
              <w:t> </w:t>
            </w:r>
            <w:r w:rsidRPr="005675B0">
              <w:t>152, 2013</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Schedule</w:t>
            </w:r>
            <w:r w:rsidR="005675B0">
              <w:rPr>
                <w:b/>
              </w:rPr>
              <w:t> </w:t>
            </w:r>
            <w:r w:rsidRPr="005675B0">
              <w:rPr>
                <w:b/>
              </w:rPr>
              <w:t>1</w:t>
            </w:r>
          </w:p>
        </w:tc>
        <w:tc>
          <w:tcPr>
            <w:tcW w:w="3578" w:type="pct"/>
            <w:tcBorders>
              <w:top w:val="nil"/>
              <w:bottom w:val="nil"/>
            </w:tcBorders>
            <w:shd w:val="clear" w:color="auto" w:fill="auto"/>
          </w:tcPr>
          <w:p w:rsidR="00BB7319" w:rsidRPr="005675B0" w:rsidRDefault="00BB7319" w:rsidP="00EC2BEA">
            <w:pPr>
              <w:pStyle w:val="ENoteTableText"/>
            </w:pP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Form 2</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8324D8" w:rsidRPr="005675B0">
              <w:t xml:space="preserve">No 317, </w:t>
            </w:r>
            <w:r w:rsidRPr="005675B0">
              <w:t>2001</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Form 3</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am </w:t>
            </w:r>
            <w:r w:rsidR="008324D8" w:rsidRPr="005675B0">
              <w:t xml:space="preserve">No 317, </w:t>
            </w:r>
            <w:r w:rsidRPr="005675B0">
              <w:t>2001</w:t>
            </w:r>
            <w:r w:rsidR="00BE7D5C" w:rsidRPr="005675B0">
              <w:t>; F2016L01926</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pPr>
            <w:r w:rsidRPr="005675B0">
              <w:t>Form 4</w:t>
            </w:r>
            <w:r w:rsidRPr="005675B0">
              <w:tab/>
            </w:r>
          </w:p>
        </w:tc>
        <w:tc>
          <w:tcPr>
            <w:tcW w:w="3578" w:type="pct"/>
            <w:tcBorders>
              <w:top w:val="nil"/>
              <w:bottom w:val="nil"/>
            </w:tcBorders>
            <w:shd w:val="clear" w:color="auto" w:fill="auto"/>
          </w:tcPr>
          <w:p w:rsidR="00BB7319" w:rsidRPr="005675B0" w:rsidRDefault="00BB7319" w:rsidP="00EC2BEA">
            <w:pPr>
              <w:pStyle w:val="ENoteTableText"/>
            </w:pPr>
            <w:r w:rsidRPr="005675B0">
              <w:t xml:space="preserve">ad </w:t>
            </w:r>
            <w:r w:rsidR="008324D8" w:rsidRPr="005675B0">
              <w:t xml:space="preserve">No 397, </w:t>
            </w:r>
            <w:r w:rsidRPr="005675B0">
              <w:t>2004</w:t>
            </w:r>
          </w:p>
        </w:tc>
      </w:tr>
      <w:tr w:rsidR="00D3792A" w:rsidRPr="005675B0" w:rsidTr="002D6144">
        <w:tc>
          <w:tcPr>
            <w:tcW w:w="1422" w:type="pct"/>
            <w:tcBorders>
              <w:top w:val="nil"/>
              <w:bottom w:val="nil"/>
            </w:tcBorders>
            <w:shd w:val="clear" w:color="auto" w:fill="auto"/>
          </w:tcPr>
          <w:p w:rsidR="00D3792A" w:rsidRPr="005675B0"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5675B0" w:rsidRDefault="00D3792A" w:rsidP="00EC2BEA">
            <w:pPr>
              <w:pStyle w:val="ENoteTableText"/>
            </w:pPr>
            <w:r w:rsidRPr="005675B0">
              <w:t>rep No 152, 2013</w:t>
            </w:r>
          </w:p>
        </w:tc>
      </w:tr>
      <w:tr w:rsidR="00BB7319" w:rsidRPr="005675B0" w:rsidTr="002D6144">
        <w:tc>
          <w:tcPr>
            <w:tcW w:w="1422" w:type="pct"/>
            <w:tcBorders>
              <w:top w:val="nil"/>
              <w:bottom w:val="nil"/>
            </w:tcBorders>
            <w:shd w:val="clear" w:color="auto" w:fill="auto"/>
          </w:tcPr>
          <w:p w:rsidR="00BB7319" w:rsidRPr="005675B0" w:rsidRDefault="00BB7319" w:rsidP="00EC2BEA">
            <w:pPr>
              <w:pStyle w:val="ENoteTableText"/>
              <w:tabs>
                <w:tab w:val="center" w:leader="dot" w:pos="2268"/>
              </w:tabs>
              <w:rPr>
                <w:b/>
              </w:rPr>
            </w:pPr>
            <w:r w:rsidRPr="005675B0">
              <w:rPr>
                <w:b/>
              </w:rPr>
              <w:t>Schedule</w:t>
            </w:r>
            <w:r w:rsidR="005675B0">
              <w:rPr>
                <w:b/>
              </w:rPr>
              <w:t> </w:t>
            </w:r>
            <w:r w:rsidRPr="005675B0">
              <w:rPr>
                <w:b/>
              </w:rPr>
              <w:t>3</w:t>
            </w:r>
          </w:p>
        </w:tc>
        <w:tc>
          <w:tcPr>
            <w:tcW w:w="3578" w:type="pct"/>
            <w:tcBorders>
              <w:top w:val="nil"/>
              <w:bottom w:val="nil"/>
            </w:tcBorders>
            <w:shd w:val="clear" w:color="auto" w:fill="auto"/>
          </w:tcPr>
          <w:p w:rsidR="00BB7319" w:rsidRPr="005675B0" w:rsidRDefault="00BB7319" w:rsidP="00EC2BEA">
            <w:pPr>
              <w:pStyle w:val="ENoteTableText"/>
            </w:pPr>
          </w:p>
        </w:tc>
      </w:tr>
      <w:tr w:rsidR="00BB7319" w:rsidRPr="005675B0" w:rsidTr="002D6144">
        <w:tc>
          <w:tcPr>
            <w:tcW w:w="1422" w:type="pct"/>
            <w:tcBorders>
              <w:top w:val="nil"/>
              <w:bottom w:val="single" w:sz="12" w:space="0" w:color="auto"/>
            </w:tcBorders>
            <w:shd w:val="clear" w:color="auto" w:fill="auto"/>
          </w:tcPr>
          <w:p w:rsidR="00BB7319" w:rsidRPr="005675B0" w:rsidRDefault="00BB7319" w:rsidP="00EC2BEA">
            <w:pPr>
              <w:pStyle w:val="ENoteTableText"/>
              <w:tabs>
                <w:tab w:val="center" w:leader="dot" w:pos="2268"/>
              </w:tabs>
            </w:pPr>
            <w:r w:rsidRPr="005675B0">
              <w:t>Schedule</w:t>
            </w:r>
            <w:r w:rsidR="005675B0">
              <w:t> </w:t>
            </w:r>
            <w:r w:rsidRPr="005675B0">
              <w:t>3</w:t>
            </w:r>
            <w:r w:rsidRPr="005675B0">
              <w:tab/>
            </w:r>
          </w:p>
        </w:tc>
        <w:tc>
          <w:tcPr>
            <w:tcW w:w="3578" w:type="pct"/>
            <w:tcBorders>
              <w:top w:val="nil"/>
              <w:bottom w:val="single" w:sz="12" w:space="0" w:color="auto"/>
            </w:tcBorders>
            <w:shd w:val="clear" w:color="auto" w:fill="auto"/>
          </w:tcPr>
          <w:p w:rsidR="00BB7319" w:rsidRPr="005675B0" w:rsidRDefault="00BB7319" w:rsidP="00EC2BEA">
            <w:pPr>
              <w:pStyle w:val="ENoteTableText"/>
            </w:pPr>
            <w:r w:rsidRPr="005675B0">
              <w:t xml:space="preserve">am </w:t>
            </w:r>
            <w:r w:rsidR="008324D8" w:rsidRPr="005675B0">
              <w:t xml:space="preserve">No 317, </w:t>
            </w:r>
            <w:r w:rsidRPr="005675B0">
              <w:t>2001;</w:t>
            </w:r>
            <w:r w:rsidR="008324D8" w:rsidRPr="005675B0">
              <w:t xml:space="preserve"> No 39,</w:t>
            </w:r>
            <w:r w:rsidRPr="005675B0">
              <w:t xml:space="preserve"> 2002;</w:t>
            </w:r>
            <w:r w:rsidR="008324D8" w:rsidRPr="005675B0">
              <w:t xml:space="preserve"> No 102,</w:t>
            </w:r>
            <w:r w:rsidRPr="005675B0">
              <w:t xml:space="preserve"> 2004</w:t>
            </w:r>
            <w:r w:rsidR="008324D8" w:rsidRPr="005675B0">
              <w:t>; No</w:t>
            </w:r>
            <w:r w:rsidRPr="005675B0">
              <w:t xml:space="preserve"> 397</w:t>
            </w:r>
            <w:r w:rsidR="008324D8" w:rsidRPr="005675B0">
              <w:t>, 2004</w:t>
            </w:r>
            <w:r w:rsidRPr="005675B0">
              <w:t xml:space="preserve">; </w:t>
            </w:r>
            <w:r w:rsidR="008324D8" w:rsidRPr="005675B0">
              <w:t xml:space="preserve">No 119, </w:t>
            </w:r>
            <w:r w:rsidRPr="005675B0">
              <w:t>2007</w:t>
            </w:r>
            <w:r w:rsidR="008324D8" w:rsidRPr="005675B0">
              <w:t>; No</w:t>
            </w:r>
            <w:r w:rsidRPr="005675B0">
              <w:t xml:space="preserve"> 321</w:t>
            </w:r>
            <w:r w:rsidR="008324D8" w:rsidRPr="005675B0">
              <w:t>, 2007; No 193,</w:t>
            </w:r>
            <w:r w:rsidRPr="005675B0">
              <w:t xml:space="preserve"> 2011</w:t>
            </w:r>
          </w:p>
        </w:tc>
      </w:tr>
    </w:tbl>
    <w:p w:rsidR="00C02731" w:rsidRPr="005675B0" w:rsidRDefault="00C02731" w:rsidP="00C02731">
      <w:pPr>
        <w:sectPr w:rsidR="00C02731" w:rsidRPr="005675B0" w:rsidSect="0020514D">
          <w:headerReference w:type="even" r:id="rId34"/>
          <w:headerReference w:type="default" r:id="rId35"/>
          <w:footerReference w:type="even" r:id="rId36"/>
          <w:footerReference w:type="default" r:id="rId37"/>
          <w:footerReference w:type="first" r:id="rId38"/>
          <w:pgSz w:w="11907" w:h="16839"/>
          <w:pgMar w:top="2325" w:right="1797" w:bottom="1440" w:left="1797" w:header="720" w:footer="709" w:gutter="0"/>
          <w:cols w:space="708"/>
          <w:docGrid w:linePitch="360"/>
        </w:sectPr>
      </w:pPr>
    </w:p>
    <w:p w:rsidR="00B3359C" w:rsidRPr="005675B0" w:rsidRDefault="00B3359C" w:rsidP="00FA7EC8">
      <w:pPr>
        <w:pStyle w:val="Tabletext"/>
      </w:pPr>
    </w:p>
    <w:sectPr w:rsidR="00B3359C" w:rsidRPr="005675B0" w:rsidSect="0020514D">
      <w:headerReference w:type="even" r:id="rId39"/>
      <w:headerReference w:type="default" r:id="rId40"/>
      <w:footerReference w:type="even" r:id="rId41"/>
      <w:footerReference w:type="default" r:id="rId42"/>
      <w:head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43" w:rsidRDefault="00306443">
      <w:r>
        <w:separator/>
      </w:r>
    </w:p>
  </w:endnote>
  <w:endnote w:type="continuationSeparator" w:id="0">
    <w:p w:rsidR="00306443" w:rsidRDefault="0030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i/>
              <w:sz w:val="16"/>
              <w:szCs w:val="16"/>
            </w:rPr>
          </w:pP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31</w:t>
          </w:r>
          <w:r w:rsidRPr="007B3B51">
            <w:rPr>
              <w:i/>
              <w:sz w:val="16"/>
              <w:szCs w:val="16"/>
            </w:rPr>
            <w:fldChar w:fldCharType="end"/>
          </w:r>
        </w:p>
      </w:tc>
    </w:tr>
    <w:tr w:rsidR="00306443" w:rsidRPr="00130F37" w:rsidTr="003B4467">
      <w:tc>
        <w:tcPr>
          <w:tcW w:w="1499" w:type="pct"/>
          <w:gridSpan w:val="2"/>
        </w:tcPr>
        <w:p w:rsidR="00306443" w:rsidRPr="00130F37" w:rsidRDefault="0030644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FE1311" w:rsidRDefault="00306443" w:rsidP="00FE1311">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C247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DF6F1A">
          <w:pPr>
            <w:rPr>
              <w:i/>
              <w:sz w:val="16"/>
              <w:szCs w:val="16"/>
            </w:rPr>
          </w:pPr>
        </w:p>
      </w:tc>
      <w:tc>
        <w:tcPr>
          <w:tcW w:w="3688" w:type="pct"/>
          <w:gridSpan w:val="3"/>
        </w:tcPr>
        <w:p w:rsidR="00306443" w:rsidRPr="007B3B51" w:rsidRDefault="00306443" w:rsidP="00DF6F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4663">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DF6F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306443" w:rsidRPr="00130F37" w:rsidTr="00FE1311">
      <w:tc>
        <w:tcPr>
          <w:tcW w:w="1499" w:type="pct"/>
          <w:gridSpan w:val="2"/>
        </w:tcPr>
        <w:p w:rsidR="00306443" w:rsidRPr="00130F37" w:rsidRDefault="00306443" w:rsidP="00DF6F1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DF6F1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DF6F1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C02731" w:rsidRDefault="00306443" w:rsidP="00C2476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38</w:t>
          </w:r>
          <w:r w:rsidRPr="007B3B51">
            <w:rPr>
              <w:i/>
              <w:sz w:val="16"/>
              <w:szCs w:val="16"/>
            </w:rPr>
            <w:fldChar w:fldCharType="end"/>
          </w: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p>
      </w:tc>
    </w:tr>
    <w:tr w:rsidR="00306443" w:rsidRPr="0055472E" w:rsidTr="003B4467">
      <w:tc>
        <w:tcPr>
          <w:tcW w:w="1499" w:type="pct"/>
          <w:gridSpan w:val="2"/>
        </w:tcPr>
        <w:p w:rsidR="00306443" w:rsidRPr="0055472E" w:rsidRDefault="0030644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4663">
            <w:rPr>
              <w:sz w:val="16"/>
              <w:szCs w:val="16"/>
            </w:rPr>
            <w:t>39</w:t>
          </w:r>
          <w:r w:rsidRPr="0055472E">
            <w:rPr>
              <w:sz w:val="16"/>
              <w:szCs w:val="16"/>
            </w:rPr>
            <w:fldChar w:fldCharType="end"/>
          </w:r>
        </w:p>
      </w:tc>
      <w:tc>
        <w:tcPr>
          <w:tcW w:w="1999" w:type="pct"/>
        </w:tcPr>
        <w:p w:rsidR="00306443" w:rsidRPr="0055472E" w:rsidRDefault="0030644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4663">
            <w:rPr>
              <w:sz w:val="16"/>
              <w:szCs w:val="16"/>
            </w:rPr>
            <w:t>01/07/2020</w:t>
          </w:r>
          <w:r w:rsidRPr="0055472E">
            <w:rPr>
              <w:sz w:val="16"/>
              <w:szCs w:val="16"/>
            </w:rPr>
            <w:fldChar w:fldCharType="end"/>
          </w:r>
        </w:p>
      </w:tc>
      <w:tc>
        <w:tcPr>
          <w:tcW w:w="1502" w:type="pct"/>
          <w:gridSpan w:val="2"/>
        </w:tcPr>
        <w:p w:rsidR="00306443" w:rsidRPr="0055472E" w:rsidRDefault="0030644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4663">
            <w:rPr>
              <w:noProof/>
              <w:sz w:val="16"/>
              <w:szCs w:val="16"/>
            </w:rPr>
            <w:t>21/07/2020</w:t>
          </w:r>
          <w:r w:rsidRPr="0055472E">
            <w:rPr>
              <w:sz w:val="16"/>
              <w:szCs w:val="16"/>
            </w:rPr>
            <w:fldChar w:fldCharType="end"/>
          </w:r>
        </w:p>
      </w:tc>
    </w:tr>
  </w:tbl>
  <w:p w:rsidR="00306443" w:rsidRPr="00FE1311" w:rsidRDefault="00306443" w:rsidP="00FE131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i/>
              <w:sz w:val="16"/>
              <w:szCs w:val="16"/>
            </w:rPr>
          </w:pP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39</w:t>
          </w:r>
          <w:r w:rsidRPr="007B3B51">
            <w:rPr>
              <w:i/>
              <w:sz w:val="16"/>
              <w:szCs w:val="16"/>
            </w:rPr>
            <w:fldChar w:fldCharType="end"/>
          </w:r>
        </w:p>
      </w:tc>
    </w:tr>
    <w:tr w:rsidR="00306443" w:rsidRPr="00130F37" w:rsidTr="003B4467">
      <w:tc>
        <w:tcPr>
          <w:tcW w:w="1499" w:type="pct"/>
          <w:gridSpan w:val="2"/>
        </w:tcPr>
        <w:p w:rsidR="00306443" w:rsidRPr="00130F37" w:rsidRDefault="0030644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FE1311" w:rsidRDefault="00306443" w:rsidP="00FE131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A1328" w:rsidRDefault="00306443" w:rsidP="00C02731">
    <w:pPr>
      <w:pBdr>
        <w:top w:val="single" w:sz="6" w:space="1" w:color="auto"/>
      </w:pBdr>
      <w:spacing w:before="120"/>
      <w:rPr>
        <w:sz w:val="18"/>
      </w:rPr>
    </w:pPr>
  </w:p>
  <w:p w:rsidR="00306443" w:rsidRPr="007A1328" w:rsidRDefault="00306443" w:rsidP="00C027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74663">
      <w:rPr>
        <w:i/>
        <w:noProof/>
        <w:sz w:val="18"/>
      </w:rPr>
      <w:t>Australian Securities and Investments Commission Regulations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w:t>
    </w:r>
    <w:r w:rsidRPr="007A1328">
      <w:rPr>
        <w:i/>
        <w:sz w:val="18"/>
      </w:rPr>
      <w:fldChar w:fldCharType="end"/>
    </w:r>
  </w:p>
  <w:p w:rsidR="00306443" w:rsidRPr="007A1328" w:rsidRDefault="00306443" w:rsidP="00C02731">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4663">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p>
      </w:tc>
    </w:tr>
    <w:tr w:rsidR="00306443" w:rsidRPr="0055472E" w:rsidTr="00864811">
      <w:tc>
        <w:tcPr>
          <w:tcW w:w="1499" w:type="pct"/>
          <w:gridSpan w:val="2"/>
        </w:tcPr>
        <w:p w:rsidR="00306443" w:rsidRPr="0055472E" w:rsidRDefault="0030644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4663">
            <w:rPr>
              <w:sz w:val="16"/>
              <w:szCs w:val="16"/>
            </w:rPr>
            <w:t>39</w:t>
          </w:r>
          <w:r w:rsidRPr="0055472E">
            <w:rPr>
              <w:sz w:val="16"/>
              <w:szCs w:val="16"/>
            </w:rPr>
            <w:fldChar w:fldCharType="end"/>
          </w:r>
        </w:p>
      </w:tc>
      <w:tc>
        <w:tcPr>
          <w:tcW w:w="1999" w:type="pct"/>
        </w:tcPr>
        <w:p w:rsidR="00306443" w:rsidRPr="0055472E" w:rsidRDefault="0030644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4663">
            <w:rPr>
              <w:sz w:val="16"/>
              <w:szCs w:val="16"/>
            </w:rPr>
            <w:t>01/07/2020</w:t>
          </w:r>
          <w:r w:rsidRPr="0055472E">
            <w:rPr>
              <w:sz w:val="16"/>
              <w:szCs w:val="16"/>
            </w:rPr>
            <w:fldChar w:fldCharType="end"/>
          </w:r>
        </w:p>
      </w:tc>
      <w:tc>
        <w:tcPr>
          <w:tcW w:w="1502" w:type="pct"/>
          <w:gridSpan w:val="2"/>
        </w:tcPr>
        <w:p w:rsidR="00306443" w:rsidRPr="0055472E" w:rsidRDefault="0030644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4663">
            <w:rPr>
              <w:noProof/>
              <w:sz w:val="16"/>
              <w:szCs w:val="16"/>
            </w:rPr>
            <w:t>21/07/2020</w:t>
          </w:r>
          <w:r w:rsidRPr="0055472E">
            <w:rPr>
              <w:sz w:val="16"/>
              <w:szCs w:val="16"/>
            </w:rPr>
            <w:fldChar w:fldCharType="end"/>
          </w:r>
        </w:p>
      </w:tc>
    </w:tr>
  </w:tbl>
  <w:p w:rsidR="00306443" w:rsidRPr="00FE1311" w:rsidRDefault="00306443" w:rsidP="00FE131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i/>
              <w:sz w:val="16"/>
              <w:szCs w:val="16"/>
            </w:rPr>
          </w:pP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4663">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306443" w:rsidRPr="00130F37" w:rsidTr="00864811">
      <w:tc>
        <w:tcPr>
          <w:tcW w:w="1499" w:type="pct"/>
          <w:gridSpan w:val="2"/>
        </w:tcPr>
        <w:p w:rsidR="00306443" w:rsidRPr="00130F37" w:rsidRDefault="0030644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FE1311" w:rsidRDefault="00306443" w:rsidP="00FE1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rsidP="00C502A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ED79B6" w:rsidRDefault="00306443" w:rsidP="00C502A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ii</w:t>
          </w:r>
          <w:r w:rsidRPr="007B3B51">
            <w:rPr>
              <w:i/>
              <w:sz w:val="16"/>
              <w:szCs w:val="16"/>
            </w:rPr>
            <w:fldChar w:fldCharType="end"/>
          </w: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p>
      </w:tc>
    </w:tr>
    <w:tr w:rsidR="00306443" w:rsidRPr="0055472E" w:rsidTr="003B4467">
      <w:tc>
        <w:tcPr>
          <w:tcW w:w="1499" w:type="pct"/>
          <w:gridSpan w:val="2"/>
        </w:tcPr>
        <w:p w:rsidR="00306443" w:rsidRPr="0055472E" w:rsidRDefault="0030644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4663">
            <w:rPr>
              <w:sz w:val="16"/>
              <w:szCs w:val="16"/>
            </w:rPr>
            <w:t>39</w:t>
          </w:r>
          <w:r w:rsidRPr="0055472E">
            <w:rPr>
              <w:sz w:val="16"/>
              <w:szCs w:val="16"/>
            </w:rPr>
            <w:fldChar w:fldCharType="end"/>
          </w:r>
        </w:p>
      </w:tc>
      <w:tc>
        <w:tcPr>
          <w:tcW w:w="1999" w:type="pct"/>
        </w:tcPr>
        <w:p w:rsidR="00306443" w:rsidRPr="0055472E" w:rsidRDefault="0030644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4663">
            <w:rPr>
              <w:sz w:val="16"/>
              <w:szCs w:val="16"/>
            </w:rPr>
            <w:t>01/07/2020</w:t>
          </w:r>
          <w:r w:rsidRPr="0055472E">
            <w:rPr>
              <w:sz w:val="16"/>
              <w:szCs w:val="16"/>
            </w:rPr>
            <w:fldChar w:fldCharType="end"/>
          </w:r>
        </w:p>
      </w:tc>
      <w:tc>
        <w:tcPr>
          <w:tcW w:w="1502" w:type="pct"/>
          <w:gridSpan w:val="2"/>
        </w:tcPr>
        <w:p w:rsidR="00306443" w:rsidRPr="0055472E" w:rsidRDefault="0030644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4663">
            <w:rPr>
              <w:noProof/>
              <w:sz w:val="16"/>
              <w:szCs w:val="16"/>
            </w:rPr>
            <w:t>21/07/2020</w:t>
          </w:r>
          <w:r w:rsidRPr="0055472E">
            <w:rPr>
              <w:sz w:val="16"/>
              <w:szCs w:val="16"/>
            </w:rPr>
            <w:fldChar w:fldCharType="end"/>
          </w:r>
        </w:p>
      </w:tc>
    </w:tr>
  </w:tbl>
  <w:p w:rsidR="00306443" w:rsidRPr="00FE1311" w:rsidRDefault="00306443" w:rsidP="00FE13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i/>
              <w:sz w:val="16"/>
              <w:szCs w:val="16"/>
            </w:rPr>
          </w:pP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iii</w:t>
          </w:r>
          <w:r w:rsidRPr="007B3B51">
            <w:rPr>
              <w:i/>
              <w:sz w:val="16"/>
              <w:szCs w:val="16"/>
            </w:rPr>
            <w:fldChar w:fldCharType="end"/>
          </w:r>
        </w:p>
      </w:tc>
    </w:tr>
    <w:tr w:rsidR="00306443" w:rsidRPr="00130F37" w:rsidTr="003B4467">
      <w:tc>
        <w:tcPr>
          <w:tcW w:w="1499" w:type="pct"/>
          <w:gridSpan w:val="2"/>
        </w:tcPr>
        <w:p w:rsidR="00306443" w:rsidRPr="00130F37" w:rsidRDefault="0030644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FE1311" w:rsidRDefault="00306443" w:rsidP="00FE13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22</w:t>
          </w:r>
          <w:r w:rsidRPr="007B3B51">
            <w:rPr>
              <w:i/>
              <w:sz w:val="16"/>
              <w:szCs w:val="16"/>
            </w:rPr>
            <w:fldChar w:fldCharType="end"/>
          </w: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p>
      </w:tc>
    </w:tr>
    <w:tr w:rsidR="00306443" w:rsidRPr="0055472E" w:rsidTr="00EB3211">
      <w:tc>
        <w:tcPr>
          <w:tcW w:w="1499" w:type="pct"/>
          <w:gridSpan w:val="2"/>
        </w:tcPr>
        <w:p w:rsidR="00306443" w:rsidRPr="0055472E" w:rsidRDefault="0030644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4663">
            <w:rPr>
              <w:sz w:val="16"/>
              <w:szCs w:val="16"/>
            </w:rPr>
            <w:t>39</w:t>
          </w:r>
          <w:r w:rsidRPr="0055472E">
            <w:rPr>
              <w:sz w:val="16"/>
              <w:szCs w:val="16"/>
            </w:rPr>
            <w:fldChar w:fldCharType="end"/>
          </w:r>
        </w:p>
      </w:tc>
      <w:tc>
        <w:tcPr>
          <w:tcW w:w="1999" w:type="pct"/>
        </w:tcPr>
        <w:p w:rsidR="00306443" w:rsidRPr="0055472E" w:rsidRDefault="0030644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4663">
            <w:rPr>
              <w:sz w:val="16"/>
              <w:szCs w:val="16"/>
            </w:rPr>
            <w:t>01/07/2020</w:t>
          </w:r>
          <w:r w:rsidRPr="0055472E">
            <w:rPr>
              <w:sz w:val="16"/>
              <w:szCs w:val="16"/>
            </w:rPr>
            <w:fldChar w:fldCharType="end"/>
          </w:r>
        </w:p>
      </w:tc>
      <w:tc>
        <w:tcPr>
          <w:tcW w:w="1502" w:type="pct"/>
          <w:gridSpan w:val="2"/>
        </w:tcPr>
        <w:p w:rsidR="00306443" w:rsidRPr="0055472E" w:rsidRDefault="0030644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4663">
            <w:rPr>
              <w:noProof/>
              <w:sz w:val="16"/>
              <w:szCs w:val="16"/>
            </w:rPr>
            <w:t>21/07/2020</w:t>
          </w:r>
          <w:r w:rsidRPr="0055472E">
            <w:rPr>
              <w:sz w:val="16"/>
              <w:szCs w:val="16"/>
            </w:rPr>
            <w:fldChar w:fldCharType="end"/>
          </w:r>
        </w:p>
      </w:tc>
    </w:tr>
  </w:tbl>
  <w:p w:rsidR="00306443" w:rsidRPr="00FE1311" w:rsidRDefault="00306443" w:rsidP="00FE13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i/>
              <w:sz w:val="16"/>
              <w:szCs w:val="16"/>
            </w:rPr>
          </w:pP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23</w:t>
          </w:r>
          <w:r w:rsidRPr="007B3B51">
            <w:rPr>
              <w:i/>
              <w:sz w:val="16"/>
              <w:szCs w:val="16"/>
            </w:rPr>
            <w:fldChar w:fldCharType="end"/>
          </w:r>
        </w:p>
      </w:tc>
    </w:tr>
    <w:tr w:rsidR="00306443" w:rsidRPr="00130F37" w:rsidTr="00EB3211">
      <w:tc>
        <w:tcPr>
          <w:tcW w:w="1499" w:type="pct"/>
          <w:gridSpan w:val="2"/>
        </w:tcPr>
        <w:p w:rsidR="00306443" w:rsidRPr="00130F37" w:rsidRDefault="0030644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FE1311" w:rsidRDefault="00306443" w:rsidP="00FE13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FE131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i/>
              <w:sz w:val="16"/>
              <w:szCs w:val="16"/>
            </w:rPr>
          </w:pP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4663">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306443" w:rsidRPr="00130F37" w:rsidTr="00FE1311">
      <w:tc>
        <w:tcPr>
          <w:tcW w:w="1499" w:type="pct"/>
          <w:gridSpan w:val="2"/>
        </w:tcPr>
        <w:p w:rsidR="00306443" w:rsidRPr="00130F37" w:rsidRDefault="0030644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4663">
            <w:rPr>
              <w:sz w:val="16"/>
              <w:szCs w:val="16"/>
            </w:rPr>
            <w:t>39</w:t>
          </w:r>
          <w:r w:rsidRPr="00130F37">
            <w:rPr>
              <w:sz w:val="16"/>
              <w:szCs w:val="16"/>
            </w:rPr>
            <w:fldChar w:fldCharType="end"/>
          </w:r>
        </w:p>
      </w:tc>
      <w:tc>
        <w:tcPr>
          <w:tcW w:w="1999" w:type="pct"/>
        </w:tcPr>
        <w:p w:rsidR="00306443" w:rsidRPr="00130F37" w:rsidRDefault="0030644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4663">
            <w:rPr>
              <w:sz w:val="16"/>
              <w:szCs w:val="16"/>
            </w:rPr>
            <w:t>01/07/2020</w:t>
          </w:r>
          <w:r w:rsidRPr="00130F37">
            <w:rPr>
              <w:sz w:val="16"/>
              <w:szCs w:val="16"/>
            </w:rPr>
            <w:fldChar w:fldCharType="end"/>
          </w:r>
        </w:p>
      </w:tc>
      <w:tc>
        <w:tcPr>
          <w:tcW w:w="1502" w:type="pct"/>
          <w:gridSpan w:val="2"/>
        </w:tcPr>
        <w:p w:rsidR="00306443" w:rsidRPr="00130F37" w:rsidRDefault="0030644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4663">
            <w:rPr>
              <w:sz w:val="16"/>
              <w:szCs w:val="16"/>
            </w:rPr>
            <w:instrText>21/07/2020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4663">
            <w:rPr>
              <w:noProof/>
              <w:sz w:val="16"/>
              <w:szCs w:val="16"/>
            </w:rPr>
            <w:t>21/07/2020</w:t>
          </w:r>
          <w:r w:rsidRPr="00130F37">
            <w:rPr>
              <w:sz w:val="16"/>
              <w:szCs w:val="16"/>
            </w:rPr>
            <w:fldChar w:fldCharType="end"/>
          </w:r>
        </w:p>
      </w:tc>
    </w:tr>
  </w:tbl>
  <w:p w:rsidR="00306443" w:rsidRPr="00DF6F1A" w:rsidRDefault="00306443" w:rsidP="00FE131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B3B51" w:rsidRDefault="0030644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443" w:rsidRPr="007B3B51" w:rsidTr="00FE1311">
      <w:tc>
        <w:tcPr>
          <w:tcW w:w="854" w:type="pct"/>
        </w:tcPr>
        <w:p w:rsidR="00306443" w:rsidRPr="007B3B51" w:rsidRDefault="0030644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514D">
            <w:rPr>
              <w:i/>
              <w:noProof/>
              <w:sz w:val="16"/>
              <w:szCs w:val="16"/>
            </w:rPr>
            <w:t>32</w:t>
          </w:r>
          <w:r w:rsidRPr="007B3B51">
            <w:rPr>
              <w:i/>
              <w:sz w:val="16"/>
              <w:szCs w:val="16"/>
            </w:rPr>
            <w:fldChar w:fldCharType="end"/>
          </w:r>
        </w:p>
      </w:tc>
      <w:tc>
        <w:tcPr>
          <w:tcW w:w="3688" w:type="pct"/>
          <w:gridSpan w:val="3"/>
        </w:tcPr>
        <w:p w:rsidR="00306443" w:rsidRPr="007B3B51" w:rsidRDefault="0030644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514D">
            <w:rPr>
              <w:i/>
              <w:noProof/>
              <w:sz w:val="16"/>
              <w:szCs w:val="16"/>
            </w:rPr>
            <w:t>Australian Securities and Investments Commission Regulations 2001</w:t>
          </w:r>
          <w:r w:rsidRPr="007B3B51">
            <w:rPr>
              <w:i/>
              <w:sz w:val="16"/>
              <w:szCs w:val="16"/>
            </w:rPr>
            <w:fldChar w:fldCharType="end"/>
          </w:r>
        </w:p>
      </w:tc>
      <w:tc>
        <w:tcPr>
          <w:tcW w:w="458" w:type="pct"/>
        </w:tcPr>
        <w:p w:rsidR="00306443" w:rsidRPr="007B3B51" w:rsidRDefault="00306443" w:rsidP="003B6413">
          <w:pPr>
            <w:jc w:val="right"/>
            <w:rPr>
              <w:sz w:val="16"/>
              <w:szCs w:val="16"/>
            </w:rPr>
          </w:pPr>
        </w:p>
      </w:tc>
    </w:tr>
    <w:tr w:rsidR="00306443" w:rsidRPr="0055472E" w:rsidTr="003B4467">
      <w:tc>
        <w:tcPr>
          <w:tcW w:w="1499" w:type="pct"/>
          <w:gridSpan w:val="2"/>
        </w:tcPr>
        <w:p w:rsidR="00306443" w:rsidRPr="0055472E" w:rsidRDefault="0030644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4663">
            <w:rPr>
              <w:sz w:val="16"/>
              <w:szCs w:val="16"/>
            </w:rPr>
            <w:t>39</w:t>
          </w:r>
          <w:r w:rsidRPr="0055472E">
            <w:rPr>
              <w:sz w:val="16"/>
              <w:szCs w:val="16"/>
            </w:rPr>
            <w:fldChar w:fldCharType="end"/>
          </w:r>
        </w:p>
      </w:tc>
      <w:tc>
        <w:tcPr>
          <w:tcW w:w="1999" w:type="pct"/>
        </w:tcPr>
        <w:p w:rsidR="00306443" w:rsidRPr="0055472E" w:rsidRDefault="0030644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4663">
            <w:rPr>
              <w:sz w:val="16"/>
              <w:szCs w:val="16"/>
            </w:rPr>
            <w:t>01/07/2020</w:t>
          </w:r>
          <w:r w:rsidRPr="0055472E">
            <w:rPr>
              <w:sz w:val="16"/>
              <w:szCs w:val="16"/>
            </w:rPr>
            <w:fldChar w:fldCharType="end"/>
          </w:r>
        </w:p>
      </w:tc>
      <w:tc>
        <w:tcPr>
          <w:tcW w:w="1502" w:type="pct"/>
          <w:gridSpan w:val="2"/>
        </w:tcPr>
        <w:p w:rsidR="00306443" w:rsidRPr="0055472E" w:rsidRDefault="0030644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4663">
            <w:rPr>
              <w:sz w:val="16"/>
              <w:szCs w:val="16"/>
            </w:rPr>
            <w:instrText>21/07/2020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4663">
            <w:rPr>
              <w:noProof/>
              <w:sz w:val="16"/>
              <w:szCs w:val="16"/>
            </w:rPr>
            <w:t>21/07/2020</w:t>
          </w:r>
          <w:r w:rsidRPr="0055472E">
            <w:rPr>
              <w:sz w:val="16"/>
              <w:szCs w:val="16"/>
            </w:rPr>
            <w:fldChar w:fldCharType="end"/>
          </w:r>
        </w:p>
      </w:tc>
    </w:tr>
  </w:tbl>
  <w:p w:rsidR="00306443" w:rsidRPr="00FE1311" w:rsidRDefault="00306443" w:rsidP="00FE1311">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43" w:rsidRDefault="00306443">
      <w:r>
        <w:separator/>
      </w:r>
    </w:p>
  </w:footnote>
  <w:footnote w:type="continuationSeparator" w:id="0">
    <w:p w:rsidR="00306443" w:rsidRDefault="00306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rsidP="00C502A0">
    <w:pPr>
      <w:pStyle w:val="Header"/>
      <w:pBdr>
        <w:bottom w:val="single" w:sz="6" w:space="1" w:color="auto"/>
      </w:pBdr>
    </w:pPr>
  </w:p>
  <w:p w:rsidR="00306443" w:rsidRDefault="00306443" w:rsidP="00C502A0">
    <w:pPr>
      <w:pStyle w:val="Header"/>
      <w:pBdr>
        <w:bottom w:val="single" w:sz="6" w:space="1" w:color="auto"/>
      </w:pBdr>
    </w:pPr>
  </w:p>
  <w:p w:rsidR="00306443" w:rsidRPr="001E77D2" w:rsidRDefault="00306443" w:rsidP="00C502A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pPr>
      <w:rPr>
        <w:sz w:val="20"/>
      </w:rPr>
    </w:pPr>
    <w:r>
      <w:rPr>
        <w:b/>
        <w:sz w:val="20"/>
      </w:rPr>
      <w:fldChar w:fldCharType="begin"/>
    </w:r>
    <w:r>
      <w:rPr>
        <w:b/>
        <w:sz w:val="20"/>
      </w:rPr>
      <w:instrText xml:space="preserve"> STYLEREF CharChapNo </w:instrText>
    </w:r>
    <w:r w:rsidR="00174663">
      <w:rPr>
        <w:b/>
        <w:sz w:val="20"/>
      </w:rPr>
      <w:fldChar w:fldCharType="separate"/>
    </w:r>
    <w:r w:rsidR="0020514D">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sidR="00174663">
      <w:rPr>
        <w:sz w:val="20"/>
      </w:rPr>
      <w:fldChar w:fldCharType="separate"/>
    </w:r>
    <w:r w:rsidR="0020514D">
      <w:rPr>
        <w:noProof/>
        <w:sz w:val="20"/>
      </w:rPr>
      <w:t>Bodies corporate to which information may be disclosed</w:t>
    </w:r>
    <w:r>
      <w:rPr>
        <w:sz w:val="20"/>
      </w:rPr>
      <w:fldChar w:fldCharType="end"/>
    </w:r>
  </w:p>
  <w:p w:rsidR="00306443" w:rsidRDefault="00306443">
    <w:pPr>
      <w:pBdr>
        <w:bottom w:val="single" w:sz="6" w:space="1" w:color="auto"/>
      </w:pBdr>
      <w:rPr>
        <w:sz w:val="20"/>
      </w:rPr>
    </w:pPr>
    <w:r>
      <w:rPr>
        <w:b/>
        <w:sz w:val="20"/>
      </w:rPr>
      <w:fldChar w:fldCharType="begin"/>
    </w:r>
    <w:r>
      <w:rPr>
        <w:b/>
        <w:sz w:val="20"/>
      </w:rPr>
      <w:instrText xml:space="preserve"> STYLEREF CharPartNo </w:instrText>
    </w:r>
    <w:r w:rsidR="00174663">
      <w:rPr>
        <w:b/>
        <w:sz w:val="20"/>
      </w:rPr>
      <w:fldChar w:fldCharType="separate"/>
    </w:r>
    <w:r w:rsidR="0020514D">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174663">
      <w:rPr>
        <w:sz w:val="20"/>
      </w:rPr>
      <w:fldChar w:fldCharType="separate"/>
    </w:r>
    <w:r w:rsidR="0020514D">
      <w:rPr>
        <w:noProof/>
        <w:sz w:val="20"/>
      </w:rPr>
      <w:t>Foreign bodies corporate</w:t>
    </w:r>
    <w:r>
      <w:rPr>
        <w:sz w:val="20"/>
      </w:rPr>
      <w:fldChar w:fldCharType="end"/>
    </w:r>
  </w:p>
  <w:p w:rsidR="00306443" w:rsidRDefault="00306443" w:rsidP="00C2476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8A2C51" w:rsidRDefault="00306443">
    <w:pPr>
      <w:jc w:val="right"/>
      <w:rPr>
        <w:sz w:val="20"/>
      </w:rPr>
    </w:pPr>
    <w:r w:rsidRPr="008A2C51">
      <w:rPr>
        <w:sz w:val="20"/>
      </w:rPr>
      <w:fldChar w:fldCharType="begin"/>
    </w:r>
    <w:r w:rsidRPr="008A2C51">
      <w:rPr>
        <w:sz w:val="20"/>
      </w:rPr>
      <w:instrText xml:space="preserve"> STYLEREF CharChapText </w:instrText>
    </w:r>
    <w:r w:rsidR="00174663">
      <w:rPr>
        <w:sz w:val="20"/>
      </w:rPr>
      <w:fldChar w:fldCharType="separate"/>
    </w:r>
    <w:r w:rsidR="0020514D">
      <w:rPr>
        <w:noProof/>
        <w:sz w:val="20"/>
      </w:rPr>
      <w:t>Bodies corporate to which information may be disclosed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174663">
      <w:rPr>
        <w:b/>
        <w:sz w:val="20"/>
      </w:rPr>
      <w:fldChar w:fldCharType="separate"/>
    </w:r>
    <w:r w:rsidR="0020514D">
      <w:rPr>
        <w:b/>
        <w:noProof/>
        <w:sz w:val="20"/>
      </w:rPr>
      <w:t>Schedule 3</w:t>
    </w:r>
    <w:r w:rsidRPr="008A2C51">
      <w:rPr>
        <w:b/>
        <w:sz w:val="20"/>
      </w:rPr>
      <w:fldChar w:fldCharType="end"/>
    </w:r>
  </w:p>
  <w:p w:rsidR="00306443" w:rsidRPr="008A2C51" w:rsidRDefault="0030644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20514D">
      <w:rPr>
        <w:noProof/>
        <w:sz w:val="20"/>
      </w:rPr>
      <w:t>Foreign bodies corporate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20514D">
      <w:rPr>
        <w:b/>
        <w:noProof/>
        <w:sz w:val="20"/>
      </w:rPr>
      <w:t>Part 2</w:t>
    </w:r>
    <w:r w:rsidRPr="008A2C51">
      <w:rPr>
        <w:b/>
        <w:sz w:val="20"/>
      </w:rPr>
      <w:fldChar w:fldCharType="end"/>
    </w:r>
  </w:p>
  <w:p w:rsidR="00306443" w:rsidRPr="008A2C51" w:rsidRDefault="00306443" w:rsidP="00C2476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E528B" w:rsidRDefault="00306443" w:rsidP="00C02731">
    <w:pPr>
      <w:rPr>
        <w:sz w:val="26"/>
        <w:szCs w:val="26"/>
      </w:rPr>
    </w:pPr>
  </w:p>
  <w:p w:rsidR="00306443" w:rsidRPr="00750516" w:rsidRDefault="00306443" w:rsidP="00C02731">
    <w:pPr>
      <w:rPr>
        <w:b/>
        <w:sz w:val="20"/>
      </w:rPr>
    </w:pPr>
    <w:r w:rsidRPr="00750516">
      <w:rPr>
        <w:b/>
        <w:sz w:val="20"/>
      </w:rPr>
      <w:t>Endnotes</w:t>
    </w:r>
  </w:p>
  <w:p w:rsidR="00306443" w:rsidRPr="007A1328" w:rsidRDefault="00306443" w:rsidP="00C02731">
    <w:pPr>
      <w:rPr>
        <w:sz w:val="20"/>
      </w:rPr>
    </w:pPr>
  </w:p>
  <w:p w:rsidR="00306443" w:rsidRPr="007A1328" w:rsidRDefault="00306443" w:rsidP="00C02731">
    <w:pPr>
      <w:rPr>
        <w:b/>
        <w:sz w:val="24"/>
      </w:rPr>
    </w:pPr>
  </w:p>
  <w:p w:rsidR="00306443" w:rsidRPr="007E528B" w:rsidRDefault="00306443" w:rsidP="00C0273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514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E528B" w:rsidRDefault="00306443" w:rsidP="00C02731">
    <w:pPr>
      <w:jc w:val="right"/>
      <w:rPr>
        <w:sz w:val="26"/>
        <w:szCs w:val="26"/>
      </w:rPr>
    </w:pPr>
  </w:p>
  <w:p w:rsidR="00306443" w:rsidRPr="00750516" w:rsidRDefault="00306443" w:rsidP="00C02731">
    <w:pPr>
      <w:jc w:val="right"/>
      <w:rPr>
        <w:b/>
        <w:sz w:val="20"/>
      </w:rPr>
    </w:pPr>
    <w:r w:rsidRPr="00750516">
      <w:rPr>
        <w:b/>
        <w:sz w:val="20"/>
      </w:rPr>
      <w:t>Endnotes</w:t>
    </w:r>
  </w:p>
  <w:p w:rsidR="00306443" w:rsidRPr="007A1328" w:rsidRDefault="00306443" w:rsidP="00C02731">
    <w:pPr>
      <w:jc w:val="right"/>
      <w:rPr>
        <w:sz w:val="20"/>
      </w:rPr>
    </w:pPr>
  </w:p>
  <w:p w:rsidR="00306443" w:rsidRPr="007A1328" w:rsidRDefault="00306443" w:rsidP="00C02731">
    <w:pPr>
      <w:jc w:val="right"/>
      <w:rPr>
        <w:b/>
        <w:sz w:val="24"/>
      </w:rPr>
    </w:pPr>
  </w:p>
  <w:p w:rsidR="00306443" w:rsidRPr="007E528B" w:rsidRDefault="00306443" w:rsidP="00C0273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514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BE5CD2" w:rsidRDefault="00306443" w:rsidP="00C02731">
    <w:pPr>
      <w:rPr>
        <w:sz w:val="26"/>
        <w:szCs w:val="26"/>
      </w:rPr>
    </w:pPr>
  </w:p>
  <w:p w:rsidR="00306443" w:rsidRPr="0020230A" w:rsidRDefault="00306443" w:rsidP="00C02731">
    <w:pPr>
      <w:rPr>
        <w:b/>
        <w:sz w:val="20"/>
      </w:rPr>
    </w:pPr>
    <w:r w:rsidRPr="0020230A">
      <w:rPr>
        <w:b/>
        <w:sz w:val="20"/>
      </w:rPr>
      <w:t>Endnotes</w:t>
    </w:r>
  </w:p>
  <w:p w:rsidR="00306443" w:rsidRPr="007A1328" w:rsidRDefault="00306443" w:rsidP="00C02731">
    <w:pPr>
      <w:rPr>
        <w:sz w:val="20"/>
      </w:rPr>
    </w:pPr>
  </w:p>
  <w:p w:rsidR="00306443" w:rsidRPr="007A1328" w:rsidRDefault="00306443" w:rsidP="00C02731">
    <w:pPr>
      <w:rPr>
        <w:b/>
        <w:sz w:val="24"/>
      </w:rPr>
    </w:pPr>
  </w:p>
  <w:p w:rsidR="00306443" w:rsidRPr="00BE5CD2" w:rsidRDefault="00306443" w:rsidP="00C0273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74663">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BE5CD2" w:rsidRDefault="00306443" w:rsidP="00C02731">
    <w:pPr>
      <w:jc w:val="right"/>
      <w:rPr>
        <w:sz w:val="26"/>
        <w:szCs w:val="26"/>
      </w:rPr>
    </w:pPr>
  </w:p>
  <w:p w:rsidR="00306443" w:rsidRPr="0020230A" w:rsidRDefault="00306443" w:rsidP="00C02731">
    <w:pPr>
      <w:jc w:val="right"/>
      <w:rPr>
        <w:b/>
        <w:sz w:val="20"/>
      </w:rPr>
    </w:pPr>
    <w:r w:rsidRPr="0020230A">
      <w:rPr>
        <w:b/>
        <w:sz w:val="20"/>
      </w:rPr>
      <w:t>Endnotes</w:t>
    </w:r>
  </w:p>
  <w:p w:rsidR="00306443" w:rsidRPr="007A1328" w:rsidRDefault="00306443" w:rsidP="00C02731">
    <w:pPr>
      <w:jc w:val="right"/>
      <w:rPr>
        <w:sz w:val="20"/>
      </w:rPr>
    </w:pPr>
  </w:p>
  <w:p w:rsidR="00306443" w:rsidRPr="007A1328" w:rsidRDefault="00306443" w:rsidP="00C02731">
    <w:pPr>
      <w:jc w:val="right"/>
      <w:rPr>
        <w:b/>
        <w:sz w:val="24"/>
      </w:rPr>
    </w:pPr>
  </w:p>
  <w:p w:rsidR="00306443" w:rsidRPr="00BE5CD2" w:rsidRDefault="00306443" w:rsidP="00C0273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74663">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rsidP="00EA0056">
    <w:pPr>
      <w:pStyle w:val="Header"/>
    </w:pPr>
  </w:p>
  <w:p w:rsidR="00306443" w:rsidRPr="00EA0056" w:rsidRDefault="00306443"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rsidP="00C502A0">
    <w:pPr>
      <w:pStyle w:val="Header"/>
      <w:pBdr>
        <w:bottom w:val="single" w:sz="4" w:space="1" w:color="auto"/>
      </w:pBdr>
    </w:pPr>
  </w:p>
  <w:p w:rsidR="00306443" w:rsidRDefault="00306443" w:rsidP="00C502A0">
    <w:pPr>
      <w:pStyle w:val="Header"/>
      <w:pBdr>
        <w:bottom w:val="single" w:sz="4" w:space="1" w:color="auto"/>
      </w:pBdr>
    </w:pPr>
  </w:p>
  <w:p w:rsidR="00306443" w:rsidRPr="001E77D2" w:rsidRDefault="00306443" w:rsidP="00C502A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5F1388" w:rsidRDefault="00306443" w:rsidP="00C502A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ED79B6" w:rsidRDefault="00306443" w:rsidP="00C02731">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ED79B6" w:rsidRDefault="00306443" w:rsidP="00C02731">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ED79B6" w:rsidRDefault="00306443" w:rsidP="00C0273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Default="00306443" w:rsidP="003B64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6443" w:rsidRDefault="00306443" w:rsidP="003B6413">
    <w:pPr>
      <w:rPr>
        <w:sz w:val="20"/>
      </w:rPr>
    </w:pPr>
    <w:r w:rsidRPr="007A1328">
      <w:rPr>
        <w:b/>
        <w:sz w:val="20"/>
      </w:rPr>
      <w:fldChar w:fldCharType="begin"/>
    </w:r>
    <w:r w:rsidRPr="007A1328">
      <w:rPr>
        <w:b/>
        <w:sz w:val="20"/>
      </w:rPr>
      <w:instrText xml:space="preserve"> STYLEREF CharPartNo </w:instrText>
    </w:r>
    <w:r w:rsidR="00174663">
      <w:rPr>
        <w:b/>
        <w:sz w:val="20"/>
      </w:rPr>
      <w:fldChar w:fldCharType="separate"/>
    </w:r>
    <w:r w:rsidR="0020514D">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74663">
      <w:rPr>
        <w:sz w:val="20"/>
      </w:rPr>
      <w:fldChar w:fldCharType="separate"/>
    </w:r>
    <w:r w:rsidR="0020514D">
      <w:rPr>
        <w:noProof/>
        <w:sz w:val="20"/>
      </w:rPr>
      <w:t>Clearing and settlement facilities</w:t>
    </w:r>
    <w:r>
      <w:rPr>
        <w:sz w:val="20"/>
      </w:rPr>
      <w:fldChar w:fldCharType="end"/>
    </w:r>
  </w:p>
  <w:p w:rsidR="00306443" w:rsidRPr="007A1328" w:rsidRDefault="00306443" w:rsidP="003B64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06443" w:rsidRPr="007A1328" w:rsidRDefault="00306443" w:rsidP="003B6413">
    <w:pPr>
      <w:rPr>
        <w:b/>
        <w:sz w:val="24"/>
      </w:rPr>
    </w:pPr>
  </w:p>
  <w:p w:rsidR="00306443" w:rsidRPr="007A1328" w:rsidRDefault="00306443" w:rsidP="00FE131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74663">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514D">
      <w:rPr>
        <w:noProof/>
        <w:sz w:val="24"/>
      </w:rPr>
      <w:t>45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A1328" w:rsidRDefault="00306443" w:rsidP="003B64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6443" w:rsidRPr="007A1328" w:rsidRDefault="00306443" w:rsidP="003B6413">
    <w:pPr>
      <w:jc w:val="right"/>
      <w:rPr>
        <w:sz w:val="20"/>
      </w:rPr>
    </w:pPr>
    <w:r w:rsidRPr="007A1328">
      <w:rPr>
        <w:sz w:val="20"/>
      </w:rPr>
      <w:fldChar w:fldCharType="begin"/>
    </w:r>
    <w:r w:rsidRPr="007A1328">
      <w:rPr>
        <w:sz w:val="20"/>
      </w:rPr>
      <w:instrText xml:space="preserve"> STYLEREF CharPartText </w:instrText>
    </w:r>
    <w:r w:rsidR="00174663">
      <w:rPr>
        <w:sz w:val="20"/>
      </w:rPr>
      <w:fldChar w:fldCharType="separate"/>
    </w:r>
    <w:r w:rsidR="0020514D">
      <w:rPr>
        <w:noProof/>
        <w:sz w:val="20"/>
      </w:rPr>
      <w:t>Clearing and settlement facilities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74663">
      <w:rPr>
        <w:b/>
        <w:sz w:val="20"/>
      </w:rPr>
      <w:fldChar w:fldCharType="separate"/>
    </w:r>
    <w:r w:rsidR="0020514D">
      <w:rPr>
        <w:b/>
        <w:noProof/>
        <w:sz w:val="20"/>
      </w:rPr>
      <w:t>Part 5</w:t>
    </w:r>
    <w:r>
      <w:rPr>
        <w:b/>
        <w:sz w:val="20"/>
      </w:rPr>
      <w:fldChar w:fldCharType="end"/>
    </w:r>
  </w:p>
  <w:p w:rsidR="00306443" w:rsidRPr="007A1328" w:rsidRDefault="00306443" w:rsidP="003B64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06443" w:rsidRPr="007A1328" w:rsidRDefault="00306443" w:rsidP="003B6413">
    <w:pPr>
      <w:jc w:val="right"/>
      <w:rPr>
        <w:b/>
        <w:sz w:val="24"/>
      </w:rPr>
    </w:pPr>
  </w:p>
  <w:p w:rsidR="00306443" w:rsidRPr="007A1328" w:rsidRDefault="00306443" w:rsidP="00FE131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74663">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514D">
      <w:rPr>
        <w:noProof/>
        <w:sz w:val="24"/>
      </w:rPr>
      <w:t>47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43" w:rsidRPr="007A1328" w:rsidRDefault="00306443" w:rsidP="003B64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BC2CBF"/>
    <w:multiLevelType w:val="singleLevel"/>
    <w:tmpl w:val="36607E3E"/>
    <w:lvl w:ilvl="0">
      <w:start w:val="1"/>
      <w:numFmt w:val="bullet"/>
      <w:lvlText w:val=""/>
      <w:lvlJc w:val="left"/>
      <w:pPr>
        <w:tabs>
          <w:tab w:val="num" w:pos="360"/>
        </w:tabs>
        <w:ind w:left="360" w:hanging="360"/>
      </w:pPr>
      <w:rPr>
        <w:rFonts w:ascii="Symbol" w:hAnsi="Symbol" w:hint="default"/>
        <w:sz w:val="20"/>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F54060"/>
    <w:multiLevelType w:val="hybridMultilevel"/>
    <w:tmpl w:val="E794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9"/>
  </w:num>
  <w:num w:numId="17">
    <w:abstractNumId w:val="13"/>
  </w:num>
  <w:num w:numId="18">
    <w:abstractNumId w:val="12"/>
  </w:num>
  <w:num w:numId="19">
    <w:abstractNumId w:val="20"/>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88"/>
    <w:rsid w:val="00002328"/>
    <w:rsid w:val="0000439F"/>
    <w:rsid w:val="000047FD"/>
    <w:rsid w:val="000056EE"/>
    <w:rsid w:val="000062AA"/>
    <w:rsid w:val="00006F3C"/>
    <w:rsid w:val="00010203"/>
    <w:rsid w:val="00012A4E"/>
    <w:rsid w:val="00013EDF"/>
    <w:rsid w:val="0001739E"/>
    <w:rsid w:val="000173D5"/>
    <w:rsid w:val="00021B7D"/>
    <w:rsid w:val="00023FD2"/>
    <w:rsid w:val="00025102"/>
    <w:rsid w:val="000323CF"/>
    <w:rsid w:val="00033BA1"/>
    <w:rsid w:val="0003434D"/>
    <w:rsid w:val="0003498B"/>
    <w:rsid w:val="00035C55"/>
    <w:rsid w:val="00035FF5"/>
    <w:rsid w:val="000368EE"/>
    <w:rsid w:val="0004107C"/>
    <w:rsid w:val="000528FB"/>
    <w:rsid w:val="00055E25"/>
    <w:rsid w:val="00064437"/>
    <w:rsid w:val="00065A0E"/>
    <w:rsid w:val="000675DE"/>
    <w:rsid w:val="000738C8"/>
    <w:rsid w:val="000753EE"/>
    <w:rsid w:val="00075B3D"/>
    <w:rsid w:val="000804EA"/>
    <w:rsid w:val="000856C9"/>
    <w:rsid w:val="00086FFD"/>
    <w:rsid w:val="00091495"/>
    <w:rsid w:val="00091A5B"/>
    <w:rsid w:val="0009271D"/>
    <w:rsid w:val="00092802"/>
    <w:rsid w:val="00096067"/>
    <w:rsid w:val="000A1552"/>
    <w:rsid w:val="000A5369"/>
    <w:rsid w:val="000B0A20"/>
    <w:rsid w:val="000B0E4B"/>
    <w:rsid w:val="000B26C3"/>
    <w:rsid w:val="000B52F3"/>
    <w:rsid w:val="000C22D7"/>
    <w:rsid w:val="000C2FF4"/>
    <w:rsid w:val="000C43AB"/>
    <w:rsid w:val="000C47DC"/>
    <w:rsid w:val="000C4F18"/>
    <w:rsid w:val="000C56FE"/>
    <w:rsid w:val="000D112D"/>
    <w:rsid w:val="000D363E"/>
    <w:rsid w:val="000D6293"/>
    <w:rsid w:val="000E081D"/>
    <w:rsid w:val="000E1D74"/>
    <w:rsid w:val="000E4238"/>
    <w:rsid w:val="000F140F"/>
    <w:rsid w:val="000F236A"/>
    <w:rsid w:val="000F3EC8"/>
    <w:rsid w:val="00101C37"/>
    <w:rsid w:val="00102146"/>
    <w:rsid w:val="00106649"/>
    <w:rsid w:val="00111E48"/>
    <w:rsid w:val="00111F4D"/>
    <w:rsid w:val="00114286"/>
    <w:rsid w:val="00122A33"/>
    <w:rsid w:val="00122CA1"/>
    <w:rsid w:val="00124355"/>
    <w:rsid w:val="001269AC"/>
    <w:rsid w:val="00126C33"/>
    <w:rsid w:val="00126D00"/>
    <w:rsid w:val="00132CBF"/>
    <w:rsid w:val="00133419"/>
    <w:rsid w:val="00135CB0"/>
    <w:rsid w:val="001363F5"/>
    <w:rsid w:val="00136797"/>
    <w:rsid w:val="0013758F"/>
    <w:rsid w:val="00137760"/>
    <w:rsid w:val="00144F93"/>
    <w:rsid w:val="00145C33"/>
    <w:rsid w:val="0014660D"/>
    <w:rsid w:val="00152824"/>
    <w:rsid w:val="00153593"/>
    <w:rsid w:val="001544DD"/>
    <w:rsid w:val="00157A48"/>
    <w:rsid w:val="0016070D"/>
    <w:rsid w:val="001632C5"/>
    <w:rsid w:val="00170278"/>
    <w:rsid w:val="00173354"/>
    <w:rsid w:val="00174663"/>
    <w:rsid w:val="00177B38"/>
    <w:rsid w:val="00180CD3"/>
    <w:rsid w:val="0018103F"/>
    <w:rsid w:val="001854E2"/>
    <w:rsid w:val="00191B57"/>
    <w:rsid w:val="00195953"/>
    <w:rsid w:val="001A25BD"/>
    <w:rsid w:val="001A2D07"/>
    <w:rsid w:val="001B3335"/>
    <w:rsid w:val="001B3B28"/>
    <w:rsid w:val="001B5F1F"/>
    <w:rsid w:val="001B680B"/>
    <w:rsid w:val="001B7079"/>
    <w:rsid w:val="001C2294"/>
    <w:rsid w:val="001C2892"/>
    <w:rsid w:val="001C2D2D"/>
    <w:rsid w:val="001C3CFF"/>
    <w:rsid w:val="001C6C78"/>
    <w:rsid w:val="001D1297"/>
    <w:rsid w:val="001D1730"/>
    <w:rsid w:val="001D49E7"/>
    <w:rsid w:val="001D53F8"/>
    <w:rsid w:val="001D7838"/>
    <w:rsid w:val="001E0659"/>
    <w:rsid w:val="001E2129"/>
    <w:rsid w:val="001E45CD"/>
    <w:rsid w:val="001E551F"/>
    <w:rsid w:val="001F204C"/>
    <w:rsid w:val="001F23EE"/>
    <w:rsid w:val="00200504"/>
    <w:rsid w:val="00201C60"/>
    <w:rsid w:val="0020488A"/>
    <w:rsid w:val="0020514D"/>
    <w:rsid w:val="00210E7F"/>
    <w:rsid w:val="002125DA"/>
    <w:rsid w:val="00216EFF"/>
    <w:rsid w:val="00220EDA"/>
    <w:rsid w:val="00222DA1"/>
    <w:rsid w:val="002234A8"/>
    <w:rsid w:val="00223A7F"/>
    <w:rsid w:val="002250FB"/>
    <w:rsid w:val="002303A1"/>
    <w:rsid w:val="0023078B"/>
    <w:rsid w:val="00231813"/>
    <w:rsid w:val="002341FF"/>
    <w:rsid w:val="0023725F"/>
    <w:rsid w:val="00240801"/>
    <w:rsid w:val="0024323A"/>
    <w:rsid w:val="002432B2"/>
    <w:rsid w:val="00244CB9"/>
    <w:rsid w:val="00245C1C"/>
    <w:rsid w:val="00245DC8"/>
    <w:rsid w:val="00246196"/>
    <w:rsid w:val="002517FC"/>
    <w:rsid w:val="00254B2F"/>
    <w:rsid w:val="00254C12"/>
    <w:rsid w:val="002561A2"/>
    <w:rsid w:val="00260D59"/>
    <w:rsid w:val="002623AC"/>
    <w:rsid w:val="00262431"/>
    <w:rsid w:val="00267097"/>
    <w:rsid w:val="002705A1"/>
    <w:rsid w:val="00270826"/>
    <w:rsid w:val="0027363B"/>
    <w:rsid w:val="0028180B"/>
    <w:rsid w:val="00281C88"/>
    <w:rsid w:val="00282321"/>
    <w:rsid w:val="00282433"/>
    <w:rsid w:val="00287C1E"/>
    <w:rsid w:val="00290BC0"/>
    <w:rsid w:val="002922E2"/>
    <w:rsid w:val="00296435"/>
    <w:rsid w:val="0029646C"/>
    <w:rsid w:val="00296E69"/>
    <w:rsid w:val="002A0ADF"/>
    <w:rsid w:val="002A57A4"/>
    <w:rsid w:val="002B0734"/>
    <w:rsid w:val="002B1B6B"/>
    <w:rsid w:val="002B6D72"/>
    <w:rsid w:val="002C07CE"/>
    <w:rsid w:val="002C0E89"/>
    <w:rsid w:val="002C42F1"/>
    <w:rsid w:val="002C79E4"/>
    <w:rsid w:val="002C7F8D"/>
    <w:rsid w:val="002D3351"/>
    <w:rsid w:val="002D35D3"/>
    <w:rsid w:val="002D6144"/>
    <w:rsid w:val="002D6B41"/>
    <w:rsid w:val="002D78D5"/>
    <w:rsid w:val="002E0F58"/>
    <w:rsid w:val="002F149C"/>
    <w:rsid w:val="002F178F"/>
    <w:rsid w:val="002F58A9"/>
    <w:rsid w:val="002F63AF"/>
    <w:rsid w:val="002F7F1D"/>
    <w:rsid w:val="00302B74"/>
    <w:rsid w:val="003058D0"/>
    <w:rsid w:val="0030598E"/>
    <w:rsid w:val="0030627F"/>
    <w:rsid w:val="00306443"/>
    <w:rsid w:val="00306F8A"/>
    <w:rsid w:val="00314F7B"/>
    <w:rsid w:val="00323690"/>
    <w:rsid w:val="003242D2"/>
    <w:rsid w:val="003250AD"/>
    <w:rsid w:val="003269CD"/>
    <w:rsid w:val="00326E50"/>
    <w:rsid w:val="00327AAB"/>
    <w:rsid w:val="003328BD"/>
    <w:rsid w:val="00332AD4"/>
    <w:rsid w:val="00336768"/>
    <w:rsid w:val="00336DBD"/>
    <w:rsid w:val="00345189"/>
    <w:rsid w:val="003462E1"/>
    <w:rsid w:val="00347380"/>
    <w:rsid w:val="00347ABE"/>
    <w:rsid w:val="00351600"/>
    <w:rsid w:val="003532C7"/>
    <w:rsid w:val="003550C3"/>
    <w:rsid w:val="003567D5"/>
    <w:rsid w:val="003570F6"/>
    <w:rsid w:val="00361FAA"/>
    <w:rsid w:val="00365485"/>
    <w:rsid w:val="00366209"/>
    <w:rsid w:val="00366603"/>
    <w:rsid w:val="00373DD8"/>
    <w:rsid w:val="003816D6"/>
    <w:rsid w:val="003842BF"/>
    <w:rsid w:val="00391352"/>
    <w:rsid w:val="00392D07"/>
    <w:rsid w:val="00393A96"/>
    <w:rsid w:val="00395BF6"/>
    <w:rsid w:val="00396600"/>
    <w:rsid w:val="00396732"/>
    <w:rsid w:val="003A3291"/>
    <w:rsid w:val="003B08CB"/>
    <w:rsid w:val="003B4467"/>
    <w:rsid w:val="003B6413"/>
    <w:rsid w:val="003B78B4"/>
    <w:rsid w:val="003C03BA"/>
    <w:rsid w:val="003C1D3B"/>
    <w:rsid w:val="003C246F"/>
    <w:rsid w:val="003C3D36"/>
    <w:rsid w:val="003C700C"/>
    <w:rsid w:val="003C7A77"/>
    <w:rsid w:val="003C7BCE"/>
    <w:rsid w:val="003D02BE"/>
    <w:rsid w:val="003D20DD"/>
    <w:rsid w:val="003D2469"/>
    <w:rsid w:val="003D3D1B"/>
    <w:rsid w:val="003D5322"/>
    <w:rsid w:val="003E0ED2"/>
    <w:rsid w:val="003E28FA"/>
    <w:rsid w:val="003E4E0A"/>
    <w:rsid w:val="003E7A06"/>
    <w:rsid w:val="003F0AC7"/>
    <w:rsid w:val="003F1A97"/>
    <w:rsid w:val="003F1AF9"/>
    <w:rsid w:val="00404F32"/>
    <w:rsid w:val="00405956"/>
    <w:rsid w:val="00407719"/>
    <w:rsid w:val="00413486"/>
    <w:rsid w:val="00413AC0"/>
    <w:rsid w:val="004207D7"/>
    <w:rsid w:val="00424431"/>
    <w:rsid w:val="00427249"/>
    <w:rsid w:val="0043064E"/>
    <w:rsid w:val="004356CC"/>
    <w:rsid w:val="00441257"/>
    <w:rsid w:val="00442444"/>
    <w:rsid w:val="00444E76"/>
    <w:rsid w:val="00445767"/>
    <w:rsid w:val="00451858"/>
    <w:rsid w:val="00451AC1"/>
    <w:rsid w:val="00453490"/>
    <w:rsid w:val="00454D0B"/>
    <w:rsid w:val="00456769"/>
    <w:rsid w:val="004576CC"/>
    <w:rsid w:val="00457713"/>
    <w:rsid w:val="00457AC5"/>
    <w:rsid w:val="00457C34"/>
    <w:rsid w:val="004644D0"/>
    <w:rsid w:val="0046547C"/>
    <w:rsid w:val="00466BB3"/>
    <w:rsid w:val="0047221D"/>
    <w:rsid w:val="00482B0A"/>
    <w:rsid w:val="004861B8"/>
    <w:rsid w:val="00487C4E"/>
    <w:rsid w:val="00490956"/>
    <w:rsid w:val="00492AF6"/>
    <w:rsid w:val="0049476B"/>
    <w:rsid w:val="00494859"/>
    <w:rsid w:val="00496701"/>
    <w:rsid w:val="004A1FAA"/>
    <w:rsid w:val="004A6C80"/>
    <w:rsid w:val="004B123D"/>
    <w:rsid w:val="004B15E5"/>
    <w:rsid w:val="004B1E60"/>
    <w:rsid w:val="004B5687"/>
    <w:rsid w:val="004B6037"/>
    <w:rsid w:val="004B717C"/>
    <w:rsid w:val="004C1662"/>
    <w:rsid w:val="004C4116"/>
    <w:rsid w:val="004C7D0D"/>
    <w:rsid w:val="004D25B2"/>
    <w:rsid w:val="004D2CCB"/>
    <w:rsid w:val="004E01BE"/>
    <w:rsid w:val="004E3375"/>
    <w:rsid w:val="004E6672"/>
    <w:rsid w:val="004F0A32"/>
    <w:rsid w:val="004F586F"/>
    <w:rsid w:val="004F686B"/>
    <w:rsid w:val="004F6F63"/>
    <w:rsid w:val="0050039A"/>
    <w:rsid w:val="00502930"/>
    <w:rsid w:val="00503C8F"/>
    <w:rsid w:val="005051B5"/>
    <w:rsid w:val="00511B9A"/>
    <w:rsid w:val="0051543A"/>
    <w:rsid w:val="005166B2"/>
    <w:rsid w:val="00517E69"/>
    <w:rsid w:val="005242B4"/>
    <w:rsid w:val="00524BE1"/>
    <w:rsid w:val="00526CCE"/>
    <w:rsid w:val="00532493"/>
    <w:rsid w:val="00535BFA"/>
    <w:rsid w:val="00545FAF"/>
    <w:rsid w:val="00553BBD"/>
    <w:rsid w:val="00553CCE"/>
    <w:rsid w:val="005548F9"/>
    <w:rsid w:val="00561460"/>
    <w:rsid w:val="00562B1F"/>
    <w:rsid w:val="00564001"/>
    <w:rsid w:val="005675B0"/>
    <w:rsid w:val="00571A88"/>
    <w:rsid w:val="00573927"/>
    <w:rsid w:val="005741F4"/>
    <w:rsid w:val="00574533"/>
    <w:rsid w:val="00577475"/>
    <w:rsid w:val="00577761"/>
    <w:rsid w:val="00583E92"/>
    <w:rsid w:val="00584A71"/>
    <w:rsid w:val="005867F2"/>
    <w:rsid w:val="00590B66"/>
    <w:rsid w:val="00590BD9"/>
    <w:rsid w:val="00593445"/>
    <w:rsid w:val="00594F6A"/>
    <w:rsid w:val="005A04A5"/>
    <w:rsid w:val="005A0F53"/>
    <w:rsid w:val="005A2A56"/>
    <w:rsid w:val="005B2BDF"/>
    <w:rsid w:val="005B4BF3"/>
    <w:rsid w:val="005B7BFB"/>
    <w:rsid w:val="005C0818"/>
    <w:rsid w:val="005C1BD4"/>
    <w:rsid w:val="005C20BB"/>
    <w:rsid w:val="005C240C"/>
    <w:rsid w:val="005C3796"/>
    <w:rsid w:val="005C5AA7"/>
    <w:rsid w:val="005C73E1"/>
    <w:rsid w:val="005C7760"/>
    <w:rsid w:val="005C7BB8"/>
    <w:rsid w:val="005D0622"/>
    <w:rsid w:val="005D40F1"/>
    <w:rsid w:val="005D491C"/>
    <w:rsid w:val="005D5651"/>
    <w:rsid w:val="005D5DD2"/>
    <w:rsid w:val="005D6F22"/>
    <w:rsid w:val="005E42DE"/>
    <w:rsid w:val="005E5309"/>
    <w:rsid w:val="005E660E"/>
    <w:rsid w:val="005E6C5D"/>
    <w:rsid w:val="005E6D7C"/>
    <w:rsid w:val="005E7D08"/>
    <w:rsid w:val="005E7DA0"/>
    <w:rsid w:val="005F0825"/>
    <w:rsid w:val="005F2238"/>
    <w:rsid w:val="005F38C6"/>
    <w:rsid w:val="005F5365"/>
    <w:rsid w:val="005F6AA9"/>
    <w:rsid w:val="005F7565"/>
    <w:rsid w:val="005F7D4E"/>
    <w:rsid w:val="0060022A"/>
    <w:rsid w:val="00604104"/>
    <w:rsid w:val="0060499E"/>
    <w:rsid w:val="00610CB1"/>
    <w:rsid w:val="006133D2"/>
    <w:rsid w:val="006156D1"/>
    <w:rsid w:val="006160CF"/>
    <w:rsid w:val="0061634B"/>
    <w:rsid w:val="00622C34"/>
    <w:rsid w:val="00626654"/>
    <w:rsid w:val="006277AB"/>
    <w:rsid w:val="006277EF"/>
    <w:rsid w:val="00630C62"/>
    <w:rsid w:val="006334F8"/>
    <w:rsid w:val="00635891"/>
    <w:rsid w:val="00641491"/>
    <w:rsid w:val="00645165"/>
    <w:rsid w:val="00645A49"/>
    <w:rsid w:val="00646F2F"/>
    <w:rsid w:val="006472F3"/>
    <w:rsid w:val="00647421"/>
    <w:rsid w:val="006503AC"/>
    <w:rsid w:val="006548E6"/>
    <w:rsid w:val="00656579"/>
    <w:rsid w:val="00657047"/>
    <w:rsid w:val="0065749A"/>
    <w:rsid w:val="0065794A"/>
    <w:rsid w:val="00663C60"/>
    <w:rsid w:val="00670844"/>
    <w:rsid w:val="00672003"/>
    <w:rsid w:val="00672979"/>
    <w:rsid w:val="00673078"/>
    <w:rsid w:val="00673E18"/>
    <w:rsid w:val="00675147"/>
    <w:rsid w:val="00675602"/>
    <w:rsid w:val="00677974"/>
    <w:rsid w:val="00682784"/>
    <w:rsid w:val="006834DB"/>
    <w:rsid w:val="00684C21"/>
    <w:rsid w:val="00685AC6"/>
    <w:rsid w:val="00686152"/>
    <w:rsid w:val="006910F4"/>
    <w:rsid w:val="00691860"/>
    <w:rsid w:val="00696568"/>
    <w:rsid w:val="006A0177"/>
    <w:rsid w:val="006A2741"/>
    <w:rsid w:val="006A27BD"/>
    <w:rsid w:val="006A4BA5"/>
    <w:rsid w:val="006B28EE"/>
    <w:rsid w:val="006C0E25"/>
    <w:rsid w:val="006C31CA"/>
    <w:rsid w:val="006C4BED"/>
    <w:rsid w:val="006C53D2"/>
    <w:rsid w:val="006C559C"/>
    <w:rsid w:val="006C56B9"/>
    <w:rsid w:val="006C795D"/>
    <w:rsid w:val="006D0603"/>
    <w:rsid w:val="006D18DE"/>
    <w:rsid w:val="006D4B99"/>
    <w:rsid w:val="006D4D82"/>
    <w:rsid w:val="006D7E9A"/>
    <w:rsid w:val="006E031D"/>
    <w:rsid w:val="006E6AF8"/>
    <w:rsid w:val="006E7AAC"/>
    <w:rsid w:val="006F1AEC"/>
    <w:rsid w:val="006F1EAB"/>
    <w:rsid w:val="006F2504"/>
    <w:rsid w:val="006F4850"/>
    <w:rsid w:val="006F6A2B"/>
    <w:rsid w:val="006F7605"/>
    <w:rsid w:val="007037DD"/>
    <w:rsid w:val="007067C6"/>
    <w:rsid w:val="00707709"/>
    <w:rsid w:val="00714A70"/>
    <w:rsid w:val="00717563"/>
    <w:rsid w:val="00725F58"/>
    <w:rsid w:val="00730AB3"/>
    <w:rsid w:val="00732425"/>
    <w:rsid w:val="007332B0"/>
    <w:rsid w:val="00733D1E"/>
    <w:rsid w:val="00733ED9"/>
    <w:rsid w:val="00735B24"/>
    <w:rsid w:val="0073761F"/>
    <w:rsid w:val="00742BE4"/>
    <w:rsid w:val="0074530F"/>
    <w:rsid w:val="00750F54"/>
    <w:rsid w:val="007576E3"/>
    <w:rsid w:val="00757D9D"/>
    <w:rsid w:val="007631BD"/>
    <w:rsid w:val="007636A5"/>
    <w:rsid w:val="007640FB"/>
    <w:rsid w:val="00766BFB"/>
    <w:rsid w:val="0077342C"/>
    <w:rsid w:val="00781943"/>
    <w:rsid w:val="007857FD"/>
    <w:rsid w:val="00787D5F"/>
    <w:rsid w:val="00787E97"/>
    <w:rsid w:val="00790E0E"/>
    <w:rsid w:val="00791344"/>
    <w:rsid w:val="007916FB"/>
    <w:rsid w:val="00792C57"/>
    <w:rsid w:val="00792D08"/>
    <w:rsid w:val="007952D3"/>
    <w:rsid w:val="0079643C"/>
    <w:rsid w:val="0079666E"/>
    <w:rsid w:val="0079710F"/>
    <w:rsid w:val="00797C09"/>
    <w:rsid w:val="007A1349"/>
    <w:rsid w:val="007A18FD"/>
    <w:rsid w:val="007A3567"/>
    <w:rsid w:val="007A39C0"/>
    <w:rsid w:val="007A4090"/>
    <w:rsid w:val="007A588C"/>
    <w:rsid w:val="007B0615"/>
    <w:rsid w:val="007B06A1"/>
    <w:rsid w:val="007B7CFF"/>
    <w:rsid w:val="007B7F06"/>
    <w:rsid w:val="007C012A"/>
    <w:rsid w:val="007C0378"/>
    <w:rsid w:val="007C23A0"/>
    <w:rsid w:val="007C378E"/>
    <w:rsid w:val="007C49D9"/>
    <w:rsid w:val="007D2042"/>
    <w:rsid w:val="007D3949"/>
    <w:rsid w:val="007D52FE"/>
    <w:rsid w:val="007D605A"/>
    <w:rsid w:val="007E16DE"/>
    <w:rsid w:val="007E21C3"/>
    <w:rsid w:val="007E2E24"/>
    <w:rsid w:val="007E48A0"/>
    <w:rsid w:val="007E765F"/>
    <w:rsid w:val="007F1DA3"/>
    <w:rsid w:val="007F2770"/>
    <w:rsid w:val="007F2FED"/>
    <w:rsid w:val="007F6B43"/>
    <w:rsid w:val="007F7AFB"/>
    <w:rsid w:val="007F7E53"/>
    <w:rsid w:val="007F7FAC"/>
    <w:rsid w:val="00800EE9"/>
    <w:rsid w:val="00802693"/>
    <w:rsid w:val="0080414A"/>
    <w:rsid w:val="008047AB"/>
    <w:rsid w:val="00810CF2"/>
    <w:rsid w:val="00815376"/>
    <w:rsid w:val="008200F1"/>
    <w:rsid w:val="00820E6A"/>
    <w:rsid w:val="00821E1B"/>
    <w:rsid w:val="008324D8"/>
    <w:rsid w:val="00834026"/>
    <w:rsid w:val="008341C1"/>
    <w:rsid w:val="008403A6"/>
    <w:rsid w:val="008421EA"/>
    <w:rsid w:val="008529D0"/>
    <w:rsid w:val="008557A0"/>
    <w:rsid w:val="00855B7C"/>
    <w:rsid w:val="00855D26"/>
    <w:rsid w:val="008621D6"/>
    <w:rsid w:val="00864811"/>
    <w:rsid w:val="00871D4B"/>
    <w:rsid w:val="0087573B"/>
    <w:rsid w:val="008805C7"/>
    <w:rsid w:val="0088495E"/>
    <w:rsid w:val="00884A91"/>
    <w:rsid w:val="00890A16"/>
    <w:rsid w:val="00890FC0"/>
    <w:rsid w:val="0089569F"/>
    <w:rsid w:val="008A0D3A"/>
    <w:rsid w:val="008A2ABB"/>
    <w:rsid w:val="008A3D32"/>
    <w:rsid w:val="008A5870"/>
    <w:rsid w:val="008A5DD5"/>
    <w:rsid w:val="008A696E"/>
    <w:rsid w:val="008A7A9E"/>
    <w:rsid w:val="008B325F"/>
    <w:rsid w:val="008B7DD7"/>
    <w:rsid w:val="008C1D70"/>
    <w:rsid w:val="008C38FE"/>
    <w:rsid w:val="008D64ED"/>
    <w:rsid w:val="008D6D31"/>
    <w:rsid w:val="008E02E5"/>
    <w:rsid w:val="008E20CC"/>
    <w:rsid w:val="008E29E7"/>
    <w:rsid w:val="008E74ED"/>
    <w:rsid w:val="008E7D39"/>
    <w:rsid w:val="008F0641"/>
    <w:rsid w:val="008F14EE"/>
    <w:rsid w:val="008F48BF"/>
    <w:rsid w:val="008F5EC2"/>
    <w:rsid w:val="008F64F2"/>
    <w:rsid w:val="008F69FC"/>
    <w:rsid w:val="008F795E"/>
    <w:rsid w:val="0090129B"/>
    <w:rsid w:val="00901D54"/>
    <w:rsid w:val="00901DA5"/>
    <w:rsid w:val="00901F54"/>
    <w:rsid w:val="00902FB5"/>
    <w:rsid w:val="009036CE"/>
    <w:rsid w:val="009070F5"/>
    <w:rsid w:val="0091491C"/>
    <w:rsid w:val="00914CC9"/>
    <w:rsid w:val="0093033C"/>
    <w:rsid w:val="009314BB"/>
    <w:rsid w:val="009356C5"/>
    <w:rsid w:val="00940279"/>
    <w:rsid w:val="00944599"/>
    <w:rsid w:val="00946A77"/>
    <w:rsid w:val="00947C2D"/>
    <w:rsid w:val="00947E94"/>
    <w:rsid w:val="009526CB"/>
    <w:rsid w:val="0095322A"/>
    <w:rsid w:val="00953428"/>
    <w:rsid w:val="00953D56"/>
    <w:rsid w:val="009553F5"/>
    <w:rsid w:val="009569C7"/>
    <w:rsid w:val="0096303B"/>
    <w:rsid w:val="009676B9"/>
    <w:rsid w:val="00970EC1"/>
    <w:rsid w:val="0097409E"/>
    <w:rsid w:val="00980C22"/>
    <w:rsid w:val="00982AF1"/>
    <w:rsid w:val="00982FFF"/>
    <w:rsid w:val="00987DF2"/>
    <w:rsid w:val="00987E62"/>
    <w:rsid w:val="0099175F"/>
    <w:rsid w:val="00992087"/>
    <w:rsid w:val="00992710"/>
    <w:rsid w:val="00997EC7"/>
    <w:rsid w:val="009A3002"/>
    <w:rsid w:val="009A4196"/>
    <w:rsid w:val="009A4D9E"/>
    <w:rsid w:val="009A595E"/>
    <w:rsid w:val="009B1609"/>
    <w:rsid w:val="009B33CC"/>
    <w:rsid w:val="009B5714"/>
    <w:rsid w:val="009B69AB"/>
    <w:rsid w:val="009C14CB"/>
    <w:rsid w:val="009C5A84"/>
    <w:rsid w:val="009C7129"/>
    <w:rsid w:val="009D63B1"/>
    <w:rsid w:val="009E27BC"/>
    <w:rsid w:val="009E3171"/>
    <w:rsid w:val="009E4313"/>
    <w:rsid w:val="009F3211"/>
    <w:rsid w:val="009F3A4D"/>
    <w:rsid w:val="009F60CF"/>
    <w:rsid w:val="009F759A"/>
    <w:rsid w:val="00A00009"/>
    <w:rsid w:val="00A01333"/>
    <w:rsid w:val="00A01FB2"/>
    <w:rsid w:val="00A02DBA"/>
    <w:rsid w:val="00A03F84"/>
    <w:rsid w:val="00A05DFA"/>
    <w:rsid w:val="00A11AB5"/>
    <w:rsid w:val="00A1281A"/>
    <w:rsid w:val="00A12A1D"/>
    <w:rsid w:val="00A17D1D"/>
    <w:rsid w:val="00A20966"/>
    <w:rsid w:val="00A26EC4"/>
    <w:rsid w:val="00A31BE9"/>
    <w:rsid w:val="00A327C3"/>
    <w:rsid w:val="00A36348"/>
    <w:rsid w:val="00A40923"/>
    <w:rsid w:val="00A41F36"/>
    <w:rsid w:val="00A42A82"/>
    <w:rsid w:val="00A42B44"/>
    <w:rsid w:val="00A45A84"/>
    <w:rsid w:val="00A51E5B"/>
    <w:rsid w:val="00A52329"/>
    <w:rsid w:val="00A53D94"/>
    <w:rsid w:val="00A53ED4"/>
    <w:rsid w:val="00A5794C"/>
    <w:rsid w:val="00A61483"/>
    <w:rsid w:val="00A7238F"/>
    <w:rsid w:val="00A8430E"/>
    <w:rsid w:val="00A913DE"/>
    <w:rsid w:val="00A91F48"/>
    <w:rsid w:val="00A91F60"/>
    <w:rsid w:val="00A939BC"/>
    <w:rsid w:val="00A95000"/>
    <w:rsid w:val="00AA3BA2"/>
    <w:rsid w:val="00AA64FB"/>
    <w:rsid w:val="00AB3AB7"/>
    <w:rsid w:val="00AC2749"/>
    <w:rsid w:val="00AC588E"/>
    <w:rsid w:val="00AC5B25"/>
    <w:rsid w:val="00AD4C82"/>
    <w:rsid w:val="00AD57C4"/>
    <w:rsid w:val="00AE3BDB"/>
    <w:rsid w:val="00AE5649"/>
    <w:rsid w:val="00AF0DBE"/>
    <w:rsid w:val="00AF72E9"/>
    <w:rsid w:val="00B02301"/>
    <w:rsid w:val="00B025EF"/>
    <w:rsid w:val="00B0274F"/>
    <w:rsid w:val="00B0795F"/>
    <w:rsid w:val="00B102FE"/>
    <w:rsid w:val="00B1055F"/>
    <w:rsid w:val="00B11FF4"/>
    <w:rsid w:val="00B14352"/>
    <w:rsid w:val="00B20898"/>
    <w:rsid w:val="00B220C6"/>
    <w:rsid w:val="00B22C56"/>
    <w:rsid w:val="00B2510F"/>
    <w:rsid w:val="00B251FC"/>
    <w:rsid w:val="00B267A3"/>
    <w:rsid w:val="00B2730F"/>
    <w:rsid w:val="00B3359C"/>
    <w:rsid w:val="00B341F1"/>
    <w:rsid w:val="00B35A39"/>
    <w:rsid w:val="00B374D1"/>
    <w:rsid w:val="00B41370"/>
    <w:rsid w:val="00B41A08"/>
    <w:rsid w:val="00B41FAE"/>
    <w:rsid w:val="00B4204D"/>
    <w:rsid w:val="00B4372D"/>
    <w:rsid w:val="00B440EB"/>
    <w:rsid w:val="00B444F8"/>
    <w:rsid w:val="00B47974"/>
    <w:rsid w:val="00B50B2D"/>
    <w:rsid w:val="00B514CB"/>
    <w:rsid w:val="00B564FE"/>
    <w:rsid w:val="00B56B8D"/>
    <w:rsid w:val="00B64636"/>
    <w:rsid w:val="00B64D46"/>
    <w:rsid w:val="00B65B18"/>
    <w:rsid w:val="00B6604D"/>
    <w:rsid w:val="00B66B48"/>
    <w:rsid w:val="00B701E6"/>
    <w:rsid w:val="00B74EBD"/>
    <w:rsid w:val="00B750D0"/>
    <w:rsid w:val="00B75420"/>
    <w:rsid w:val="00B76F60"/>
    <w:rsid w:val="00B779A9"/>
    <w:rsid w:val="00B815CA"/>
    <w:rsid w:val="00B82EAA"/>
    <w:rsid w:val="00B853D2"/>
    <w:rsid w:val="00B928AB"/>
    <w:rsid w:val="00BA3AA3"/>
    <w:rsid w:val="00BA4CD6"/>
    <w:rsid w:val="00BA56DA"/>
    <w:rsid w:val="00BA5A9A"/>
    <w:rsid w:val="00BA61EE"/>
    <w:rsid w:val="00BA6DE1"/>
    <w:rsid w:val="00BA761C"/>
    <w:rsid w:val="00BA7A6B"/>
    <w:rsid w:val="00BB0408"/>
    <w:rsid w:val="00BB240C"/>
    <w:rsid w:val="00BB2D47"/>
    <w:rsid w:val="00BB4B7A"/>
    <w:rsid w:val="00BB7319"/>
    <w:rsid w:val="00BC1F88"/>
    <w:rsid w:val="00BC63F3"/>
    <w:rsid w:val="00BD0348"/>
    <w:rsid w:val="00BD12AB"/>
    <w:rsid w:val="00BE0706"/>
    <w:rsid w:val="00BE34B6"/>
    <w:rsid w:val="00BE7291"/>
    <w:rsid w:val="00BE7D5C"/>
    <w:rsid w:val="00C01950"/>
    <w:rsid w:val="00C01A6F"/>
    <w:rsid w:val="00C01C1F"/>
    <w:rsid w:val="00C01DCF"/>
    <w:rsid w:val="00C02731"/>
    <w:rsid w:val="00C02DBF"/>
    <w:rsid w:val="00C03332"/>
    <w:rsid w:val="00C045D2"/>
    <w:rsid w:val="00C05DD4"/>
    <w:rsid w:val="00C075CB"/>
    <w:rsid w:val="00C13341"/>
    <w:rsid w:val="00C143E8"/>
    <w:rsid w:val="00C1679F"/>
    <w:rsid w:val="00C17668"/>
    <w:rsid w:val="00C24767"/>
    <w:rsid w:val="00C24D82"/>
    <w:rsid w:val="00C321EA"/>
    <w:rsid w:val="00C33891"/>
    <w:rsid w:val="00C33ECC"/>
    <w:rsid w:val="00C34B2A"/>
    <w:rsid w:val="00C43DFA"/>
    <w:rsid w:val="00C44FDA"/>
    <w:rsid w:val="00C45035"/>
    <w:rsid w:val="00C452AC"/>
    <w:rsid w:val="00C45763"/>
    <w:rsid w:val="00C45A52"/>
    <w:rsid w:val="00C469FD"/>
    <w:rsid w:val="00C502A0"/>
    <w:rsid w:val="00C50FB8"/>
    <w:rsid w:val="00C5685E"/>
    <w:rsid w:val="00C56C15"/>
    <w:rsid w:val="00C56D30"/>
    <w:rsid w:val="00C60EAB"/>
    <w:rsid w:val="00C61D91"/>
    <w:rsid w:val="00C63AD6"/>
    <w:rsid w:val="00C65016"/>
    <w:rsid w:val="00C65873"/>
    <w:rsid w:val="00C709A9"/>
    <w:rsid w:val="00C70FAF"/>
    <w:rsid w:val="00C73929"/>
    <w:rsid w:val="00C82160"/>
    <w:rsid w:val="00C82911"/>
    <w:rsid w:val="00C82D38"/>
    <w:rsid w:val="00C85260"/>
    <w:rsid w:val="00C861D2"/>
    <w:rsid w:val="00C900B7"/>
    <w:rsid w:val="00C92281"/>
    <w:rsid w:val="00C92CDA"/>
    <w:rsid w:val="00C9472B"/>
    <w:rsid w:val="00C95258"/>
    <w:rsid w:val="00C95A4E"/>
    <w:rsid w:val="00C96597"/>
    <w:rsid w:val="00C969F3"/>
    <w:rsid w:val="00CA1EB2"/>
    <w:rsid w:val="00CA6885"/>
    <w:rsid w:val="00CA7E75"/>
    <w:rsid w:val="00CB559A"/>
    <w:rsid w:val="00CB5BE2"/>
    <w:rsid w:val="00CC1FC2"/>
    <w:rsid w:val="00CC219C"/>
    <w:rsid w:val="00CC49EE"/>
    <w:rsid w:val="00CC4EF4"/>
    <w:rsid w:val="00CC56FF"/>
    <w:rsid w:val="00CC5A7E"/>
    <w:rsid w:val="00CC60E7"/>
    <w:rsid w:val="00CC73BA"/>
    <w:rsid w:val="00CC7753"/>
    <w:rsid w:val="00CC7CA2"/>
    <w:rsid w:val="00CD11C3"/>
    <w:rsid w:val="00CD3294"/>
    <w:rsid w:val="00CD33A4"/>
    <w:rsid w:val="00CD5C9E"/>
    <w:rsid w:val="00CE233A"/>
    <w:rsid w:val="00CE3D0F"/>
    <w:rsid w:val="00CF093F"/>
    <w:rsid w:val="00CF47AA"/>
    <w:rsid w:val="00CF50AD"/>
    <w:rsid w:val="00D00278"/>
    <w:rsid w:val="00D00E44"/>
    <w:rsid w:val="00D06F43"/>
    <w:rsid w:val="00D10555"/>
    <w:rsid w:val="00D12622"/>
    <w:rsid w:val="00D143E8"/>
    <w:rsid w:val="00D203BE"/>
    <w:rsid w:val="00D222D8"/>
    <w:rsid w:val="00D23277"/>
    <w:rsid w:val="00D24B51"/>
    <w:rsid w:val="00D24DBD"/>
    <w:rsid w:val="00D27CE7"/>
    <w:rsid w:val="00D304D1"/>
    <w:rsid w:val="00D31580"/>
    <w:rsid w:val="00D36450"/>
    <w:rsid w:val="00D36966"/>
    <w:rsid w:val="00D3792A"/>
    <w:rsid w:val="00D425CA"/>
    <w:rsid w:val="00D42719"/>
    <w:rsid w:val="00D43C47"/>
    <w:rsid w:val="00D4502B"/>
    <w:rsid w:val="00D45BBB"/>
    <w:rsid w:val="00D47851"/>
    <w:rsid w:val="00D5005F"/>
    <w:rsid w:val="00D50A88"/>
    <w:rsid w:val="00D50D04"/>
    <w:rsid w:val="00D510D6"/>
    <w:rsid w:val="00D520E1"/>
    <w:rsid w:val="00D52F09"/>
    <w:rsid w:val="00D531C1"/>
    <w:rsid w:val="00D53F7D"/>
    <w:rsid w:val="00D55C02"/>
    <w:rsid w:val="00D56114"/>
    <w:rsid w:val="00D60365"/>
    <w:rsid w:val="00D63BF8"/>
    <w:rsid w:val="00D63CDF"/>
    <w:rsid w:val="00D67B58"/>
    <w:rsid w:val="00D733C6"/>
    <w:rsid w:val="00D76AA5"/>
    <w:rsid w:val="00D772BD"/>
    <w:rsid w:val="00D776AD"/>
    <w:rsid w:val="00D80D44"/>
    <w:rsid w:val="00D80EE7"/>
    <w:rsid w:val="00D84160"/>
    <w:rsid w:val="00D86D2C"/>
    <w:rsid w:val="00D93014"/>
    <w:rsid w:val="00D9415C"/>
    <w:rsid w:val="00D9574F"/>
    <w:rsid w:val="00D96FAA"/>
    <w:rsid w:val="00D97C6A"/>
    <w:rsid w:val="00D97F3C"/>
    <w:rsid w:val="00DA2824"/>
    <w:rsid w:val="00DA378F"/>
    <w:rsid w:val="00DA5270"/>
    <w:rsid w:val="00DA7B02"/>
    <w:rsid w:val="00DA7CAD"/>
    <w:rsid w:val="00DB1942"/>
    <w:rsid w:val="00DB2833"/>
    <w:rsid w:val="00DB6102"/>
    <w:rsid w:val="00DB67F4"/>
    <w:rsid w:val="00DB78AA"/>
    <w:rsid w:val="00DC00AC"/>
    <w:rsid w:val="00DD3616"/>
    <w:rsid w:val="00DD3AA7"/>
    <w:rsid w:val="00DE0A50"/>
    <w:rsid w:val="00DE1718"/>
    <w:rsid w:val="00DE27A5"/>
    <w:rsid w:val="00DE4CE4"/>
    <w:rsid w:val="00DE75E1"/>
    <w:rsid w:val="00DF54C1"/>
    <w:rsid w:val="00DF6F1A"/>
    <w:rsid w:val="00DF7A67"/>
    <w:rsid w:val="00E0170F"/>
    <w:rsid w:val="00E115EE"/>
    <w:rsid w:val="00E17EA7"/>
    <w:rsid w:val="00E2028F"/>
    <w:rsid w:val="00E20779"/>
    <w:rsid w:val="00E20968"/>
    <w:rsid w:val="00E212D0"/>
    <w:rsid w:val="00E229B8"/>
    <w:rsid w:val="00E237D6"/>
    <w:rsid w:val="00E31FBA"/>
    <w:rsid w:val="00E35D11"/>
    <w:rsid w:val="00E3601E"/>
    <w:rsid w:val="00E371BB"/>
    <w:rsid w:val="00E415FE"/>
    <w:rsid w:val="00E42803"/>
    <w:rsid w:val="00E442E6"/>
    <w:rsid w:val="00E476B6"/>
    <w:rsid w:val="00E5081D"/>
    <w:rsid w:val="00E53338"/>
    <w:rsid w:val="00E54F8C"/>
    <w:rsid w:val="00E6061E"/>
    <w:rsid w:val="00E62BED"/>
    <w:rsid w:val="00E64994"/>
    <w:rsid w:val="00E658B2"/>
    <w:rsid w:val="00E71FA6"/>
    <w:rsid w:val="00E73A1B"/>
    <w:rsid w:val="00E75B8C"/>
    <w:rsid w:val="00E75C54"/>
    <w:rsid w:val="00E7611F"/>
    <w:rsid w:val="00E76310"/>
    <w:rsid w:val="00E779FB"/>
    <w:rsid w:val="00E80365"/>
    <w:rsid w:val="00E83CB5"/>
    <w:rsid w:val="00E875E5"/>
    <w:rsid w:val="00E92E81"/>
    <w:rsid w:val="00E95A6B"/>
    <w:rsid w:val="00EA0056"/>
    <w:rsid w:val="00EA14B9"/>
    <w:rsid w:val="00EA17F8"/>
    <w:rsid w:val="00EA350F"/>
    <w:rsid w:val="00EB00FD"/>
    <w:rsid w:val="00EB31CA"/>
    <w:rsid w:val="00EB3211"/>
    <w:rsid w:val="00EB5B6B"/>
    <w:rsid w:val="00EC2BEA"/>
    <w:rsid w:val="00EC5DD0"/>
    <w:rsid w:val="00EC684A"/>
    <w:rsid w:val="00EC6938"/>
    <w:rsid w:val="00ED088F"/>
    <w:rsid w:val="00ED310D"/>
    <w:rsid w:val="00ED39D7"/>
    <w:rsid w:val="00EE0AC1"/>
    <w:rsid w:val="00EE5F69"/>
    <w:rsid w:val="00EE7651"/>
    <w:rsid w:val="00EF0211"/>
    <w:rsid w:val="00EF2DC8"/>
    <w:rsid w:val="00EF4F03"/>
    <w:rsid w:val="00EF5671"/>
    <w:rsid w:val="00F00C4C"/>
    <w:rsid w:val="00F03CB8"/>
    <w:rsid w:val="00F04553"/>
    <w:rsid w:val="00F0641B"/>
    <w:rsid w:val="00F06778"/>
    <w:rsid w:val="00F10548"/>
    <w:rsid w:val="00F1343A"/>
    <w:rsid w:val="00F14D06"/>
    <w:rsid w:val="00F17BFF"/>
    <w:rsid w:val="00F2004B"/>
    <w:rsid w:val="00F21027"/>
    <w:rsid w:val="00F32728"/>
    <w:rsid w:val="00F33606"/>
    <w:rsid w:val="00F34243"/>
    <w:rsid w:val="00F34371"/>
    <w:rsid w:val="00F3520E"/>
    <w:rsid w:val="00F35903"/>
    <w:rsid w:val="00F3623A"/>
    <w:rsid w:val="00F41615"/>
    <w:rsid w:val="00F42BCE"/>
    <w:rsid w:val="00F43F1A"/>
    <w:rsid w:val="00F4464C"/>
    <w:rsid w:val="00F4594E"/>
    <w:rsid w:val="00F47EC8"/>
    <w:rsid w:val="00F50F6C"/>
    <w:rsid w:val="00F5332E"/>
    <w:rsid w:val="00F54B0B"/>
    <w:rsid w:val="00F56C3C"/>
    <w:rsid w:val="00F57858"/>
    <w:rsid w:val="00F60524"/>
    <w:rsid w:val="00F63918"/>
    <w:rsid w:val="00F63A61"/>
    <w:rsid w:val="00F641F7"/>
    <w:rsid w:val="00F658BA"/>
    <w:rsid w:val="00F65AC5"/>
    <w:rsid w:val="00F66E20"/>
    <w:rsid w:val="00F715C9"/>
    <w:rsid w:val="00F72027"/>
    <w:rsid w:val="00F72662"/>
    <w:rsid w:val="00F730B7"/>
    <w:rsid w:val="00F7727C"/>
    <w:rsid w:val="00F7728D"/>
    <w:rsid w:val="00F840D9"/>
    <w:rsid w:val="00F8464C"/>
    <w:rsid w:val="00F85236"/>
    <w:rsid w:val="00F85736"/>
    <w:rsid w:val="00F86768"/>
    <w:rsid w:val="00F901C5"/>
    <w:rsid w:val="00FA3223"/>
    <w:rsid w:val="00FA7EC8"/>
    <w:rsid w:val="00FB2A3E"/>
    <w:rsid w:val="00FB515C"/>
    <w:rsid w:val="00FB5250"/>
    <w:rsid w:val="00FB5FD4"/>
    <w:rsid w:val="00FC1CF1"/>
    <w:rsid w:val="00FC611C"/>
    <w:rsid w:val="00FD212A"/>
    <w:rsid w:val="00FD3A2D"/>
    <w:rsid w:val="00FD41B2"/>
    <w:rsid w:val="00FD4915"/>
    <w:rsid w:val="00FD4B3A"/>
    <w:rsid w:val="00FD611F"/>
    <w:rsid w:val="00FD6849"/>
    <w:rsid w:val="00FD7805"/>
    <w:rsid w:val="00FE0C5A"/>
    <w:rsid w:val="00FE1311"/>
    <w:rsid w:val="00FE1C17"/>
    <w:rsid w:val="00FE2B0B"/>
    <w:rsid w:val="00FE3D5C"/>
    <w:rsid w:val="00FF0A4D"/>
    <w:rsid w:val="00FF20D1"/>
    <w:rsid w:val="00FF2EA7"/>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5B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5675B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675B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675B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70EC1"/>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675B0"/>
  </w:style>
  <w:style w:type="character" w:customStyle="1" w:styleId="CharAmSchText">
    <w:name w:val="CharAmSchText"/>
    <w:basedOn w:val="OPCCharBase"/>
    <w:uiPriority w:val="1"/>
    <w:qFormat/>
    <w:rsid w:val="005675B0"/>
  </w:style>
  <w:style w:type="character" w:customStyle="1" w:styleId="CharChapNo">
    <w:name w:val="CharChapNo"/>
    <w:basedOn w:val="OPCCharBase"/>
    <w:qFormat/>
    <w:rsid w:val="005675B0"/>
  </w:style>
  <w:style w:type="character" w:customStyle="1" w:styleId="CharChapText">
    <w:name w:val="CharChapText"/>
    <w:basedOn w:val="OPCCharBase"/>
    <w:qFormat/>
    <w:rsid w:val="005675B0"/>
  </w:style>
  <w:style w:type="character" w:customStyle="1" w:styleId="CharDivNo">
    <w:name w:val="CharDivNo"/>
    <w:basedOn w:val="OPCCharBase"/>
    <w:qFormat/>
    <w:rsid w:val="005675B0"/>
  </w:style>
  <w:style w:type="character" w:customStyle="1" w:styleId="CharDivText">
    <w:name w:val="CharDivText"/>
    <w:basedOn w:val="OPCCharBase"/>
    <w:qFormat/>
    <w:rsid w:val="005675B0"/>
  </w:style>
  <w:style w:type="character" w:customStyle="1" w:styleId="CharPartNo">
    <w:name w:val="CharPartNo"/>
    <w:basedOn w:val="OPCCharBase"/>
    <w:qFormat/>
    <w:rsid w:val="005675B0"/>
  </w:style>
  <w:style w:type="character" w:customStyle="1" w:styleId="CharPartText">
    <w:name w:val="CharPartText"/>
    <w:basedOn w:val="OPCCharBase"/>
    <w:qFormat/>
    <w:rsid w:val="005675B0"/>
  </w:style>
  <w:style w:type="character" w:customStyle="1" w:styleId="OPCCharBase">
    <w:name w:val="OPCCharBase"/>
    <w:uiPriority w:val="1"/>
    <w:qFormat/>
    <w:rsid w:val="005675B0"/>
  </w:style>
  <w:style w:type="paragraph" w:customStyle="1" w:styleId="OPCParaBase">
    <w:name w:val="OPCParaBase"/>
    <w:qFormat/>
    <w:rsid w:val="005675B0"/>
    <w:pPr>
      <w:spacing w:line="260" w:lineRule="atLeast"/>
    </w:pPr>
    <w:rPr>
      <w:sz w:val="22"/>
    </w:rPr>
  </w:style>
  <w:style w:type="character" w:customStyle="1" w:styleId="CharSectno">
    <w:name w:val="CharSectno"/>
    <w:basedOn w:val="OPCCharBase"/>
    <w:qFormat/>
    <w:rsid w:val="005675B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675B0"/>
    <w:pPr>
      <w:spacing w:line="240" w:lineRule="auto"/>
      <w:ind w:left="1134"/>
    </w:pPr>
    <w:rPr>
      <w:sz w:val="20"/>
    </w:rPr>
  </w:style>
  <w:style w:type="paragraph" w:customStyle="1" w:styleId="ShortT">
    <w:name w:val="ShortT"/>
    <w:basedOn w:val="OPCParaBase"/>
    <w:next w:val="Normal"/>
    <w:qFormat/>
    <w:rsid w:val="005675B0"/>
    <w:pPr>
      <w:spacing w:line="240" w:lineRule="auto"/>
    </w:pPr>
    <w:rPr>
      <w:b/>
      <w:sz w:val="40"/>
    </w:rPr>
  </w:style>
  <w:style w:type="paragraph" w:customStyle="1" w:styleId="Penalty">
    <w:name w:val="Penalty"/>
    <w:basedOn w:val="OPCParaBase"/>
    <w:rsid w:val="005675B0"/>
    <w:pPr>
      <w:tabs>
        <w:tab w:val="left" w:pos="2977"/>
      </w:tabs>
      <w:spacing w:before="180" w:line="240" w:lineRule="auto"/>
      <w:ind w:left="1985" w:hanging="851"/>
    </w:pPr>
  </w:style>
  <w:style w:type="paragraph" w:customStyle="1" w:styleId="ActHead1">
    <w:name w:val="ActHead 1"/>
    <w:aliases w:val="c"/>
    <w:basedOn w:val="OPCParaBase"/>
    <w:next w:val="Normal"/>
    <w:qFormat/>
    <w:rsid w:val="005675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675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75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75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75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75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75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75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75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75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675B0"/>
    <w:pPr>
      <w:spacing w:line="240" w:lineRule="auto"/>
    </w:pPr>
    <w:rPr>
      <w:sz w:val="20"/>
    </w:rPr>
  </w:style>
  <w:style w:type="paragraph" w:customStyle="1" w:styleId="ActHead2">
    <w:name w:val="ActHead 2"/>
    <w:aliases w:val="p"/>
    <w:basedOn w:val="OPCParaBase"/>
    <w:next w:val="ActHead3"/>
    <w:qFormat/>
    <w:rsid w:val="005675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675B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5675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75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75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75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75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75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75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75B0"/>
  </w:style>
  <w:style w:type="paragraph" w:customStyle="1" w:styleId="Blocks">
    <w:name w:val="Blocks"/>
    <w:aliases w:val="bb"/>
    <w:basedOn w:val="OPCParaBase"/>
    <w:qFormat/>
    <w:rsid w:val="005675B0"/>
    <w:pPr>
      <w:spacing w:line="240" w:lineRule="auto"/>
    </w:pPr>
    <w:rPr>
      <w:sz w:val="24"/>
    </w:rPr>
  </w:style>
  <w:style w:type="paragraph" w:customStyle="1" w:styleId="BoxText">
    <w:name w:val="BoxText"/>
    <w:aliases w:val="bt"/>
    <w:basedOn w:val="OPCParaBase"/>
    <w:qFormat/>
    <w:rsid w:val="005675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75B0"/>
    <w:rPr>
      <w:b/>
    </w:rPr>
  </w:style>
  <w:style w:type="paragraph" w:customStyle="1" w:styleId="BoxHeadItalic">
    <w:name w:val="BoxHeadItalic"/>
    <w:aliases w:val="bhi"/>
    <w:basedOn w:val="BoxText"/>
    <w:next w:val="BoxStep"/>
    <w:qFormat/>
    <w:rsid w:val="005675B0"/>
    <w:rPr>
      <w:i/>
    </w:rPr>
  </w:style>
  <w:style w:type="paragraph" w:customStyle="1" w:styleId="BoxList">
    <w:name w:val="BoxList"/>
    <w:aliases w:val="bl"/>
    <w:basedOn w:val="BoxText"/>
    <w:qFormat/>
    <w:rsid w:val="005675B0"/>
    <w:pPr>
      <w:ind w:left="1559" w:hanging="425"/>
    </w:pPr>
  </w:style>
  <w:style w:type="paragraph" w:customStyle="1" w:styleId="BoxNote">
    <w:name w:val="BoxNote"/>
    <w:aliases w:val="bn"/>
    <w:basedOn w:val="BoxText"/>
    <w:qFormat/>
    <w:rsid w:val="005675B0"/>
    <w:pPr>
      <w:tabs>
        <w:tab w:val="left" w:pos="1985"/>
      </w:tabs>
      <w:spacing w:before="122" w:line="198" w:lineRule="exact"/>
      <w:ind w:left="2948" w:hanging="1814"/>
    </w:pPr>
    <w:rPr>
      <w:sz w:val="18"/>
    </w:rPr>
  </w:style>
  <w:style w:type="paragraph" w:customStyle="1" w:styleId="BoxPara">
    <w:name w:val="BoxPara"/>
    <w:aliases w:val="bp"/>
    <w:basedOn w:val="BoxText"/>
    <w:qFormat/>
    <w:rsid w:val="005675B0"/>
    <w:pPr>
      <w:tabs>
        <w:tab w:val="right" w:pos="2268"/>
      </w:tabs>
      <w:ind w:left="2552" w:hanging="1418"/>
    </w:pPr>
  </w:style>
  <w:style w:type="paragraph" w:customStyle="1" w:styleId="BoxStep">
    <w:name w:val="BoxStep"/>
    <w:aliases w:val="bs"/>
    <w:basedOn w:val="BoxText"/>
    <w:qFormat/>
    <w:rsid w:val="005675B0"/>
    <w:pPr>
      <w:ind w:left="1985" w:hanging="851"/>
    </w:pPr>
  </w:style>
  <w:style w:type="character" w:customStyle="1" w:styleId="CharAmPartNo">
    <w:name w:val="CharAmPartNo"/>
    <w:basedOn w:val="OPCCharBase"/>
    <w:uiPriority w:val="1"/>
    <w:qFormat/>
    <w:rsid w:val="005675B0"/>
  </w:style>
  <w:style w:type="character" w:customStyle="1" w:styleId="CharAmPartText">
    <w:name w:val="CharAmPartText"/>
    <w:basedOn w:val="OPCCharBase"/>
    <w:uiPriority w:val="1"/>
    <w:qFormat/>
    <w:rsid w:val="005675B0"/>
  </w:style>
  <w:style w:type="character" w:customStyle="1" w:styleId="CharBoldItalic">
    <w:name w:val="CharBoldItalic"/>
    <w:basedOn w:val="OPCCharBase"/>
    <w:uiPriority w:val="1"/>
    <w:qFormat/>
    <w:rsid w:val="005675B0"/>
    <w:rPr>
      <w:b/>
      <w:i/>
    </w:rPr>
  </w:style>
  <w:style w:type="character" w:customStyle="1" w:styleId="CharItalic">
    <w:name w:val="CharItalic"/>
    <w:basedOn w:val="OPCCharBase"/>
    <w:uiPriority w:val="1"/>
    <w:qFormat/>
    <w:rsid w:val="005675B0"/>
    <w:rPr>
      <w:i/>
    </w:rPr>
  </w:style>
  <w:style w:type="character" w:customStyle="1" w:styleId="CharSubdNo">
    <w:name w:val="CharSubdNo"/>
    <w:basedOn w:val="OPCCharBase"/>
    <w:uiPriority w:val="1"/>
    <w:qFormat/>
    <w:rsid w:val="005675B0"/>
  </w:style>
  <w:style w:type="character" w:customStyle="1" w:styleId="CharSubdText">
    <w:name w:val="CharSubdText"/>
    <w:basedOn w:val="OPCCharBase"/>
    <w:uiPriority w:val="1"/>
    <w:qFormat/>
    <w:rsid w:val="005675B0"/>
  </w:style>
  <w:style w:type="paragraph" w:customStyle="1" w:styleId="CTA--">
    <w:name w:val="CTA --"/>
    <w:basedOn w:val="OPCParaBase"/>
    <w:next w:val="Normal"/>
    <w:rsid w:val="005675B0"/>
    <w:pPr>
      <w:spacing w:before="60" w:line="240" w:lineRule="atLeast"/>
      <w:ind w:left="142" w:hanging="142"/>
    </w:pPr>
    <w:rPr>
      <w:sz w:val="20"/>
    </w:rPr>
  </w:style>
  <w:style w:type="paragraph" w:customStyle="1" w:styleId="CTA-">
    <w:name w:val="CTA -"/>
    <w:basedOn w:val="OPCParaBase"/>
    <w:rsid w:val="005675B0"/>
    <w:pPr>
      <w:spacing w:before="60" w:line="240" w:lineRule="atLeast"/>
      <w:ind w:left="85" w:hanging="85"/>
    </w:pPr>
    <w:rPr>
      <w:sz w:val="20"/>
    </w:rPr>
  </w:style>
  <w:style w:type="paragraph" w:customStyle="1" w:styleId="CTA---">
    <w:name w:val="CTA ---"/>
    <w:basedOn w:val="OPCParaBase"/>
    <w:next w:val="Normal"/>
    <w:rsid w:val="005675B0"/>
    <w:pPr>
      <w:spacing w:before="60" w:line="240" w:lineRule="atLeast"/>
      <w:ind w:left="198" w:hanging="198"/>
    </w:pPr>
    <w:rPr>
      <w:sz w:val="20"/>
    </w:rPr>
  </w:style>
  <w:style w:type="paragraph" w:customStyle="1" w:styleId="CTA----">
    <w:name w:val="CTA ----"/>
    <w:basedOn w:val="OPCParaBase"/>
    <w:next w:val="Normal"/>
    <w:rsid w:val="005675B0"/>
    <w:pPr>
      <w:spacing w:before="60" w:line="240" w:lineRule="atLeast"/>
      <w:ind w:left="255" w:hanging="255"/>
    </w:pPr>
    <w:rPr>
      <w:sz w:val="20"/>
    </w:rPr>
  </w:style>
  <w:style w:type="paragraph" w:customStyle="1" w:styleId="CTA1a">
    <w:name w:val="CTA 1(a)"/>
    <w:basedOn w:val="OPCParaBase"/>
    <w:rsid w:val="005675B0"/>
    <w:pPr>
      <w:tabs>
        <w:tab w:val="right" w:pos="414"/>
      </w:tabs>
      <w:spacing w:before="40" w:line="240" w:lineRule="atLeast"/>
      <w:ind w:left="675" w:hanging="675"/>
    </w:pPr>
    <w:rPr>
      <w:sz w:val="20"/>
    </w:rPr>
  </w:style>
  <w:style w:type="paragraph" w:customStyle="1" w:styleId="CTA1ai">
    <w:name w:val="CTA 1(a)(i)"/>
    <w:basedOn w:val="OPCParaBase"/>
    <w:rsid w:val="005675B0"/>
    <w:pPr>
      <w:tabs>
        <w:tab w:val="right" w:pos="1004"/>
      </w:tabs>
      <w:spacing w:before="40" w:line="240" w:lineRule="atLeast"/>
      <w:ind w:left="1253" w:hanging="1253"/>
    </w:pPr>
    <w:rPr>
      <w:sz w:val="20"/>
    </w:rPr>
  </w:style>
  <w:style w:type="paragraph" w:customStyle="1" w:styleId="CTA2a">
    <w:name w:val="CTA 2(a)"/>
    <w:basedOn w:val="OPCParaBase"/>
    <w:rsid w:val="005675B0"/>
    <w:pPr>
      <w:tabs>
        <w:tab w:val="right" w:pos="482"/>
      </w:tabs>
      <w:spacing w:before="40" w:line="240" w:lineRule="atLeast"/>
      <w:ind w:left="748" w:hanging="748"/>
    </w:pPr>
    <w:rPr>
      <w:sz w:val="20"/>
    </w:rPr>
  </w:style>
  <w:style w:type="paragraph" w:customStyle="1" w:styleId="CTA2ai">
    <w:name w:val="CTA 2(a)(i)"/>
    <w:basedOn w:val="OPCParaBase"/>
    <w:rsid w:val="005675B0"/>
    <w:pPr>
      <w:tabs>
        <w:tab w:val="right" w:pos="1089"/>
      </w:tabs>
      <w:spacing w:before="40" w:line="240" w:lineRule="atLeast"/>
      <w:ind w:left="1327" w:hanging="1327"/>
    </w:pPr>
    <w:rPr>
      <w:sz w:val="20"/>
    </w:rPr>
  </w:style>
  <w:style w:type="paragraph" w:customStyle="1" w:styleId="CTA3a">
    <w:name w:val="CTA 3(a)"/>
    <w:basedOn w:val="OPCParaBase"/>
    <w:rsid w:val="005675B0"/>
    <w:pPr>
      <w:tabs>
        <w:tab w:val="right" w:pos="556"/>
      </w:tabs>
      <w:spacing w:before="40" w:line="240" w:lineRule="atLeast"/>
      <w:ind w:left="805" w:hanging="805"/>
    </w:pPr>
    <w:rPr>
      <w:sz w:val="20"/>
    </w:rPr>
  </w:style>
  <w:style w:type="paragraph" w:customStyle="1" w:styleId="CTA3ai">
    <w:name w:val="CTA 3(a)(i)"/>
    <w:basedOn w:val="OPCParaBase"/>
    <w:rsid w:val="005675B0"/>
    <w:pPr>
      <w:tabs>
        <w:tab w:val="right" w:pos="1140"/>
      </w:tabs>
      <w:spacing w:before="40" w:line="240" w:lineRule="atLeast"/>
      <w:ind w:left="1361" w:hanging="1361"/>
    </w:pPr>
    <w:rPr>
      <w:sz w:val="20"/>
    </w:rPr>
  </w:style>
  <w:style w:type="paragraph" w:customStyle="1" w:styleId="CTA4a">
    <w:name w:val="CTA 4(a)"/>
    <w:basedOn w:val="OPCParaBase"/>
    <w:rsid w:val="005675B0"/>
    <w:pPr>
      <w:tabs>
        <w:tab w:val="right" w:pos="624"/>
      </w:tabs>
      <w:spacing w:before="40" w:line="240" w:lineRule="atLeast"/>
      <w:ind w:left="873" w:hanging="873"/>
    </w:pPr>
    <w:rPr>
      <w:sz w:val="20"/>
    </w:rPr>
  </w:style>
  <w:style w:type="paragraph" w:customStyle="1" w:styleId="CTA4ai">
    <w:name w:val="CTA 4(a)(i)"/>
    <w:basedOn w:val="OPCParaBase"/>
    <w:rsid w:val="005675B0"/>
    <w:pPr>
      <w:tabs>
        <w:tab w:val="right" w:pos="1213"/>
      </w:tabs>
      <w:spacing w:before="40" w:line="240" w:lineRule="atLeast"/>
      <w:ind w:left="1452" w:hanging="1452"/>
    </w:pPr>
    <w:rPr>
      <w:sz w:val="20"/>
    </w:rPr>
  </w:style>
  <w:style w:type="paragraph" w:customStyle="1" w:styleId="CTACAPS">
    <w:name w:val="CTA CAPS"/>
    <w:basedOn w:val="OPCParaBase"/>
    <w:rsid w:val="005675B0"/>
    <w:pPr>
      <w:spacing w:before="60" w:line="240" w:lineRule="atLeast"/>
    </w:pPr>
    <w:rPr>
      <w:sz w:val="20"/>
    </w:rPr>
  </w:style>
  <w:style w:type="paragraph" w:customStyle="1" w:styleId="CTAright">
    <w:name w:val="CTA right"/>
    <w:basedOn w:val="OPCParaBase"/>
    <w:rsid w:val="005675B0"/>
    <w:pPr>
      <w:spacing w:before="60" w:line="240" w:lineRule="auto"/>
      <w:jc w:val="right"/>
    </w:pPr>
    <w:rPr>
      <w:sz w:val="20"/>
    </w:rPr>
  </w:style>
  <w:style w:type="paragraph" w:customStyle="1" w:styleId="subsection">
    <w:name w:val="subsection"/>
    <w:aliases w:val="ss"/>
    <w:basedOn w:val="OPCParaBase"/>
    <w:link w:val="subsectionChar"/>
    <w:rsid w:val="005675B0"/>
    <w:pPr>
      <w:tabs>
        <w:tab w:val="right" w:pos="1021"/>
      </w:tabs>
      <w:spacing w:before="180" w:line="240" w:lineRule="auto"/>
      <w:ind w:left="1134" w:hanging="1134"/>
    </w:pPr>
  </w:style>
  <w:style w:type="paragraph" w:customStyle="1" w:styleId="Definition">
    <w:name w:val="Definition"/>
    <w:aliases w:val="dd"/>
    <w:basedOn w:val="OPCParaBase"/>
    <w:rsid w:val="005675B0"/>
    <w:pPr>
      <w:spacing w:before="180" w:line="240" w:lineRule="auto"/>
      <w:ind w:left="1134"/>
    </w:pPr>
  </w:style>
  <w:style w:type="character" w:customStyle="1" w:styleId="HeaderChar">
    <w:name w:val="Header Char"/>
    <w:basedOn w:val="DefaultParagraphFont"/>
    <w:link w:val="Header"/>
    <w:rsid w:val="005675B0"/>
    <w:rPr>
      <w:sz w:val="16"/>
    </w:rPr>
  </w:style>
  <w:style w:type="paragraph" w:customStyle="1" w:styleId="House">
    <w:name w:val="House"/>
    <w:basedOn w:val="OPCParaBase"/>
    <w:rsid w:val="005675B0"/>
    <w:pPr>
      <w:spacing w:line="240" w:lineRule="auto"/>
    </w:pPr>
    <w:rPr>
      <w:sz w:val="28"/>
    </w:rPr>
  </w:style>
  <w:style w:type="paragraph" w:customStyle="1" w:styleId="Item">
    <w:name w:val="Item"/>
    <w:aliases w:val="i"/>
    <w:basedOn w:val="OPCParaBase"/>
    <w:next w:val="ItemHead"/>
    <w:rsid w:val="005675B0"/>
    <w:pPr>
      <w:keepLines/>
      <w:spacing w:before="80" w:line="240" w:lineRule="auto"/>
      <w:ind w:left="709"/>
    </w:pPr>
  </w:style>
  <w:style w:type="paragraph" w:customStyle="1" w:styleId="ItemHead">
    <w:name w:val="ItemHead"/>
    <w:aliases w:val="ih"/>
    <w:basedOn w:val="OPCParaBase"/>
    <w:next w:val="Item"/>
    <w:rsid w:val="005675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75B0"/>
    <w:pPr>
      <w:spacing w:line="240" w:lineRule="auto"/>
    </w:pPr>
    <w:rPr>
      <w:b/>
      <w:sz w:val="32"/>
    </w:rPr>
  </w:style>
  <w:style w:type="paragraph" w:customStyle="1" w:styleId="notedraft">
    <w:name w:val="note(draft)"/>
    <w:aliases w:val="nd"/>
    <w:basedOn w:val="OPCParaBase"/>
    <w:rsid w:val="005675B0"/>
    <w:pPr>
      <w:spacing w:before="240" w:line="240" w:lineRule="auto"/>
      <w:ind w:left="284" w:hanging="284"/>
    </w:pPr>
    <w:rPr>
      <w:i/>
      <w:sz w:val="24"/>
    </w:rPr>
  </w:style>
  <w:style w:type="paragraph" w:customStyle="1" w:styleId="notemargin">
    <w:name w:val="note(margin)"/>
    <w:aliases w:val="nm"/>
    <w:basedOn w:val="OPCParaBase"/>
    <w:rsid w:val="005675B0"/>
    <w:pPr>
      <w:tabs>
        <w:tab w:val="left" w:pos="709"/>
      </w:tabs>
      <w:spacing w:before="122" w:line="198" w:lineRule="exact"/>
      <w:ind w:left="709" w:hanging="709"/>
    </w:pPr>
    <w:rPr>
      <w:sz w:val="18"/>
    </w:rPr>
  </w:style>
  <w:style w:type="paragraph" w:customStyle="1" w:styleId="notepara">
    <w:name w:val="note(para)"/>
    <w:aliases w:val="na"/>
    <w:basedOn w:val="OPCParaBase"/>
    <w:rsid w:val="005675B0"/>
    <w:pPr>
      <w:spacing w:before="40" w:line="198" w:lineRule="exact"/>
      <w:ind w:left="2354" w:hanging="369"/>
    </w:pPr>
    <w:rPr>
      <w:sz w:val="18"/>
    </w:rPr>
  </w:style>
  <w:style w:type="paragraph" w:customStyle="1" w:styleId="noteParlAmend">
    <w:name w:val="note(ParlAmend)"/>
    <w:aliases w:val="npp"/>
    <w:basedOn w:val="OPCParaBase"/>
    <w:next w:val="ParlAmend"/>
    <w:rsid w:val="005675B0"/>
    <w:pPr>
      <w:spacing w:line="240" w:lineRule="auto"/>
      <w:jc w:val="right"/>
    </w:pPr>
    <w:rPr>
      <w:rFonts w:ascii="Arial" w:hAnsi="Arial"/>
      <w:b/>
      <w:i/>
    </w:rPr>
  </w:style>
  <w:style w:type="paragraph" w:customStyle="1" w:styleId="notetext">
    <w:name w:val="note(text)"/>
    <w:aliases w:val="n"/>
    <w:basedOn w:val="OPCParaBase"/>
    <w:rsid w:val="005675B0"/>
    <w:pPr>
      <w:spacing w:before="122" w:line="240" w:lineRule="auto"/>
      <w:ind w:left="1985" w:hanging="851"/>
    </w:pPr>
    <w:rPr>
      <w:sz w:val="18"/>
    </w:rPr>
  </w:style>
  <w:style w:type="paragraph" w:customStyle="1" w:styleId="Page1">
    <w:name w:val="Page1"/>
    <w:basedOn w:val="OPCParaBase"/>
    <w:rsid w:val="005675B0"/>
    <w:pPr>
      <w:spacing w:before="5600" w:line="240" w:lineRule="auto"/>
    </w:pPr>
    <w:rPr>
      <w:b/>
      <w:sz w:val="32"/>
    </w:rPr>
  </w:style>
  <w:style w:type="paragraph" w:customStyle="1" w:styleId="paragraphsub">
    <w:name w:val="paragraph(sub)"/>
    <w:aliases w:val="aa"/>
    <w:basedOn w:val="OPCParaBase"/>
    <w:rsid w:val="005675B0"/>
    <w:pPr>
      <w:tabs>
        <w:tab w:val="right" w:pos="1985"/>
      </w:tabs>
      <w:spacing w:before="40" w:line="240" w:lineRule="auto"/>
      <w:ind w:left="2098" w:hanging="2098"/>
    </w:pPr>
  </w:style>
  <w:style w:type="paragraph" w:customStyle="1" w:styleId="paragraphsub-sub">
    <w:name w:val="paragraph(sub-sub)"/>
    <w:aliases w:val="aaa"/>
    <w:basedOn w:val="OPCParaBase"/>
    <w:rsid w:val="005675B0"/>
    <w:pPr>
      <w:tabs>
        <w:tab w:val="right" w:pos="2722"/>
      </w:tabs>
      <w:spacing w:before="40" w:line="240" w:lineRule="auto"/>
      <w:ind w:left="2835" w:hanging="2835"/>
    </w:pPr>
  </w:style>
  <w:style w:type="paragraph" w:customStyle="1" w:styleId="paragraph">
    <w:name w:val="paragraph"/>
    <w:aliases w:val="a"/>
    <w:basedOn w:val="OPCParaBase"/>
    <w:link w:val="paragraphChar"/>
    <w:rsid w:val="005675B0"/>
    <w:pPr>
      <w:tabs>
        <w:tab w:val="right" w:pos="1531"/>
      </w:tabs>
      <w:spacing w:before="40" w:line="240" w:lineRule="auto"/>
      <w:ind w:left="1644" w:hanging="1644"/>
    </w:pPr>
  </w:style>
  <w:style w:type="paragraph" w:customStyle="1" w:styleId="ParlAmend">
    <w:name w:val="ParlAmend"/>
    <w:aliases w:val="pp"/>
    <w:basedOn w:val="OPCParaBase"/>
    <w:rsid w:val="005675B0"/>
    <w:pPr>
      <w:spacing w:before="240" w:line="240" w:lineRule="atLeast"/>
      <w:ind w:hanging="567"/>
    </w:pPr>
    <w:rPr>
      <w:sz w:val="24"/>
    </w:rPr>
  </w:style>
  <w:style w:type="paragraph" w:customStyle="1" w:styleId="Portfolio">
    <w:name w:val="Portfolio"/>
    <w:basedOn w:val="OPCParaBase"/>
    <w:rsid w:val="005675B0"/>
    <w:pPr>
      <w:spacing w:line="240" w:lineRule="auto"/>
    </w:pPr>
    <w:rPr>
      <w:i/>
      <w:sz w:val="20"/>
    </w:rPr>
  </w:style>
  <w:style w:type="paragraph" w:customStyle="1" w:styleId="Preamble">
    <w:name w:val="Preamble"/>
    <w:basedOn w:val="OPCParaBase"/>
    <w:next w:val="Normal"/>
    <w:rsid w:val="005675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75B0"/>
    <w:pPr>
      <w:spacing w:line="240" w:lineRule="auto"/>
    </w:pPr>
    <w:rPr>
      <w:i/>
      <w:sz w:val="20"/>
    </w:rPr>
  </w:style>
  <w:style w:type="paragraph" w:customStyle="1" w:styleId="Session">
    <w:name w:val="Session"/>
    <w:basedOn w:val="OPCParaBase"/>
    <w:rsid w:val="005675B0"/>
    <w:pPr>
      <w:spacing w:line="240" w:lineRule="auto"/>
    </w:pPr>
    <w:rPr>
      <w:sz w:val="28"/>
    </w:rPr>
  </w:style>
  <w:style w:type="paragraph" w:customStyle="1" w:styleId="Sponsor">
    <w:name w:val="Sponsor"/>
    <w:basedOn w:val="OPCParaBase"/>
    <w:rsid w:val="005675B0"/>
    <w:pPr>
      <w:spacing w:line="240" w:lineRule="auto"/>
    </w:pPr>
    <w:rPr>
      <w:i/>
    </w:rPr>
  </w:style>
  <w:style w:type="paragraph" w:customStyle="1" w:styleId="Subitem">
    <w:name w:val="Subitem"/>
    <w:aliases w:val="iss"/>
    <w:basedOn w:val="OPCParaBase"/>
    <w:rsid w:val="005675B0"/>
    <w:pPr>
      <w:spacing w:before="180" w:line="240" w:lineRule="auto"/>
      <w:ind w:left="709" w:hanging="709"/>
    </w:pPr>
  </w:style>
  <w:style w:type="paragraph" w:customStyle="1" w:styleId="SubitemHead">
    <w:name w:val="SubitemHead"/>
    <w:aliases w:val="issh"/>
    <w:basedOn w:val="OPCParaBase"/>
    <w:rsid w:val="005675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75B0"/>
    <w:pPr>
      <w:spacing w:before="40" w:line="240" w:lineRule="auto"/>
      <w:ind w:left="1134"/>
    </w:pPr>
  </w:style>
  <w:style w:type="paragraph" w:customStyle="1" w:styleId="SubsectionHead">
    <w:name w:val="SubsectionHead"/>
    <w:aliases w:val="ssh"/>
    <w:basedOn w:val="OPCParaBase"/>
    <w:next w:val="subsection"/>
    <w:rsid w:val="005675B0"/>
    <w:pPr>
      <w:keepNext/>
      <w:keepLines/>
      <w:spacing w:before="240" w:line="240" w:lineRule="auto"/>
      <w:ind w:left="1134"/>
    </w:pPr>
    <w:rPr>
      <w:i/>
    </w:rPr>
  </w:style>
  <w:style w:type="paragraph" w:customStyle="1" w:styleId="Tablea">
    <w:name w:val="Table(a)"/>
    <w:aliases w:val="ta"/>
    <w:basedOn w:val="OPCParaBase"/>
    <w:rsid w:val="005675B0"/>
    <w:pPr>
      <w:spacing w:before="60" w:line="240" w:lineRule="auto"/>
      <w:ind w:left="284" w:hanging="284"/>
    </w:pPr>
    <w:rPr>
      <w:sz w:val="20"/>
    </w:rPr>
  </w:style>
  <w:style w:type="paragraph" w:customStyle="1" w:styleId="TableAA">
    <w:name w:val="Table(AA)"/>
    <w:aliases w:val="taaa"/>
    <w:basedOn w:val="OPCParaBase"/>
    <w:rsid w:val="005675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75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675B0"/>
    <w:pPr>
      <w:spacing w:before="60" w:line="240" w:lineRule="atLeast"/>
    </w:pPr>
    <w:rPr>
      <w:sz w:val="20"/>
    </w:rPr>
  </w:style>
  <w:style w:type="paragraph" w:customStyle="1" w:styleId="TLPBoxTextnote">
    <w:name w:val="TLPBoxText(note"/>
    <w:aliases w:val="right)"/>
    <w:basedOn w:val="OPCParaBase"/>
    <w:rsid w:val="005675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75B0"/>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75B0"/>
    <w:pPr>
      <w:spacing w:before="122" w:line="198" w:lineRule="exact"/>
      <w:ind w:left="1985" w:hanging="851"/>
      <w:jc w:val="right"/>
    </w:pPr>
    <w:rPr>
      <w:sz w:val="18"/>
    </w:rPr>
  </w:style>
  <w:style w:type="paragraph" w:customStyle="1" w:styleId="TLPTableBullet">
    <w:name w:val="TLPTableBullet"/>
    <w:aliases w:val="ttb"/>
    <w:basedOn w:val="OPCParaBase"/>
    <w:rsid w:val="005675B0"/>
    <w:pPr>
      <w:spacing w:line="240" w:lineRule="exact"/>
      <w:ind w:left="284" w:hanging="284"/>
    </w:pPr>
    <w:rPr>
      <w:sz w:val="20"/>
    </w:rPr>
  </w:style>
  <w:style w:type="paragraph" w:customStyle="1" w:styleId="TofSectsGroupHeading">
    <w:name w:val="TofSects(GroupHeading)"/>
    <w:basedOn w:val="OPCParaBase"/>
    <w:next w:val="TofSectsSection"/>
    <w:rsid w:val="005675B0"/>
    <w:pPr>
      <w:keepLines/>
      <w:spacing w:before="240" w:after="120" w:line="240" w:lineRule="auto"/>
      <w:ind w:left="794"/>
    </w:pPr>
    <w:rPr>
      <w:b/>
      <w:kern w:val="28"/>
      <w:sz w:val="20"/>
    </w:rPr>
  </w:style>
  <w:style w:type="paragraph" w:customStyle="1" w:styleId="TofSectsHeading">
    <w:name w:val="TofSects(Heading)"/>
    <w:basedOn w:val="OPCParaBase"/>
    <w:rsid w:val="005675B0"/>
    <w:pPr>
      <w:spacing w:before="240" w:after="120" w:line="240" w:lineRule="auto"/>
    </w:pPr>
    <w:rPr>
      <w:b/>
      <w:sz w:val="24"/>
    </w:rPr>
  </w:style>
  <w:style w:type="paragraph" w:customStyle="1" w:styleId="TofSectsSection">
    <w:name w:val="TofSects(Section)"/>
    <w:basedOn w:val="OPCParaBase"/>
    <w:rsid w:val="005675B0"/>
    <w:pPr>
      <w:keepLines/>
      <w:spacing w:before="40" w:line="240" w:lineRule="auto"/>
      <w:ind w:left="1588" w:hanging="794"/>
    </w:pPr>
    <w:rPr>
      <w:kern w:val="28"/>
      <w:sz w:val="18"/>
    </w:rPr>
  </w:style>
  <w:style w:type="paragraph" w:customStyle="1" w:styleId="TofSectsSubdiv">
    <w:name w:val="TofSects(Subdiv)"/>
    <w:basedOn w:val="OPCParaBase"/>
    <w:rsid w:val="005675B0"/>
    <w:pPr>
      <w:keepLines/>
      <w:spacing w:before="80" w:line="240" w:lineRule="auto"/>
      <w:ind w:left="1588" w:hanging="794"/>
    </w:pPr>
    <w:rPr>
      <w:kern w:val="28"/>
    </w:rPr>
  </w:style>
  <w:style w:type="paragraph" w:customStyle="1" w:styleId="WRStyle">
    <w:name w:val="WR Style"/>
    <w:aliases w:val="WR"/>
    <w:basedOn w:val="OPCParaBase"/>
    <w:rsid w:val="005675B0"/>
    <w:pPr>
      <w:spacing w:before="240" w:line="240" w:lineRule="auto"/>
      <w:ind w:left="284" w:hanging="284"/>
    </w:pPr>
    <w:rPr>
      <w:b/>
      <w:i/>
      <w:kern w:val="28"/>
      <w:sz w:val="24"/>
    </w:rPr>
  </w:style>
  <w:style w:type="numbering" w:customStyle="1" w:styleId="OPCBodyList">
    <w:name w:val="OPCBodyList"/>
    <w:uiPriority w:val="99"/>
    <w:rsid w:val="00970EC1"/>
    <w:pPr>
      <w:numPr>
        <w:numId w:val="17"/>
      </w:numPr>
    </w:pPr>
  </w:style>
  <w:style w:type="paragraph" w:customStyle="1" w:styleId="noteToPara">
    <w:name w:val="noteToPara"/>
    <w:aliases w:val="ntp"/>
    <w:basedOn w:val="OPCParaBase"/>
    <w:rsid w:val="005675B0"/>
    <w:pPr>
      <w:spacing w:before="122" w:line="198" w:lineRule="exact"/>
      <w:ind w:left="2353" w:hanging="709"/>
    </w:pPr>
    <w:rPr>
      <w:sz w:val="18"/>
    </w:rPr>
  </w:style>
  <w:style w:type="character" w:customStyle="1" w:styleId="FooterChar">
    <w:name w:val="Footer Char"/>
    <w:basedOn w:val="DefaultParagraphFont"/>
    <w:link w:val="Footer"/>
    <w:rsid w:val="005675B0"/>
    <w:rPr>
      <w:sz w:val="22"/>
      <w:szCs w:val="24"/>
    </w:rPr>
  </w:style>
  <w:style w:type="character" w:customStyle="1" w:styleId="BalloonTextChar">
    <w:name w:val="Balloon Text Char"/>
    <w:basedOn w:val="DefaultParagraphFont"/>
    <w:link w:val="BalloonText"/>
    <w:uiPriority w:val="99"/>
    <w:rsid w:val="005675B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675B0"/>
    <w:pPr>
      <w:keepNext/>
      <w:spacing w:before="60" w:line="240" w:lineRule="atLeast"/>
    </w:pPr>
    <w:rPr>
      <w:b/>
      <w:sz w:val="20"/>
    </w:rPr>
  </w:style>
  <w:style w:type="table" w:customStyle="1" w:styleId="CFlag">
    <w:name w:val="CFlag"/>
    <w:basedOn w:val="TableNormal"/>
    <w:uiPriority w:val="99"/>
    <w:rsid w:val="005675B0"/>
    <w:tblPr/>
  </w:style>
  <w:style w:type="paragraph" w:customStyle="1" w:styleId="ENotesHeading1">
    <w:name w:val="ENotesHeading 1"/>
    <w:aliases w:val="Enh1"/>
    <w:basedOn w:val="OPCParaBase"/>
    <w:next w:val="Normal"/>
    <w:rsid w:val="005675B0"/>
    <w:pPr>
      <w:spacing w:before="120"/>
      <w:outlineLvl w:val="1"/>
    </w:pPr>
    <w:rPr>
      <w:b/>
      <w:sz w:val="28"/>
      <w:szCs w:val="28"/>
    </w:rPr>
  </w:style>
  <w:style w:type="paragraph" w:customStyle="1" w:styleId="ENotesHeading2">
    <w:name w:val="ENotesHeading 2"/>
    <w:aliases w:val="Enh2"/>
    <w:basedOn w:val="OPCParaBase"/>
    <w:next w:val="Normal"/>
    <w:rsid w:val="005675B0"/>
    <w:pPr>
      <w:spacing w:before="120" w:after="120"/>
      <w:outlineLvl w:val="2"/>
    </w:pPr>
    <w:rPr>
      <w:b/>
      <w:sz w:val="24"/>
      <w:szCs w:val="28"/>
    </w:rPr>
  </w:style>
  <w:style w:type="paragraph" w:customStyle="1" w:styleId="ENotesHeading3">
    <w:name w:val="ENotesHeading 3"/>
    <w:aliases w:val="Enh3"/>
    <w:basedOn w:val="OPCParaBase"/>
    <w:next w:val="Normal"/>
    <w:rsid w:val="005675B0"/>
    <w:pPr>
      <w:keepNext/>
      <w:spacing w:before="120" w:line="240" w:lineRule="auto"/>
      <w:outlineLvl w:val="4"/>
    </w:pPr>
    <w:rPr>
      <w:b/>
      <w:szCs w:val="24"/>
    </w:rPr>
  </w:style>
  <w:style w:type="paragraph" w:customStyle="1" w:styleId="ENotesText">
    <w:name w:val="ENotesText"/>
    <w:aliases w:val="Ent"/>
    <w:basedOn w:val="OPCParaBase"/>
    <w:next w:val="Normal"/>
    <w:rsid w:val="005675B0"/>
    <w:pPr>
      <w:spacing w:before="120"/>
    </w:pPr>
  </w:style>
  <w:style w:type="paragraph" w:customStyle="1" w:styleId="CompiledActNo">
    <w:name w:val="CompiledActNo"/>
    <w:basedOn w:val="OPCParaBase"/>
    <w:next w:val="Normal"/>
    <w:rsid w:val="005675B0"/>
    <w:rPr>
      <w:b/>
      <w:sz w:val="24"/>
      <w:szCs w:val="24"/>
    </w:rPr>
  </w:style>
  <w:style w:type="paragraph" w:customStyle="1" w:styleId="CompiledMadeUnder">
    <w:name w:val="CompiledMadeUnder"/>
    <w:basedOn w:val="OPCParaBase"/>
    <w:next w:val="Normal"/>
    <w:rsid w:val="005675B0"/>
    <w:rPr>
      <w:i/>
      <w:sz w:val="24"/>
      <w:szCs w:val="24"/>
    </w:rPr>
  </w:style>
  <w:style w:type="paragraph" w:customStyle="1" w:styleId="Paragraphsub-sub-sub">
    <w:name w:val="Paragraph(sub-sub-sub)"/>
    <w:aliases w:val="aaaa"/>
    <w:basedOn w:val="OPCParaBase"/>
    <w:rsid w:val="005675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75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75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75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75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75B0"/>
    <w:pPr>
      <w:spacing w:before="60" w:line="240" w:lineRule="auto"/>
    </w:pPr>
    <w:rPr>
      <w:rFonts w:cs="Arial"/>
      <w:sz w:val="20"/>
      <w:szCs w:val="22"/>
    </w:rPr>
  </w:style>
  <w:style w:type="paragraph" w:customStyle="1" w:styleId="NoteToSubpara">
    <w:name w:val="NoteToSubpara"/>
    <w:aliases w:val="nts"/>
    <w:basedOn w:val="OPCParaBase"/>
    <w:rsid w:val="005675B0"/>
    <w:pPr>
      <w:spacing w:before="40" w:line="198" w:lineRule="exact"/>
      <w:ind w:left="2835" w:hanging="709"/>
    </w:pPr>
    <w:rPr>
      <w:sz w:val="18"/>
    </w:rPr>
  </w:style>
  <w:style w:type="paragraph" w:customStyle="1" w:styleId="InstNo">
    <w:name w:val="InstNo"/>
    <w:basedOn w:val="OPCParaBase"/>
    <w:next w:val="Normal"/>
    <w:rsid w:val="005675B0"/>
    <w:rPr>
      <w:b/>
      <w:sz w:val="28"/>
      <w:szCs w:val="32"/>
    </w:rPr>
  </w:style>
  <w:style w:type="paragraph" w:customStyle="1" w:styleId="TerritoryT">
    <w:name w:val="TerritoryT"/>
    <w:basedOn w:val="OPCParaBase"/>
    <w:next w:val="Normal"/>
    <w:rsid w:val="005675B0"/>
    <w:rPr>
      <w:b/>
      <w:sz w:val="32"/>
    </w:rPr>
  </w:style>
  <w:style w:type="paragraph" w:customStyle="1" w:styleId="LegislationMadeUnder">
    <w:name w:val="LegislationMadeUnder"/>
    <w:basedOn w:val="OPCParaBase"/>
    <w:next w:val="Normal"/>
    <w:rsid w:val="005675B0"/>
    <w:rPr>
      <w:i/>
      <w:sz w:val="32"/>
      <w:szCs w:val="32"/>
    </w:rPr>
  </w:style>
  <w:style w:type="paragraph" w:customStyle="1" w:styleId="ActHead10">
    <w:name w:val="ActHead 10"/>
    <w:aliases w:val="sp"/>
    <w:basedOn w:val="OPCParaBase"/>
    <w:next w:val="ActHead3"/>
    <w:rsid w:val="005675B0"/>
    <w:pPr>
      <w:keepNext/>
      <w:spacing w:before="280" w:line="240" w:lineRule="auto"/>
      <w:outlineLvl w:val="1"/>
    </w:pPr>
    <w:rPr>
      <w:b/>
      <w:sz w:val="32"/>
      <w:szCs w:val="30"/>
    </w:rPr>
  </w:style>
  <w:style w:type="paragraph" w:customStyle="1" w:styleId="SignCoverPageEnd">
    <w:name w:val="SignCoverPageEnd"/>
    <w:basedOn w:val="OPCParaBase"/>
    <w:next w:val="Normal"/>
    <w:rsid w:val="005675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75B0"/>
    <w:pPr>
      <w:pBdr>
        <w:top w:val="single" w:sz="4" w:space="1" w:color="auto"/>
      </w:pBdr>
      <w:spacing w:before="360"/>
      <w:ind w:right="397"/>
      <w:jc w:val="both"/>
    </w:pPr>
  </w:style>
  <w:style w:type="paragraph" w:customStyle="1" w:styleId="NotesHeading2">
    <w:name w:val="NotesHeading 2"/>
    <w:basedOn w:val="OPCParaBase"/>
    <w:next w:val="Normal"/>
    <w:rsid w:val="005675B0"/>
    <w:rPr>
      <w:b/>
      <w:sz w:val="28"/>
      <w:szCs w:val="28"/>
    </w:rPr>
  </w:style>
  <w:style w:type="paragraph" w:customStyle="1" w:styleId="NotesHeading1">
    <w:name w:val="NotesHeading 1"/>
    <w:basedOn w:val="OPCParaBase"/>
    <w:next w:val="Normal"/>
    <w:rsid w:val="005675B0"/>
    <w:rPr>
      <w:b/>
      <w:sz w:val="28"/>
      <w:szCs w:val="28"/>
    </w:rPr>
  </w:style>
  <w:style w:type="paragraph" w:customStyle="1" w:styleId="ENoteTableText">
    <w:name w:val="ENoteTableText"/>
    <w:aliases w:val="entt"/>
    <w:basedOn w:val="OPCParaBase"/>
    <w:rsid w:val="005675B0"/>
    <w:pPr>
      <w:spacing w:before="60" w:line="240" w:lineRule="atLeast"/>
    </w:pPr>
    <w:rPr>
      <w:sz w:val="16"/>
    </w:rPr>
  </w:style>
  <w:style w:type="paragraph" w:customStyle="1" w:styleId="ENoteTableHeading">
    <w:name w:val="ENoteTableHeading"/>
    <w:aliases w:val="enth"/>
    <w:basedOn w:val="OPCParaBase"/>
    <w:rsid w:val="005675B0"/>
    <w:pPr>
      <w:keepNext/>
      <w:spacing w:before="60" w:line="240" w:lineRule="atLeast"/>
    </w:pPr>
    <w:rPr>
      <w:rFonts w:ascii="Arial" w:hAnsi="Arial"/>
      <w:b/>
      <w:sz w:val="16"/>
    </w:rPr>
  </w:style>
  <w:style w:type="paragraph" w:customStyle="1" w:styleId="ENoteTTi">
    <w:name w:val="ENoteTTi"/>
    <w:aliases w:val="entti"/>
    <w:basedOn w:val="OPCParaBase"/>
    <w:rsid w:val="005675B0"/>
    <w:pPr>
      <w:keepNext/>
      <w:spacing w:before="60" w:line="240" w:lineRule="atLeast"/>
      <w:ind w:left="170"/>
    </w:pPr>
    <w:rPr>
      <w:sz w:val="16"/>
    </w:rPr>
  </w:style>
  <w:style w:type="paragraph" w:customStyle="1" w:styleId="ENoteTTIndentHeading">
    <w:name w:val="ENoteTTIndentHeading"/>
    <w:aliases w:val="enTTHi"/>
    <w:basedOn w:val="OPCParaBase"/>
    <w:rsid w:val="005675B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675B0"/>
    <w:pPr>
      <w:spacing w:before="240"/>
    </w:pPr>
    <w:rPr>
      <w:sz w:val="24"/>
      <w:szCs w:val="24"/>
    </w:rPr>
  </w:style>
  <w:style w:type="paragraph" w:customStyle="1" w:styleId="SubPartCASA">
    <w:name w:val="SubPart(CASA)"/>
    <w:aliases w:val="csp"/>
    <w:basedOn w:val="OPCParaBase"/>
    <w:next w:val="ActHead3"/>
    <w:rsid w:val="005675B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675B0"/>
  </w:style>
  <w:style w:type="character" w:customStyle="1" w:styleId="CharSubPartNoCASA">
    <w:name w:val="CharSubPartNo(CASA)"/>
    <w:basedOn w:val="OPCCharBase"/>
    <w:uiPriority w:val="1"/>
    <w:rsid w:val="005675B0"/>
  </w:style>
  <w:style w:type="paragraph" w:customStyle="1" w:styleId="ENoteTTIndentHeadingSub">
    <w:name w:val="ENoteTTIndentHeadingSub"/>
    <w:aliases w:val="enTTHis"/>
    <w:basedOn w:val="OPCParaBase"/>
    <w:rsid w:val="005675B0"/>
    <w:pPr>
      <w:keepNext/>
      <w:spacing w:before="60" w:line="240" w:lineRule="atLeast"/>
      <w:ind w:left="340"/>
    </w:pPr>
    <w:rPr>
      <w:b/>
      <w:sz w:val="16"/>
    </w:rPr>
  </w:style>
  <w:style w:type="paragraph" w:customStyle="1" w:styleId="ENoteTTiSub">
    <w:name w:val="ENoteTTiSub"/>
    <w:aliases w:val="enttis"/>
    <w:basedOn w:val="OPCParaBase"/>
    <w:rsid w:val="005675B0"/>
    <w:pPr>
      <w:keepNext/>
      <w:spacing w:before="60" w:line="240" w:lineRule="atLeast"/>
      <w:ind w:left="340"/>
    </w:pPr>
    <w:rPr>
      <w:sz w:val="16"/>
    </w:rPr>
  </w:style>
  <w:style w:type="paragraph" w:customStyle="1" w:styleId="SubDivisionMigration">
    <w:name w:val="SubDivisionMigration"/>
    <w:aliases w:val="sdm"/>
    <w:basedOn w:val="OPCParaBase"/>
    <w:rsid w:val="005675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75B0"/>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0641B"/>
    <w:rPr>
      <w:sz w:val="22"/>
    </w:rPr>
  </w:style>
  <w:style w:type="character" w:customStyle="1" w:styleId="paragraphChar">
    <w:name w:val="paragraph Char"/>
    <w:aliases w:val="a Char"/>
    <w:link w:val="paragraph"/>
    <w:rsid w:val="00F0641B"/>
    <w:rPr>
      <w:sz w:val="22"/>
    </w:rPr>
  </w:style>
  <w:style w:type="paragraph" w:customStyle="1" w:styleId="SOText">
    <w:name w:val="SO Text"/>
    <w:aliases w:val="sot"/>
    <w:link w:val="SOTextChar"/>
    <w:rsid w:val="005675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75B0"/>
    <w:rPr>
      <w:rFonts w:eastAsiaTheme="minorHAnsi" w:cstheme="minorBidi"/>
      <w:sz w:val="22"/>
      <w:lang w:eastAsia="en-US"/>
    </w:rPr>
  </w:style>
  <w:style w:type="paragraph" w:customStyle="1" w:styleId="SOTextNote">
    <w:name w:val="SO TextNote"/>
    <w:aliases w:val="sont"/>
    <w:basedOn w:val="SOText"/>
    <w:qFormat/>
    <w:rsid w:val="005675B0"/>
    <w:pPr>
      <w:spacing w:before="122" w:line="198" w:lineRule="exact"/>
      <w:ind w:left="1843" w:hanging="709"/>
    </w:pPr>
    <w:rPr>
      <w:sz w:val="18"/>
    </w:rPr>
  </w:style>
  <w:style w:type="paragraph" w:customStyle="1" w:styleId="SOPara">
    <w:name w:val="SO Para"/>
    <w:aliases w:val="soa"/>
    <w:basedOn w:val="SOText"/>
    <w:link w:val="SOParaChar"/>
    <w:qFormat/>
    <w:rsid w:val="005675B0"/>
    <w:pPr>
      <w:tabs>
        <w:tab w:val="right" w:pos="1786"/>
      </w:tabs>
      <w:spacing w:before="40"/>
      <w:ind w:left="2070" w:hanging="936"/>
    </w:pPr>
  </w:style>
  <w:style w:type="character" w:customStyle="1" w:styleId="SOParaChar">
    <w:name w:val="SO Para Char"/>
    <w:aliases w:val="soa Char"/>
    <w:basedOn w:val="DefaultParagraphFont"/>
    <w:link w:val="SOPara"/>
    <w:rsid w:val="005675B0"/>
    <w:rPr>
      <w:rFonts w:eastAsiaTheme="minorHAnsi" w:cstheme="minorBidi"/>
      <w:sz w:val="22"/>
      <w:lang w:eastAsia="en-US"/>
    </w:rPr>
  </w:style>
  <w:style w:type="paragraph" w:customStyle="1" w:styleId="FileName">
    <w:name w:val="FileName"/>
    <w:basedOn w:val="Normal"/>
    <w:rsid w:val="005675B0"/>
  </w:style>
  <w:style w:type="paragraph" w:customStyle="1" w:styleId="SOHeadBold">
    <w:name w:val="SO HeadBold"/>
    <w:aliases w:val="sohb"/>
    <w:basedOn w:val="SOText"/>
    <w:next w:val="SOText"/>
    <w:link w:val="SOHeadBoldChar"/>
    <w:qFormat/>
    <w:rsid w:val="005675B0"/>
    <w:rPr>
      <w:b/>
    </w:rPr>
  </w:style>
  <w:style w:type="character" w:customStyle="1" w:styleId="SOHeadBoldChar">
    <w:name w:val="SO HeadBold Char"/>
    <w:aliases w:val="sohb Char"/>
    <w:basedOn w:val="DefaultParagraphFont"/>
    <w:link w:val="SOHeadBold"/>
    <w:rsid w:val="005675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75B0"/>
    <w:rPr>
      <w:i/>
    </w:rPr>
  </w:style>
  <w:style w:type="character" w:customStyle="1" w:styleId="SOHeadItalicChar">
    <w:name w:val="SO HeadItalic Char"/>
    <w:aliases w:val="sohi Char"/>
    <w:basedOn w:val="DefaultParagraphFont"/>
    <w:link w:val="SOHeadItalic"/>
    <w:rsid w:val="005675B0"/>
    <w:rPr>
      <w:rFonts w:eastAsiaTheme="minorHAnsi" w:cstheme="minorBidi"/>
      <w:i/>
      <w:sz w:val="22"/>
      <w:lang w:eastAsia="en-US"/>
    </w:rPr>
  </w:style>
  <w:style w:type="paragraph" w:customStyle="1" w:styleId="SOBullet">
    <w:name w:val="SO Bullet"/>
    <w:aliases w:val="sotb"/>
    <w:basedOn w:val="SOText"/>
    <w:link w:val="SOBulletChar"/>
    <w:qFormat/>
    <w:rsid w:val="005675B0"/>
    <w:pPr>
      <w:ind w:left="1559" w:hanging="425"/>
    </w:pPr>
  </w:style>
  <w:style w:type="character" w:customStyle="1" w:styleId="SOBulletChar">
    <w:name w:val="SO Bullet Char"/>
    <w:aliases w:val="sotb Char"/>
    <w:basedOn w:val="DefaultParagraphFont"/>
    <w:link w:val="SOBullet"/>
    <w:rsid w:val="005675B0"/>
    <w:rPr>
      <w:rFonts w:eastAsiaTheme="minorHAnsi" w:cstheme="minorBidi"/>
      <w:sz w:val="22"/>
      <w:lang w:eastAsia="en-US"/>
    </w:rPr>
  </w:style>
  <w:style w:type="paragraph" w:customStyle="1" w:styleId="SOBulletNote">
    <w:name w:val="SO BulletNote"/>
    <w:aliases w:val="sonb"/>
    <w:basedOn w:val="SOTextNote"/>
    <w:link w:val="SOBulletNoteChar"/>
    <w:qFormat/>
    <w:rsid w:val="005675B0"/>
    <w:pPr>
      <w:tabs>
        <w:tab w:val="left" w:pos="1560"/>
      </w:tabs>
      <w:ind w:left="2268" w:hanging="1134"/>
    </w:pPr>
  </w:style>
  <w:style w:type="character" w:customStyle="1" w:styleId="SOBulletNoteChar">
    <w:name w:val="SO BulletNote Char"/>
    <w:aliases w:val="sonb Char"/>
    <w:basedOn w:val="DefaultParagraphFont"/>
    <w:link w:val="SOBulletNote"/>
    <w:rsid w:val="005675B0"/>
    <w:rPr>
      <w:rFonts w:eastAsiaTheme="minorHAnsi" w:cstheme="minorBidi"/>
      <w:sz w:val="18"/>
      <w:lang w:eastAsia="en-US"/>
    </w:rPr>
  </w:style>
  <w:style w:type="paragraph" w:customStyle="1" w:styleId="FreeForm">
    <w:name w:val="FreeForm"/>
    <w:rsid w:val="005675B0"/>
    <w:rPr>
      <w:rFonts w:ascii="Arial" w:eastAsiaTheme="minorHAnsi" w:hAnsi="Arial" w:cstheme="minorBidi"/>
      <w:sz w:val="22"/>
      <w:lang w:eastAsia="en-US"/>
    </w:rPr>
  </w:style>
  <w:style w:type="paragraph" w:styleId="NoteHeading">
    <w:name w:val="Note Heading"/>
    <w:basedOn w:val="Normal"/>
    <w:next w:val="Normal"/>
    <w:link w:val="NoteHeadingChar"/>
    <w:semiHidden/>
    <w:unhideWhenUsed/>
    <w:rsid w:val="00DE27A5"/>
    <w:pPr>
      <w:spacing w:line="240" w:lineRule="auto"/>
    </w:pPr>
  </w:style>
  <w:style w:type="character" w:customStyle="1" w:styleId="NoteHeadingChar">
    <w:name w:val="Note Heading Char"/>
    <w:basedOn w:val="DefaultParagraphFont"/>
    <w:link w:val="NoteHeading"/>
    <w:semiHidden/>
    <w:rsid w:val="00DE27A5"/>
    <w:rPr>
      <w:rFonts w:eastAsiaTheme="minorHAnsi" w:cstheme="minorBidi"/>
      <w:sz w:val="22"/>
      <w:lang w:eastAsia="en-US"/>
    </w:rPr>
  </w:style>
  <w:style w:type="paragraph" w:styleId="Revision">
    <w:name w:val="Revision"/>
    <w:hidden/>
    <w:uiPriority w:val="99"/>
    <w:semiHidden/>
    <w:rsid w:val="004A1FAA"/>
    <w:rPr>
      <w:rFonts w:eastAsiaTheme="minorHAnsi" w:cstheme="minorBidi"/>
      <w:sz w:val="22"/>
      <w:lang w:eastAsia="en-US"/>
    </w:rPr>
  </w:style>
  <w:style w:type="paragraph" w:customStyle="1" w:styleId="EnStatement">
    <w:name w:val="EnStatement"/>
    <w:basedOn w:val="Normal"/>
    <w:rsid w:val="005675B0"/>
    <w:pPr>
      <w:numPr>
        <w:numId w:val="21"/>
      </w:numPr>
    </w:pPr>
    <w:rPr>
      <w:rFonts w:eastAsia="Times New Roman" w:cs="Times New Roman"/>
      <w:lang w:eastAsia="en-AU"/>
    </w:rPr>
  </w:style>
  <w:style w:type="paragraph" w:customStyle="1" w:styleId="EnStatementHeading">
    <w:name w:val="EnStatementHeading"/>
    <w:basedOn w:val="Normal"/>
    <w:rsid w:val="005675B0"/>
    <w:rPr>
      <w:rFonts w:eastAsia="Times New Roman" w:cs="Times New Roman"/>
      <w:b/>
      <w:lang w:eastAsia="en-AU"/>
    </w:rPr>
  </w:style>
  <w:style w:type="character" w:customStyle="1" w:styleId="TabletextChar">
    <w:name w:val="Tabletext Char"/>
    <w:aliases w:val="tt Char"/>
    <w:basedOn w:val="DefaultParagraphFont"/>
    <w:link w:val="Tabletext"/>
    <w:rsid w:val="00790E0E"/>
  </w:style>
  <w:style w:type="paragraph" w:customStyle="1" w:styleId="Transitional">
    <w:name w:val="Transitional"/>
    <w:aliases w:val="tr"/>
    <w:basedOn w:val="Normal"/>
    <w:next w:val="Normal"/>
    <w:rsid w:val="005675B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6D4D82"/>
    <w:rPr>
      <w:b/>
      <w:kern w:val="28"/>
      <w:sz w:val="24"/>
    </w:rPr>
  </w:style>
  <w:style w:type="character" w:customStyle="1" w:styleId="ClosingChar">
    <w:name w:val="Closing Char"/>
    <w:basedOn w:val="DefaultParagraphFont"/>
    <w:link w:val="Closing"/>
    <w:rsid w:val="00290BC0"/>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5B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5675B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675B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675B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70EC1"/>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675B0"/>
  </w:style>
  <w:style w:type="character" w:customStyle="1" w:styleId="CharAmSchText">
    <w:name w:val="CharAmSchText"/>
    <w:basedOn w:val="OPCCharBase"/>
    <w:uiPriority w:val="1"/>
    <w:qFormat/>
    <w:rsid w:val="005675B0"/>
  </w:style>
  <w:style w:type="character" w:customStyle="1" w:styleId="CharChapNo">
    <w:name w:val="CharChapNo"/>
    <w:basedOn w:val="OPCCharBase"/>
    <w:qFormat/>
    <w:rsid w:val="005675B0"/>
  </w:style>
  <w:style w:type="character" w:customStyle="1" w:styleId="CharChapText">
    <w:name w:val="CharChapText"/>
    <w:basedOn w:val="OPCCharBase"/>
    <w:qFormat/>
    <w:rsid w:val="005675B0"/>
  </w:style>
  <w:style w:type="character" w:customStyle="1" w:styleId="CharDivNo">
    <w:name w:val="CharDivNo"/>
    <w:basedOn w:val="OPCCharBase"/>
    <w:qFormat/>
    <w:rsid w:val="005675B0"/>
  </w:style>
  <w:style w:type="character" w:customStyle="1" w:styleId="CharDivText">
    <w:name w:val="CharDivText"/>
    <w:basedOn w:val="OPCCharBase"/>
    <w:qFormat/>
    <w:rsid w:val="005675B0"/>
  </w:style>
  <w:style w:type="character" w:customStyle="1" w:styleId="CharPartNo">
    <w:name w:val="CharPartNo"/>
    <w:basedOn w:val="OPCCharBase"/>
    <w:qFormat/>
    <w:rsid w:val="005675B0"/>
  </w:style>
  <w:style w:type="character" w:customStyle="1" w:styleId="CharPartText">
    <w:name w:val="CharPartText"/>
    <w:basedOn w:val="OPCCharBase"/>
    <w:qFormat/>
    <w:rsid w:val="005675B0"/>
  </w:style>
  <w:style w:type="character" w:customStyle="1" w:styleId="OPCCharBase">
    <w:name w:val="OPCCharBase"/>
    <w:uiPriority w:val="1"/>
    <w:qFormat/>
    <w:rsid w:val="005675B0"/>
  </w:style>
  <w:style w:type="paragraph" w:customStyle="1" w:styleId="OPCParaBase">
    <w:name w:val="OPCParaBase"/>
    <w:qFormat/>
    <w:rsid w:val="005675B0"/>
    <w:pPr>
      <w:spacing w:line="260" w:lineRule="atLeast"/>
    </w:pPr>
    <w:rPr>
      <w:sz w:val="22"/>
    </w:rPr>
  </w:style>
  <w:style w:type="character" w:customStyle="1" w:styleId="CharSectno">
    <w:name w:val="CharSectno"/>
    <w:basedOn w:val="OPCCharBase"/>
    <w:qFormat/>
    <w:rsid w:val="005675B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675B0"/>
    <w:pPr>
      <w:spacing w:line="240" w:lineRule="auto"/>
      <w:ind w:left="1134"/>
    </w:pPr>
    <w:rPr>
      <w:sz w:val="20"/>
    </w:rPr>
  </w:style>
  <w:style w:type="paragraph" w:customStyle="1" w:styleId="ShortT">
    <w:name w:val="ShortT"/>
    <w:basedOn w:val="OPCParaBase"/>
    <w:next w:val="Normal"/>
    <w:qFormat/>
    <w:rsid w:val="005675B0"/>
    <w:pPr>
      <w:spacing w:line="240" w:lineRule="auto"/>
    </w:pPr>
    <w:rPr>
      <w:b/>
      <w:sz w:val="40"/>
    </w:rPr>
  </w:style>
  <w:style w:type="paragraph" w:customStyle="1" w:styleId="Penalty">
    <w:name w:val="Penalty"/>
    <w:basedOn w:val="OPCParaBase"/>
    <w:rsid w:val="005675B0"/>
    <w:pPr>
      <w:tabs>
        <w:tab w:val="left" w:pos="2977"/>
      </w:tabs>
      <w:spacing w:before="180" w:line="240" w:lineRule="auto"/>
      <w:ind w:left="1985" w:hanging="851"/>
    </w:pPr>
  </w:style>
  <w:style w:type="paragraph" w:customStyle="1" w:styleId="ActHead1">
    <w:name w:val="ActHead 1"/>
    <w:aliases w:val="c"/>
    <w:basedOn w:val="OPCParaBase"/>
    <w:next w:val="Normal"/>
    <w:qFormat/>
    <w:rsid w:val="005675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675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75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75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75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75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75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75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75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75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675B0"/>
    <w:pPr>
      <w:spacing w:line="240" w:lineRule="auto"/>
    </w:pPr>
    <w:rPr>
      <w:sz w:val="20"/>
    </w:rPr>
  </w:style>
  <w:style w:type="paragraph" w:customStyle="1" w:styleId="ActHead2">
    <w:name w:val="ActHead 2"/>
    <w:aliases w:val="p"/>
    <w:basedOn w:val="OPCParaBase"/>
    <w:next w:val="ActHead3"/>
    <w:qFormat/>
    <w:rsid w:val="005675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675B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5675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75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75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75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75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75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75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75B0"/>
  </w:style>
  <w:style w:type="paragraph" w:customStyle="1" w:styleId="Blocks">
    <w:name w:val="Blocks"/>
    <w:aliases w:val="bb"/>
    <w:basedOn w:val="OPCParaBase"/>
    <w:qFormat/>
    <w:rsid w:val="005675B0"/>
    <w:pPr>
      <w:spacing w:line="240" w:lineRule="auto"/>
    </w:pPr>
    <w:rPr>
      <w:sz w:val="24"/>
    </w:rPr>
  </w:style>
  <w:style w:type="paragraph" w:customStyle="1" w:styleId="BoxText">
    <w:name w:val="BoxText"/>
    <w:aliases w:val="bt"/>
    <w:basedOn w:val="OPCParaBase"/>
    <w:qFormat/>
    <w:rsid w:val="005675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75B0"/>
    <w:rPr>
      <w:b/>
    </w:rPr>
  </w:style>
  <w:style w:type="paragraph" w:customStyle="1" w:styleId="BoxHeadItalic">
    <w:name w:val="BoxHeadItalic"/>
    <w:aliases w:val="bhi"/>
    <w:basedOn w:val="BoxText"/>
    <w:next w:val="BoxStep"/>
    <w:qFormat/>
    <w:rsid w:val="005675B0"/>
    <w:rPr>
      <w:i/>
    </w:rPr>
  </w:style>
  <w:style w:type="paragraph" w:customStyle="1" w:styleId="BoxList">
    <w:name w:val="BoxList"/>
    <w:aliases w:val="bl"/>
    <w:basedOn w:val="BoxText"/>
    <w:qFormat/>
    <w:rsid w:val="005675B0"/>
    <w:pPr>
      <w:ind w:left="1559" w:hanging="425"/>
    </w:pPr>
  </w:style>
  <w:style w:type="paragraph" w:customStyle="1" w:styleId="BoxNote">
    <w:name w:val="BoxNote"/>
    <w:aliases w:val="bn"/>
    <w:basedOn w:val="BoxText"/>
    <w:qFormat/>
    <w:rsid w:val="005675B0"/>
    <w:pPr>
      <w:tabs>
        <w:tab w:val="left" w:pos="1985"/>
      </w:tabs>
      <w:spacing w:before="122" w:line="198" w:lineRule="exact"/>
      <w:ind w:left="2948" w:hanging="1814"/>
    </w:pPr>
    <w:rPr>
      <w:sz w:val="18"/>
    </w:rPr>
  </w:style>
  <w:style w:type="paragraph" w:customStyle="1" w:styleId="BoxPara">
    <w:name w:val="BoxPara"/>
    <w:aliases w:val="bp"/>
    <w:basedOn w:val="BoxText"/>
    <w:qFormat/>
    <w:rsid w:val="005675B0"/>
    <w:pPr>
      <w:tabs>
        <w:tab w:val="right" w:pos="2268"/>
      </w:tabs>
      <w:ind w:left="2552" w:hanging="1418"/>
    </w:pPr>
  </w:style>
  <w:style w:type="paragraph" w:customStyle="1" w:styleId="BoxStep">
    <w:name w:val="BoxStep"/>
    <w:aliases w:val="bs"/>
    <w:basedOn w:val="BoxText"/>
    <w:qFormat/>
    <w:rsid w:val="005675B0"/>
    <w:pPr>
      <w:ind w:left="1985" w:hanging="851"/>
    </w:pPr>
  </w:style>
  <w:style w:type="character" w:customStyle="1" w:styleId="CharAmPartNo">
    <w:name w:val="CharAmPartNo"/>
    <w:basedOn w:val="OPCCharBase"/>
    <w:uiPriority w:val="1"/>
    <w:qFormat/>
    <w:rsid w:val="005675B0"/>
  </w:style>
  <w:style w:type="character" w:customStyle="1" w:styleId="CharAmPartText">
    <w:name w:val="CharAmPartText"/>
    <w:basedOn w:val="OPCCharBase"/>
    <w:uiPriority w:val="1"/>
    <w:qFormat/>
    <w:rsid w:val="005675B0"/>
  </w:style>
  <w:style w:type="character" w:customStyle="1" w:styleId="CharBoldItalic">
    <w:name w:val="CharBoldItalic"/>
    <w:basedOn w:val="OPCCharBase"/>
    <w:uiPriority w:val="1"/>
    <w:qFormat/>
    <w:rsid w:val="005675B0"/>
    <w:rPr>
      <w:b/>
      <w:i/>
    </w:rPr>
  </w:style>
  <w:style w:type="character" w:customStyle="1" w:styleId="CharItalic">
    <w:name w:val="CharItalic"/>
    <w:basedOn w:val="OPCCharBase"/>
    <w:uiPriority w:val="1"/>
    <w:qFormat/>
    <w:rsid w:val="005675B0"/>
    <w:rPr>
      <w:i/>
    </w:rPr>
  </w:style>
  <w:style w:type="character" w:customStyle="1" w:styleId="CharSubdNo">
    <w:name w:val="CharSubdNo"/>
    <w:basedOn w:val="OPCCharBase"/>
    <w:uiPriority w:val="1"/>
    <w:qFormat/>
    <w:rsid w:val="005675B0"/>
  </w:style>
  <w:style w:type="character" w:customStyle="1" w:styleId="CharSubdText">
    <w:name w:val="CharSubdText"/>
    <w:basedOn w:val="OPCCharBase"/>
    <w:uiPriority w:val="1"/>
    <w:qFormat/>
    <w:rsid w:val="005675B0"/>
  </w:style>
  <w:style w:type="paragraph" w:customStyle="1" w:styleId="CTA--">
    <w:name w:val="CTA --"/>
    <w:basedOn w:val="OPCParaBase"/>
    <w:next w:val="Normal"/>
    <w:rsid w:val="005675B0"/>
    <w:pPr>
      <w:spacing w:before="60" w:line="240" w:lineRule="atLeast"/>
      <w:ind w:left="142" w:hanging="142"/>
    </w:pPr>
    <w:rPr>
      <w:sz w:val="20"/>
    </w:rPr>
  </w:style>
  <w:style w:type="paragraph" w:customStyle="1" w:styleId="CTA-">
    <w:name w:val="CTA -"/>
    <w:basedOn w:val="OPCParaBase"/>
    <w:rsid w:val="005675B0"/>
    <w:pPr>
      <w:spacing w:before="60" w:line="240" w:lineRule="atLeast"/>
      <w:ind w:left="85" w:hanging="85"/>
    </w:pPr>
    <w:rPr>
      <w:sz w:val="20"/>
    </w:rPr>
  </w:style>
  <w:style w:type="paragraph" w:customStyle="1" w:styleId="CTA---">
    <w:name w:val="CTA ---"/>
    <w:basedOn w:val="OPCParaBase"/>
    <w:next w:val="Normal"/>
    <w:rsid w:val="005675B0"/>
    <w:pPr>
      <w:spacing w:before="60" w:line="240" w:lineRule="atLeast"/>
      <w:ind w:left="198" w:hanging="198"/>
    </w:pPr>
    <w:rPr>
      <w:sz w:val="20"/>
    </w:rPr>
  </w:style>
  <w:style w:type="paragraph" w:customStyle="1" w:styleId="CTA----">
    <w:name w:val="CTA ----"/>
    <w:basedOn w:val="OPCParaBase"/>
    <w:next w:val="Normal"/>
    <w:rsid w:val="005675B0"/>
    <w:pPr>
      <w:spacing w:before="60" w:line="240" w:lineRule="atLeast"/>
      <w:ind w:left="255" w:hanging="255"/>
    </w:pPr>
    <w:rPr>
      <w:sz w:val="20"/>
    </w:rPr>
  </w:style>
  <w:style w:type="paragraph" w:customStyle="1" w:styleId="CTA1a">
    <w:name w:val="CTA 1(a)"/>
    <w:basedOn w:val="OPCParaBase"/>
    <w:rsid w:val="005675B0"/>
    <w:pPr>
      <w:tabs>
        <w:tab w:val="right" w:pos="414"/>
      </w:tabs>
      <w:spacing w:before="40" w:line="240" w:lineRule="atLeast"/>
      <w:ind w:left="675" w:hanging="675"/>
    </w:pPr>
    <w:rPr>
      <w:sz w:val="20"/>
    </w:rPr>
  </w:style>
  <w:style w:type="paragraph" w:customStyle="1" w:styleId="CTA1ai">
    <w:name w:val="CTA 1(a)(i)"/>
    <w:basedOn w:val="OPCParaBase"/>
    <w:rsid w:val="005675B0"/>
    <w:pPr>
      <w:tabs>
        <w:tab w:val="right" w:pos="1004"/>
      </w:tabs>
      <w:spacing w:before="40" w:line="240" w:lineRule="atLeast"/>
      <w:ind w:left="1253" w:hanging="1253"/>
    </w:pPr>
    <w:rPr>
      <w:sz w:val="20"/>
    </w:rPr>
  </w:style>
  <w:style w:type="paragraph" w:customStyle="1" w:styleId="CTA2a">
    <w:name w:val="CTA 2(a)"/>
    <w:basedOn w:val="OPCParaBase"/>
    <w:rsid w:val="005675B0"/>
    <w:pPr>
      <w:tabs>
        <w:tab w:val="right" w:pos="482"/>
      </w:tabs>
      <w:spacing w:before="40" w:line="240" w:lineRule="atLeast"/>
      <w:ind w:left="748" w:hanging="748"/>
    </w:pPr>
    <w:rPr>
      <w:sz w:val="20"/>
    </w:rPr>
  </w:style>
  <w:style w:type="paragraph" w:customStyle="1" w:styleId="CTA2ai">
    <w:name w:val="CTA 2(a)(i)"/>
    <w:basedOn w:val="OPCParaBase"/>
    <w:rsid w:val="005675B0"/>
    <w:pPr>
      <w:tabs>
        <w:tab w:val="right" w:pos="1089"/>
      </w:tabs>
      <w:spacing w:before="40" w:line="240" w:lineRule="atLeast"/>
      <w:ind w:left="1327" w:hanging="1327"/>
    </w:pPr>
    <w:rPr>
      <w:sz w:val="20"/>
    </w:rPr>
  </w:style>
  <w:style w:type="paragraph" w:customStyle="1" w:styleId="CTA3a">
    <w:name w:val="CTA 3(a)"/>
    <w:basedOn w:val="OPCParaBase"/>
    <w:rsid w:val="005675B0"/>
    <w:pPr>
      <w:tabs>
        <w:tab w:val="right" w:pos="556"/>
      </w:tabs>
      <w:spacing w:before="40" w:line="240" w:lineRule="atLeast"/>
      <w:ind w:left="805" w:hanging="805"/>
    </w:pPr>
    <w:rPr>
      <w:sz w:val="20"/>
    </w:rPr>
  </w:style>
  <w:style w:type="paragraph" w:customStyle="1" w:styleId="CTA3ai">
    <w:name w:val="CTA 3(a)(i)"/>
    <w:basedOn w:val="OPCParaBase"/>
    <w:rsid w:val="005675B0"/>
    <w:pPr>
      <w:tabs>
        <w:tab w:val="right" w:pos="1140"/>
      </w:tabs>
      <w:spacing w:before="40" w:line="240" w:lineRule="atLeast"/>
      <w:ind w:left="1361" w:hanging="1361"/>
    </w:pPr>
    <w:rPr>
      <w:sz w:val="20"/>
    </w:rPr>
  </w:style>
  <w:style w:type="paragraph" w:customStyle="1" w:styleId="CTA4a">
    <w:name w:val="CTA 4(a)"/>
    <w:basedOn w:val="OPCParaBase"/>
    <w:rsid w:val="005675B0"/>
    <w:pPr>
      <w:tabs>
        <w:tab w:val="right" w:pos="624"/>
      </w:tabs>
      <w:spacing w:before="40" w:line="240" w:lineRule="atLeast"/>
      <w:ind w:left="873" w:hanging="873"/>
    </w:pPr>
    <w:rPr>
      <w:sz w:val="20"/>
    </w:rPr>
  </w:style>
  <w:style w:type="paragraph" w:customStyle="1" w:styleId="CTA4ai">
    <w:name w:val="CTA 4(a)(i)"/>
    <w:basedOn w:val="OPCParaBase"/>
    <w:rsid w:val="005675B0"/>
    <w:pPr>
      <w:tabs>
        <w:tab w:val="right" w:pos="1213"/>
      </w:tabs>
      <w:spacing w:before="40" w:line="240" w:lineRule="atLeast"/>
      <w:ind w:left="1452" w:hanging="1452"/>
    </w:pPr>
    <w:rPr>
      <w:sz w:val="20"/>
    </w:rPr>
  </w:style>
  <w:style w:type="paragraph" w:customStyle="1" w:styleId="CTACAPS">
    <w:name w:val="CTA CAPS"/>
    <w:basedOn w:val="OPCParaBase"/>
    <w:rsid w:val="005675B0"/>
    <w:pPr>
      <w:spacing w:before="60" w:line="240" w:lineRule="atLeast"/>
    </w:pPr>
    <w:rPr>
      <w:sz w:val="20"/>
    </w:rPr>
  </w:style>
  <w:style w:type="paragraph" w:customStyle="1" w:styleId="CTAright">
    <w:name w:val="CTA right"/>
    <w:basedOn w:val="OPCParaBase"/>
    <w:rsid w:val="005675B0"/>
    <w:pPr>
      <w:spacing w:before="60" w:line="240" w:lineRule="auto"/>
      <w:jc w:val="right"/>
    </w:pPr>
    <w:rPr>
      <w:sz w:val="20"/>
    </w:rPr>
  </w:style>
  <w:style w:type="paragraph" w:customStyle="1" w:styleId="subsection">
    <w:name w:val="subsection"/>
    <w:aliases w:val="ss"/>
    <w:basedOn w:val="OPCParaBase"/>
    <w:link w:val="subsectionChar"/>
    <w:rsid w:val="005675B0"/>
    <w:pPr>
      <w:tabs>
        <w:tab w:val="right" w:pos="1021"/>
      </w:tabs>
      <w:spacing w:before="180" w:line="240" w:lineRule="auto"/>
      <w:ind w:left="1134" w:hanging="1134"/>
    </w:pPr>
  </w:style>
  <w:style w:type="paragraph" w:customStyle="1" w:styleId="Definition">
    <w:name w:val="Definition"/>
    <w:aliases w:val="dd"/>
    <w:basedOn w:val="OPCParaBase"/>
    <w:rsid w:val="005675B0"/>
    <w:pPr>
      <w:spacing w:before="180" w:line="240" w:lineRule="auto"/>
      <w:ind w:left="1134"/>
    </w:pPr>
  </w:style>
  <w:style w:type="character" w:customStyle="1" w:styleId="HeaderChar">
    <w:name w:val="Header Char"/>
    <w:basedOn w:val="DefaultParagraphFont"/>
    <w:link w:val="Header"/>
    <w:rsid w:val="005675B0"/>
    <w:rPr>
      <w:sz w:val="16"/>
    </w:rPr>
  </w:style>
  <w:style w:type="paragraph" w:customStyle="1" w:styleId="House">
    <w:name w:val="House"/>
    <w:basedOn w:val="OPCParaBase"/>
    <w:rsid w:val="005675B0"/>
    <w:pPr>
      <w:spacing w:line="240" w:lineRule="auto"/>
    </w:pPr>
    <w:rPr>
      <w:sz w:val="28"/>
    </w:rPr>
  </w:style>
  <w:style w:type="paragraph" w:customStyle="1" w:styleId="Item">
    <w:name w:val="Item"/>
    <w:aliases w:val="i"/>
    <w:basedOn w:val="OPCParaBase"/>
    <w:next w:val="ItemHead"/>
    <w:rsid w:val="005675B0"/>
    <w:pPr>
      <w:keepLines/>
      <w:spacing w:before="80" w:line="240" w:lineRule="auto"/>
      <w:ind w:left="709"/>
    </w:pPr>
  </w:style>
  <w:style w:type="paragraph" w:customStyle="1" w:styleId="ItemHead">
    <w:name w:val="ItemHead"/>
    <w:aliases w:val="ih"/>
    <w:basedOn w:val="OPCParaBase"/>
    <w:next w:val="Item"/>
    <w:rsid w:val="005675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75B0"/>
    <w:pPr>
      <w:spacing w:line="240" w:lineRule="auto"/>
    </w:pPr>
    <w:rPr>
      <w:b/>
      <w:sz w:val="32"/>
    </w:rPr>
  </w:style>
  <w:style w:type="paragraph" w:customStyle="1" w:styleId="notedraft">
    <w:name w:val="note(draft)"/>
    <w:aliases w:val="nd"/>
    <w:basedOn w:val="OPCParaBase"/>
    <w:rsid w:val="005675B0"/>
    <w:pPr>
      <w:spacing w:before="240" w:line="240" w:lineRule="auto"/>
      <w:ind w:left="284" w:hanging="284"/>
    </w:pPr>
    <w:rPr>
      <w:i/>
      <w:sz w:val="24"/>
    </w:rPr>
  </w:style>
  <w:style w:type="paragraph" w:customStyle="1" w:styleId="notemargin">
    <w:name w:val="note(margin)"/>
    <w:aliases w:val="nm"/>
    <w:basedOn w:val="OPCParaBase"/>
    <w:rsid w:val="005675B0"/>
    <w:pPr>
      <w:tabs>
        <w:tab w:val="left" w:pos="709"/>
      </w:tabs>
      <w:spacing w:before="122" w:line="198" w:lineRule="exact"/>
      <w:ind w:left="709" w:hanging="709"/>
    </w:pPr>
    <w:rPr>
      <w:sz w:val="18"/>
    </w:rPr>
  </w:style>
  <w:style w:type="paragraph" w:customStyle="1" w:styleId="notepara">
    <w:name w:val="note(para)"/>
    <w:aliases w:val="na"/>
    <w:basedOn w:val="OPCParaBase"/>
    <w:rsid w:val="005675B0"/>
    <w:pPr>
      <w:spacing w:before="40" w:line="198" w:lineRule="exact"/>
      <w:ind w:left="2354" w:hanging="369"/>
    </w:pPr>
    <w:rPr>
      <w:sz w:val="18"/>
    </w:rPr>
  </w:style>
  <w:style w:type="paragraph" w:customStyle="1" w:styleId="noteParlAmend">
    <w:name w:val="note(ParlAmend)"/>
    <w:aliases w:val="npp"/>
    <w:basedOn w:val="OPCParaBase"/>
    <w:next w:val="ParlAmend"/>
    <w:rsid w:val="005675B0"/>
    <w:pPr>
      <w:spacing w:line="240" w:lineRule="auto"/>
      <w:jc w:val="right"/>
    </w:pPr>
    <w:rPr>
      <w:rFonts w:ascii="Arial" w:hAnsi="Arial"/>
      <w:b/>
      <w:i/>
    </w:rPr>
  </w:style>
  <w:style w:type="paragraph" w:customStyle="1" w:styleId="notetext">
    <w:name w:val="note(text)"/>
    <w:aliases w:val="n"/>
    <w:basedOn w:val="OPCParaBase"/>
    <w:rsid w:val="005675B0"/>
    <w:pPr>
      <w:spacing w:before="122" w:line="240" w:lineRule="auto"/>
      <w:ind w:left="1985" w:hanging="851"/>
    </w:pPr>
    <w:rPr>
      <w:sz w:val="18"/>
    </w:rPr>
  </w:style>
  <w:style w:type="paragraph" w:customStyle="1" w:styleId="Page1">
    <w:name w:val="Page1"/>
    <w:basedOn w:val="OPCParaBase"/>
    <w:rsid w:val="005675B0"/>
    <w:pPr>
      <w:spacing w:before="5600" w:line="240" w:lineRule="auto"/>
    </w:pPr>
    <w:rPr>
      <w:b/>
      <w:sz w:val="32"/>
    </w:rPr>
  </w:style>
  <w:style w:type="paragraph" w:customStyle="1" w:styleId="paragraphsub">
    <w:name w:val="paragraph(sub)"/>
    <w:aliases w:val="aa"/>
    <w:basedOn w:val="OPCParaBase"/>
    <w:rsid w:val="005675B0"/>
    <w:pPr>
      <w:tabs>
        <w:tab w:val="right" w:pos="1985"/>
      </w:tabs>
      <w:spacing w:before="40" w:line="240" w:lineRule="auto"/>
      <w:ind w:left="2098" w:hanging="2098"/>
    </w:pPr>
  </w:style>
  <w:style w:type="paragraph" w:customStyle="1" w:styleId="paragraphsub-sub">
    <w:name w:val="paragraph(sub-sub)"/>
    <w:aliases w:val="aaa"/>
    <w:basedOn w:val="OPCParaBase"/>
    <w:rsid w:val="005675B0"/>
    <w:pPr>
      <w:tabs>
        <w:tab w:val="right" w:pos="2722"/>
      </w:tabs>
      <w:spacing w:before="40" w:line="240" w:lineRule="auto"/>
      <w:ind w:left="2835" w:hanging="2835"/>
    </w:pPr>
  </w:style>
  <w:style w:type="paragraph" w:customStyle="1" w:styleId="paragraph">
    <w:name w:val="paragraph"/>
    <w:aliases w:val="a"/>
    <w:basedOn w:val="OPCParaBase"/>
    <w:link w:val="paragraphChar"/>
    <w:rsid w:val="005675B0"/>
    <w:pPr>
      <w:tabs>
        <w:tab w:val="right" w:pos="1531"/>
      </w:tabs>
      <w:spacing w:before="40" w:line="240" w:lineRule="auto"/>
      <w:ind w:left="1644" w:hanging="1644"/>
    </w:pPr>
  </w:style>
  <w:style w:type="paragraph" w:customStyle="1" w:styleId="ParlAmend">
    <w:name w:val="ParlAmend"/>
    <w:aliases w:val="pp"/>
    <w:basedOn w:val="OPCParaBase"/>
    <w:rsid w:val="005675B0"/>
    <w:pPr>
      <w:spacing w:before="240" w:line="240" w:lineRule="atLeast"/>
      <w:ind w:hanging="567"/>
    </w:pPr>
    <w:rPr>
      <w:sz w:val="24"/>
    </w:rPr>
  </w:style>
  <w:style w:type="paragraph" w:customStyle="1" w:styleId="Portfolio">
    <w:name w:val="Portfolio"/>
    <w:basedOn w:val="OPCParaBase"/>
    <w:rsid w:val="005675B0"/>
    <w:pPr>
      <w:spacing w:line="240" w:lineRule="auto"/>
    </w:pPr>
    <w:rPr>
      <w:i/>
      <w:sz w:val="20"/>
    </w:rPr>
  </w:style>
  <w:style w:type="paragraph" w:customStyle="1" w:styleId="Preamble">
    <w:name w:val="Preamble"/>
    <w:basedOn w:val="OPCParaBase"/>
    <w:next w:val="Normal"/>
    <w:rsid w:val="005675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75B0"/>
    <w:pPr>
      <w:spacing w:line="240" w:lineRule="auto"/>
    </w:pPr>
    <w:rPr>
      <w:i/>
      <w:sz w:val="20"/>
    </w:rPr>
  </w:style>
  <w:style w:type="paragraph" w:customStyle="1" w:styleId="Session">
    <w:name w:val="Session"/>
    <w:basedOn w:val="OPCParaBase"/>
    <w:rsid w:val="005675B0"/>
    <w:pPr>
      <w:spacing w:line="240" w:lineRule="auto"/>
    </w:pPr>
    <w:rPr>
      <w:sz w:val="28"/>
    </w:rPr>
  </w:style>
  <w:style w:type="paragraph" w:customStyle="1" w:styleId="Sponsor">
    <w:name w:val="Sponsor"/>
    <w:basedOn w:val="OPCParaBase"/>
    <w:rsid w:val="005675B0"/>
    <w:pPr>
      <w:spacing w:line="240" w:lineRule="auto"/>
    </w:pPr>
    <w:rPr>
      <w:i/>
    </w:rPr>
  </w:style>
  <w:style w:type="paragraph" w:customStyle="1" w:styleId="Subitem">
    <w:name w:val="Subitem"/>
    <w:aliases w:val="iss"/>
    <w:basedOn w:val="OPCParaBase"/>
    <w:rsid w:val="005675B0"/>
    <w:pPr>
      <w:spacing w:before="180" w:line="240" w:lineRule="auto"/>
      <w:ind w:left="709" w:hanging="709"/>
    </w:pPr>
  </w:style>
  <w:style w:type="paragraph" w:customStyle="1" w:styleId="SubitemHead">
    <w:name w:val="SubitemHead"/>
    <w:aliases w:val="issh"/>
    <w:basedOn w:val="OPCParaBase"/>
    <w:rsid w:val="005675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75B0"/>
    <w:pPr>
      <w:spacing w:before="40" w:line="240" w:lineRule="auto"/>
      <w:ind w:left="1134"/>
    </w:pPr>
  </w:style>
  <w:style w:type="paragraph" w:customStyle="1" w:styleId="SubsectionHead">
    <w:name w:val="SubsectionHead"/>
    <w:aliases w:val="ssh"/>
    <w:basedOn w:val="OPCParaBase"/>
    <w:next w:val="subsection"/>
    <w:rsid w:val="005675B0"/>
    <w:pPr>
      <w:keepNext/>
      <w:keepLines/>
      <w:spacing w:before="240" w:line="240" w:lineRule="auto"/>
      <w:ind w:left="1134"/>
    </w:pPr>
    <w:rPr>
      <w:i/>
    </w:rPr>
  </w:style>
  <w:style w:type="paragraph" w:customStyle="1" w:styleId="Tablea">
    <w:name w:val="Table(a)"/>
    <w:aliases w:val="ta"/>
    <w:basedOn w:val="OPCParaBase"/>
    <w:rsid w:val="005675B0"/>
    <w:pPr>
      <w:spacing w:before="60" w:line="240" w:lineRule="auto"/>
      <w:ind w:left="284" w:hanging="284"/>
    </w:pPr>
    <w:rPr>
      <w:sz w:val="20"/>
    </w:rPr>
  </w:style>
  <w:style w:type="paragraph" w:customStyle="1" w:styleId="TableAA">
    <w:name w:val="Table(AA)"/>
    <w:aliases w:val="taaa"/>
    <w:basedOn w:val="OPCParaBase"/>
    <w:rsid w:val="005675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75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675B0"/>
    <w:pPr>
      <w:spacing w:before="60" w:line="240" w:lineRule="atLeast"/>
    </w:pPr>
    <w:rPr>
      <w:sz w:val="20"/>
    </w:rPr>
  </w:style>
  <w:style w:type="paragraph" w:customStyle="1" w:styleId="TLPBoxTextnote">
    <w:name w:val="TLPBoxText(note"/>
    <w:aliases w:val="right)"/>
    <w:basedOn w:val="OPCParaBase"/>
    <w:rsid w:val="005675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75B0"/>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75B0"/>
    <w:pPr>
      <w:spacing w:before="122" w:line="198" w:lineRule="exact"/>
      <w:ind w:left="1985" w:hanging="851"/>
      <w:jc w:val="right"/>
    </w:pPr>
    <w:rPr>
      <w:sz w:val="18"/>
    </w:rPr>
  </w:style>
  <w:style w:type="paragraph" w:customStyle="1" w:styleId="TLPTableBullet">
    <w:name w:val="TLPTableBullet"/>
    <w:aliases w:val="ttb"/>
    <w:basedOn w:val="OPCParaBase"/>
    <w:rsid w:val="005675B0"/>
    <w:pPr>
      <w:spacing w:line="240" w:lineRule="exact"/>
      <w:ind w:left="284" w:hanging="284"/>
    </w:pPr>
    <w:rPr>
      <w:sz w:val="20"/>
    </w:rPr>
  </w:style>
  <w:style w:type="paragraph" w:customStyle="1" w:styleId="TofSectsGroupHeading">
    <w:name w:val="TofSects(GroupHeading)"/>
    <w:basedOn w:val="OPCParaBase"/>
    <w:next w:val="TofSectsSection"/>
    <w:rsid w:val="005675B0"/>
    <w:pPr>
      <w:keepLines/>
      <w:spacing w:before="240" w:after="120" w:line="240" w:lineRule="auto"/>
      <w:ind w:left="794"/>
    </w:pPr>
    <w:rPr>
      <w:b/>
      <w:kern w:val="28"/>
      <w:sz w:val="20"/>
    </w:rPr>
  </w:style>
  <w:style w:type="paragraph" w:customStyle="1" w:styleId="TofSectsHeading">
    <w:name w:val="TofSects(Heading)"/>
    <w:basedOn w:val="OPCParaBase"/>
    <w:rsid w:val="005675B0"/>
    <w:pPr>
      <w:spacing w:before="240" w:after="120" w:line="240" w:lineRule="auto"/>
    </w:pPr>
    <w:rPr>
      <w:b/>
      <w:sz w:val="24"/>
    </w:rPr>
  </w:style>
  <w:style w:type="paragraph" w:customStyle="1" w:styleId="TofSectsSection">
    <w:name w:val="TofSects(Section)"/>
    <w:basedOn w:val="OPCParaBase"/>
    <w:rsid w:val="005675B0"/>
    <w:pPr>
      <w:keepLines/>
      <w:spacing w:before="40" w:line="240" w:lineRule="auto"/>
      <w:ind w:left="1588" w:hanging="794"/>
    </w:pPr>
    <w:rPr>
      <w:kern w:val="28"/>
      <w:sz w:val="18"/>
    </w:rPr>
  </w:style>
  <w:style w:type="paragraph" w:customStyle="1" w:styleId="TofSectsSubdiv">
    <w:name w:val="TofSects(Subdiv)"/>
    <w:basedOn w:val="OPCParaBase"/>
    <w:rsid w:val="005675B0"/>
    <w:pPr>
      <w:keepLines/>
      <w:spacing w:before="80" w:line="240" w:lineRule="auto"/>
      <w:ind w:left="1588" w:hanging="794"/>
    </w:pPr>
    <w:rPr>
      <w:kern w:val="28"/>
    </w:rPr>
  </w:style>
  <w:style w:type="paragraph" w:customStyle="1" w:styleId="WRStyle">
    <w:name w:val="WR Style"/>
    <w:aliases w:val="WR"/>
    <w:basedOn w:val="OPCParaBase"/>
    <w:rsid w:val="005675B0"/>
    <w:pPr>
      <w:spacing w:before="240" w:line="240" w:lineRule="auto"/>
      <w:ind w:left="284" w:hanging="284"/>
    </w:pPr>
    <w:rPr>
      <w:b/>
      <w:i/>
      <w:kern w:val="28"/>
      <w:sz w:val="24"/>
    </w:rPr>
  </w:style>
  <w:style w:type="numbering" w:customStyle="1" w:styleId="OPCBodyList">
    <w:name w:val="OPCBodyList"/>
    <w:uiPriority w:val="99"/>
    <w:rsid w:val="00970EC1"/>
    <w:pPr>
      <w:numPr>
        <w:numId w:val="17"/>
      </w:numPr>
    </w:pPr>
  </w:style>
  <w:style w:type="paragraph" w:customStyle="1" w:styleId="noteToPara">
    <w:name w:val="noteToPara"/>
    <w:aliases w:val="ntp"/>
    <w:basedOn w:val="OPCParaBase"/>
    <w:rsid w:val="005675B0"/>
    <w:pPr>
      <w:spacing w:before="122" w:line="198" w:lineRule="exact"/>
      <w:ind w:left="2353" w:hanging="709"/>
    </w:pPr>
    <w:rPr>
      <w:sz w:val="18"/>
    </w:rPr>
  </w:style>
  <w:style w:type="character" w:customStyle="1" w:styleId="FooterChar">
    <w:name w:val="Footer Char"/>
    <w:basedOn w:val="DefaultParagraphFont"/>
    <w:link w:val="Footer"/>
    <w:rsid w:val="005675B0"/>
    <w:rPr>
      <w:sz w:val="22"/>
      <w:szCs w:val="24"/>
    </w:rPr>
  </w:style>
  <w:style w:type="character" w:customStyle="1" w:styleId="BalloonTextChar">
    <w:name w:val="Balloon Text Char"/>
    <w:basedOn w:val="DefaultParagraphFont"/>
    <w:link w:val="BalloonText"/>
    <w:uiPriority w:val="99"/>
    <w:rsid w:val="005675B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675B0"/>
    <w:pPr>
      <w:keepNext/>
      <w:spacing w:before="60" w:line="240" w:lineRule="atLeast"/>
    </w:pPr>
    <w:rPr>
      <w:b/>
      <w:sz w:val="20"/>
    </w:rPr>
  </w:style>
  <w:style w:type="table" w:customStyle="1" w:styleId="CFlag">
    <w:name w:val="CFlag"/>
    <w:basedOn w:val="TableNormal"/>
    <w:uiPriority w:val="99"/>
    <w:rsid w:val="005675B0"/>
    <w:tblPr/>
  </w:style>
  <w:style w:type="paragraph" w:customStyle="1" w:styleId="ENotesHeading1">
    <w:name w:val="ENotesHeading 1"/>
    <w:aliases w:val="Enh1"/>
    <w:basedOn w:val="OPCParaBase"/>
    <w:next w:val="Normal"/>
    <w:rsid w:val="005675B0"/>
    <w:pPr>
      <w:spacing w:before="120"/>
      <w:outlineLvl w:val="1"/>
    </w:pPr>
    <w:rPr>
      <w:b/>
      <w:sz w:val="28"/>
      <w:szCs w:val="28"/>
    </w:rPr>
  </w:style>
  <w:style w:type="paragraph" w:customStyle="1" w:styleId="ENotesHeading2">
    <w:name w:val="ENotesHeading 2"/>
    <w:aliases w:val="Enh2"/>
    <w:basedOn w:val="OPCParaBase"/>
    <w:next w:val="Normal"/>
    <w:rsid w:val="005675B0"/>
    <w:pPr>
      <w:spacing w:before="120" w:after="120"/>
      <w:outlineLvl w:val="2"/>
    </w:pPr>
    <w:rPr>
      <w:b/>
      <w:sz w:val="24"/>
      <w:szCs w:val="28"/>
    </w:rPr>
  </w:style>
  <w:style w:type="paragraph" w:customStyle="1" w:styleId="ENotesHeading3">
    <w:name w:val="ENotesHeading 3"/>
    <w:aliases w:val="Enh3"/>
    <w:basedOn w:val="OPCParaBase"/>
    <w:next w:val="Normal"/>
    <w:rsid w:val="005675B0"/>
    <w:pPr>
      <w:keepNext/>
      <w:spacing w:before="120" w:line="240" w:lineRule="auto"/>
      <w:outlineLvl w:val="4"/>
    </w:pPr>
    <w:rPr>
      <w:b/>
      <w:szCs w:val="24"/>
    </w:rPr>
  </w:style>
  <w:style w:type="paragraph" w:customStyle="1" w:styleId="ENotesText">
    <w:name w:val="ENotesText"/>
    <w:aliases w:val="Ent"/>
    <w:basedOn w:val="OPCParaBase"/>
    <w:next w:val="Normal"/>
    <w:rsid w:val="005675B0"/>
    <w:pPr>
      <w:spacing w:before="120"/>
    </w:pPr>
  </w:style>
  <w:style w:type="paragraph" w:customStyle="1" w:styleId="CompiledActNo">
    <w:name w:val="CompiledActNo"/>
    <w:basedOn w:val="OPCParaBase"/>
    <w:next w:val="Normal"/>
    <w:rsid w:val="005675B0"/>
    <w:rPr>
      <w:b/>
      <w:sz w:val="24"/>
      <w:szCs w:val="24"/>
    </w:rPr>
  </w:style>
  <w:style w:type="paragraph" w:customStyle="1" w:styleId="CompiledMadeUnder">
    <w:name w:val="CompiledMadeUnder"/>
    <w:basedOn w:val="OPCParaBase"/>
    <w:next w:val="Normal"/>
    <w:rsid w:val="005675B0"/>
    <w:rPr>
      <w:i/>
      <w:sz w:val="24"/>
      <w:szCs w:val="24"/>
    </w:rPr>
  </w:style>
  <w:style w:type="paragraph" w:customStyle="1" w:styleId="Paragraphsub-sub-sub">
    <w:name w:val="Paragraph(sub-sub-sub)"/>
    <w:aliases w:val="aaaa"/>
    <w:basedOn w:val="OPCParaBase"/>
    <w:rsid w:val="005675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75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75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75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75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75B0"/>
    <w:pPr>
      <w:spacing w:before="60" w:line="240" w:lineRule="auto"/>
    </w:pPr>
    <w:rPr>
      <w:rFonts w:cs="Arial"/>
      <w:sz w:val="20"/>
      <w:szCs w:val="22"/>
    </w:rPr>
  </w:style>
  <w:style w:type="paragraph" w:customStyle="1" w:styleId="NoteToSubpara">
    <w:name w:val="NoteToSubpara"/>
    <w:aliases w:val="nts"/>
    <w:basedOn w:val="OPCParaBase"/>
    <w:rsid w:val="005675B0"/>
    <w:pPr>
      <w:spacing w:before="40" w:line="198" w:lineRule="exact"/>
      <w:ind w:left="2835" w:hanging="709"/>
    </w:pPr>
    <w:rPr>
      <w:sz w:val="18"/>
    </w:rPr>
  </w:style>
  <w:style w:type="paragraph" w:customStyle="1" w:styleId="InstNo">
    <w:name w:val="InstNo"/>
    <w:basedOn w:val="OPCParaBase"/>
    <w:next w:val="Normal"/>
    <w:rsid w:val="005675B0"/>
    <w:rPr>
      <w:b/>
      <w:sz w:val="28"/>
      <w:szCs w:val="32"/>
    </w:rPr>
  </w:style>
  <w:style w:type="paragraph" w:customStyle="1" w:styleId="TerritoryT">
    <w:name w:val="TerritoryT"/>
    <w:basedOn w:val="OPCParaBase"/>
    <w:next w:val="Normal"/>
    <w:rsid w:val="005675B0"/>
    <w:rPr>
      <w:b/>
      <w:sz w:val="32"/>
    </w:rPr>
  </w:style>
  <w:style w:type="paragraph" w:customStyle="1" w:styleId="LegislationMadeUnder">
    <w:name w:val="LegislationMadeUnder"/>
    <w:basedOn w:val="OPCParaBase"/>
    <w:next w:val="Normal"/>
    <w:rsid w:val="005675B0"/>
    <w:rPr>
      <w:i/>
      <w:sz w:val="32"/>
      <w:szCs w:val="32"/>
    </w:rPr>
  </w:style>
  <w:style w:type="paragraph" w:customStyle="1" w:styleId="ActHead10">
    <w:name w:val="ActHead 10"/>
    <w:aliases w:val="sp"/>
    <w:basedOn w:val="OPCParaBase"/>
    <w:next w:val="ActHead3"/>
    <w:rsid w:val="005675B0"/>
    <w:pPr>
      <w:keepNext/>
      <w:spacing w:before="280" w:line="240" w:lineRule="auto"/>
      <w:outlineLvl w:val="1"/>
    </w:pPr>
    <w:rPr>
      <w:b/>
      <w:sz w:val="32"/>
      <w:szCs w:val="30"/>
    </w:rPr>
  </w:style>
  <w:style w:type="paragraph" w:customStyle="1" w:styleId="SignCoverPageEnd">
    <w:name w:val="SignCoverPageEnd"/>
    <w:basedOn w:val="OPCParaBase"/>
    <w:next w:val="Normal"/>
    <w:rsid w:val="005675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75B0"/>
    <w:pPr>
      <w:pBdr>
        <w:top w:val="single" w:sz="4" w:space="1" w:color="auto"/>
      </w:pBdr>
      <w:spacing w:before="360"/>
      <w:ind w:right="397"/>
      <w:jc w:val="both"/>
    </w:pPr>
  </w:style>
  <w:style w:type="paragraph" w:customStyle="1" w:styleId="NotesHeading2">
    <w:name w:val="NotesHeading 2"/>
    <w:basedOn w:val="OPCParaBase"/>
    <w:next w:val="Normal"/>
    <w:rsid w:val="005675B0"/>
    <w:rPr>
      <w:b/>
      <w:sz w:val="28"/>
      <w:szCs w:val="28"/>
    </w:rPr>
  </w:style>
  <w:style w:type="paragraph" w:customStyle="1" w:styleId="NotesHeading1">
    <w:name w:val="NotesHeading 1"/>
    <w:basedOn w:val="OPCParaBase"/>
    <w:next w:val="Normal"/>
    <w:rsid w:val="005675B0"/>
    <w:rPr>
      <w:b/>
      <w:sz w:val="28"/>
      <w:szCs w:val="28"/>
    </w:rPr>
  </w:style>
  <w:style w:type="paragraph" w:customStyle="1" w:styleId="ENoteTableText">
    <w:name w:val="ENoteTableText"/>
    <w:aliases w:val="entt"/>
    <w:basedOn w:val="OPCParaBase"/>
    <w:rsid w:val="005675B0"/>
    <w:pPr>
      <w:spacing w:before="60" w:line="240" w:lineRule="atLeast"/>
    </w:pPr>
    <w:rPr>
      <w:sz w:val="16"/>
    </w:rPr>
  </w:style>
  <w:style w:type="paragraph" w:customStyle="1" w:styleId="ENoteTableHeading">
    <w:name w:val="ENoteTableHeading"/>
    <w:aliases w:val="enth"/>
    <w:basedOn w:val="OPCParaBase"/>
    <w:rsid w:val="005675B0"/>
    <w:pPr>
      <w:keepNext/>
      <w:spacing w:before="60" w:line="240" w:lineRule="atLeast"/>
    </w:pPr>
    <w:rPr>
      <w:rFonts w:ascii="Arial" w:hAnsi="Arial"/>
      <w:b/>
      <w:sz w:val="16"/>
    </w:rPr>
  </w:style>
  <w:style w:type="paragraph" w:customStyle="1" w:styleId="ENoteTTi">
    <w:name w:val="ENoteTTi"/>
    <w:aliases w:val="entti"/>
    <w:basedOn w:val="OPCParaBase"/>
    <w:rsid w:val="005675B0"/>
    <w:pPr>
      <w:keepNext/>
      <w:spacing w:before="60" w:line="240" w:lineRule="atLeast"/>
      <w:ind w:left="170"/>
    </w:pPr>
    <w:rPr>
      <w:sz w:val="16"/>
    </w:rPr>
  </w:style>
  <w:style w:type="paragraph" w:customStyle="1" w:styleId="ENoteTTIndentHeading">
    <w:name w:val="ENoteTTIndentHeading"/>
    <w:aliases w:val="enTTHi"/>
    <w:basedOn w:val="OPCParaBase"/>
    <w:rsid w:val="005675B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675B0"/>
    <w:pPr>
      <w:spacing w:before="240"/>
    </w:pPr>
    <w:rPr>
      <w:sz w:val="24"/>
      <w:szCs w:val="24"/>
    </w:rPr>
  </w:style>
  <w:style w:type="paragraph" w:customStyle="1" w:styleId="SubPartCASA">
    <w:name w:val="SubPart(CASA)"/>
    <w:aliases w:val="csp"/>
    <w:basedOn w:val="OPCParaBase"/>
    <w:next w:val="ActHead3"/>
    <w:rsid w:val="005675B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675B0"/>
  </w:style>
  <w:style w:type="character" w:customStyle="1" w:styleId="CharSubPartNoCASA">
    <w:name w:val="CharSubPartNo(CASA)"/>
    <w:basedOn w:val="OPCCharBase"/>
    <w:uiPriority w:val="1"/>
    <w:rsid w:val="005675B0"/>
  </w:style>
  <w:style w:type="paragraph" w:customStyle="1" w:styleId="ENoteTTIndentHeadingSub">
    <w:name w:val="ENoteTTIndentHeadingSub"/>
    <w:aliases w:val="enTTHis"/>
    <w:basedOn w:val="OPCParaBase"/>
    <w:rsid w:val="005675B0"/>
    <w:pPr>
      <w:keepNext/>
      <w:spacing w:before="60" w:line="240" w:lineRule="atLeast"/>
      <w:ind w:left="340"/>
    </w:pPr>
    <w:rPr>
      <w:b/>
      <w:sz w:val="16"/>
    </w:rPr>
  </w:style>
  <w:style w:type="paragraph" w:customStyle="1" w:styleId="ENoteTTiSub">
    <w:name w:val="ENoteTTiSub"/>
    <w:aliases w:val="enttis"/>
    <w:basedOn w:val="OPCParaBase"/>
    <w:rsid w:val="005675B0"/>
    <w:pPr>
      <w:keepNext/>
      <w:spacing w:before="60" w:line="240" w:lineRule="atLeast"/>
      <w:ind w:left="340"/>
    </w:pPr>
    <w:rPr>
      <w:sz w:val="16"/>
    </w:rPr>
  </w:style>
  <w:style w:type="paragraph" w:customStyle="1" w:styleId="SubDivisionMigration">
    <w:name w:val="SubDivisionMigration"/>
    <w:aliases w:val="sdm"/>
    <w:basedOn w:val="OPCParaBase"/>
    <w:rsid w:val="005675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75B0"/>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0641B"/>
    <w:rPr>
      <w:sz w:val="22"/>
    </w:rPr>
  </w:style>
  <w:style w:type="character" w:customStyle="1" w:styleId="paragraphChar">
    <w:name w:val="paragraph Char"/>
    <w:aliases w:val="a Char"/>
    <w:link w:val="paragraph"/>
    <w:rsid w:val="00F0641B"/>
    <w:rPr>
      <w:sz w:val="22"/>
    </w:rPr>
  </w:style>
  <w:style w:type="paragraph" w:customStyle="1" w:styleId="SOText">
    <w:name w:val="SO Text"/>
    <w:aliases w:val="sot"/>
    <w:link w:val="SOTextChar"/>
    <w:rsid w:val="005675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75B0"/>
    <w:rPr>
      <w:rFonts w:eastAsiaTheme="minorHAnsi" w:cstheme="minorBidi"/>
      <w:sz w:val="22"/>
      <w:lang w:eastAsia="en-US"/>
    </w:rPr>
  </w:style>
  <w:style w:type="paragraph" w:customStyle="1" w:styleId="SOTextNote">
    <w:name w:val="SO TextNote"/>
    <w:aliases w:val="sont"/>
    <w:basedOn w:val="SOText"/>
    <w:qFormat/>
    <w:rsid w:val="005675B0"/>
    <w:pPr>
      <w:spacing w:before="122" w:line="198" w:lineRule="exact"/>
      <w:ind w:left="1843" w:hanging="709"/>
    </w:pPr>
    <w:rPr>
      <w:sz w:val="18"/>
    </w:rPr>
  </w:style>
  <w:style w:type="paragraph" w:customStyle="1" w:styleId="SOPara">
    <w:name w:val="SO Para"/>
    <w:aliases w:val="soa"/>
    <w:basedOn w:val="SOText"/>
    <w:link w:val="SOParaChar"/>
    <w:qFormat/>
    <w:rsid w:val="005675B0"/>
    <w:pPr>
      <w:tabs>
        <w:tab w:val="right" w:pos="1786"/>
      </w:tabs>
      <w:spacing w:before="40"/>
      <w:ind w:left="2070" w:hanging="936"/>
    </w:pPr>
  </w:style>
  <w:style w:type="character" w:customStyle="1" w:styleId="SOParaChar">
    <w:name w:val="SO Para Char"/>
    <w:aliases w:val="soa Char"/>
    <w:basedOn w:val="DefaultParagraphFont"/>
    <w:link w:val="SOPara"/>
    <w:rsid w:val="005675B0"/>
    <w:rPr>
      <w:rFonts w:eastAsiaTheme="minorHAnsi" w:cstheme="minorBidi"/>
      <w:sz w:val="22"/>
      <w:lang w:eastAsia="en-US"/>
    </w:rPr>
  </w:style>
  <w:style w:type="paragraph" w:customStyle="1" w:styleId="FileName">
    <w:name w:val="FileName"/>
    <w:basedOn w:val="Normal"/>
    <w:rsid w:val="005675B0"/>
  </w:style>
  <w:style w:type="paragraph" w:customStyle="1" w:styleId="SOHeadBold">
    <w:name w:val="SO HeadBold"/>
    <w:aliases w:val="sohb"/>
    <w:basedOn w:val="SOText"/>
    <w:next w:val="SOText"/>
    <w:link w:val="SOHeadBoldChar"/>
    <w:qFormat/>
    <w:rsid w:val="005675B0"/>
    <w:rPr>
      <w:b/>
    </w:rPr>
  </w:style>
  <w:style w:type="character" w:customStyle="1" w:styleId="SOHeadBoldChar">
    <w:name w:val="SO HeadBold Char"/>
    <w:aliases w:val="sohb Char"/>
    <w:basedOn w:val="DefaultParagraphFont"/>
    <w:link w:val="SOHeadBold"/>
    <w:rsid w:val="005675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75B0"/>
    <w:rPr>
      <w:i/>
    </w:rPr>
  </w:style>
  <w:style w:type="character" w:customStyle="1" w:styleId="SOHeadItalicChar">
    <w:name w:val="SO HeadItalic Char"/>
    <w:aliases w:val="sohi Char"/>
    <w:basedOn w:val="DefaultParagraphFont"/>
    <w:link w:val="SOHeadItalic"/>
    <w:rsid w:val="005675B0"/>
    <w:rPr>
      <w:rFonts w:eastAsiaTheme="minorHAnsi" w:cstheme="minorBidi"/>
      <w:i/>
      <w:sz w:val="22"/>
      <w:lang w:eastAsia="en-US"/>
    </w:rPr>
  </w:style>
  <w:style w:type="paragraph" w:customStyle="1" w:styleId="SOBullet">
    <w:name w:val="SO Bullet"/>
    <w:aliases w:val="sotb"/>
    <w:basedOn w:val="SOText"/>
    <w:link w:val="SOBulletChar"/>
    <w:qFormat/>
    <w:rsid w:val="005675B0"/>
    <w:pPr>
      <w:ind w:left="1559" w:hanging="425"/>
    </w:pPr>
  </w:style>
  <w:style w:type="character" w:customStyle="1" w:styleId="SOBulletChar">
    <w:name w:val="SO Bullet Char"/>
    <w:aliases w:val="sotb Char"/>
    <w:basedOn w:val="DefaultParagraphFont"/>
    <w:link w:val="SOBullet"/>
    <w:rsid w:val="005675B0"/>
    <w:rPr>
      <w:rFonts w:eastAsiaTheme="minorHAnsi" w:cstheme="minorBidi"/>
      <w:sz w:val="22"/>
      <w:lang w:eastAsia="en-US"/>
    </w:rPr>
  </w:style>
  <w:style w:type="paragraph" w:customStyle="1" w:styleId="SOBulletNote">
    <w:name w:val="SO BulletNote"/>
    <w:aliases w:val="sonb"/>
    <w:basedOn w:val="SOTextNote"/>
    <w:link w:val="SOBulletNoteChar"/>
    <w:qFormat/>
    <w:rsid w:val="005675B0"/>
    <w:pPr>
      <w:tabs>
        <w:tab w:val="left" w:pos="1560"/>
      </w:tabs>
      <w:ind w:left="2268" w:hanging="1134"/>
    </w:pPr>
  </w:style>
  <w:style w:type="character" w:customStyle="1" w:styleId="SOBulletNoteChar">
    <w:name w:val="SO BulletNote Char"/>
    <w:aliases w:val="sonb Char"/>
    <w:basedOn w:val="DefaultParagraphFont"/>
    <w:link w:val="SOBulletNote"/>
    <w:rsid w:val="005675B0"/>
    <w:rPr>
      <w:rFonts w:eastAsiaTheme="minorHAnsi" w:cstheme="minorBidi"/>
      <w:sz w:val="18"/>
      <w:lang w:eastAsia="en-US"/>
    </w:rPr>
  </w:style>
  <w:style w:type="paragraph" w:customStyle="1" w:styleId="FreeForm">
    <w:name w:val="FreeForm"/>
    <w:rsid w:val="005675B0"/>
    <w:rPr>
      <w:rFonts w:ascii="Arial" w:eastAsiaTheme="minorHAnsi" w:hAnsi="Arial" w:cstheme="minorBidi"/>
      <w:sz w:val="22"/>
      <w:lang w:eastAsia="en-US"/>
    </w:rPr>
  </w:style>
  <w:style w:type="paragraph" w:styleId="NoteHeading">
    <w:name w:val="Note Heading"/>
    <w:basedOn w:val="Normal"/>
    <w:next w:val="Normal"/>
    <w:link w:val="NoteHeadingChar"/>
    <w:semiHidden/>
    <w:unhideWhenUsed/>
    <w:rsid w:val="00DE27A5"/>
    <w:pPr>
      <w:spacing w:line="240" w:lineRule="auto"/>
    </w:pPr>
  </w:style>
  <w:style w:type="character" w:customStyle="1" w:styleId="NoteHeadingChar">
    <w:name w:val="Note Heading Char"/>
    <w:basedOn w:val="DefaultParagraphFont"/>
    <w:link w:val="NoteHeading"/>
    <w:semiHidden/>
    <w:rsid w:val="00DE27A5"/>
    <w:rPr>
      <w:rFonts w:eastAsiaTheme="minorHAnsi" w:cstheme="minorBidi"/>
      <w:sz w:val="22"/>
      <w:lang w:eastAsia="en-US"/>
    </w:rPr>
  </w:style>
  <w:style w:type="paragraph" w:styleId="Revision">
    <w:name w:val="Revision"/>
    <w:hidden/>
    <w:uiPriority w:val="99"/>
    <w:semiHidden/>
    <w:rsid w:val="004A1FAA"/>
    <w:rPr>
      <w:rFonts w:eastAsiaTheme="minorHAnsi" w:cstheme="minorBidi"/>
      <w:sz w:val="22"/>
      <w:lang w:eastAsia="en-US"/>
    </w:rPr>
  </w:style>
  <w:style w:type="paragraph" w:customStyle="1" w:styleId="EnStatement">
    <w:name w:val="EnStatement"/>
    <w:basedOn w:val="Normal"/>
    <w:rsid w:val="005675B0"/>
    <w:pPr>
      <w:numPr>
        <w:numId w:val="21"/>
      </w:numPr>
    </w:pPr>
    <w:rPr>
      <w:rFonts w:eastAsia="Times New Roman" w:cs="Times New Roman"/>
      <w:lang w:eastAsia="en-AU"/>
    </w:rPr>
  </w:style>
  <w:style w:type="paragraph" w:customStyle="1" w:styleId="EnStatementHeading">
    <w:name w:val="EnStatementHeading"/>
    <w:basedOn w:val="Normal"/>
    <w:rsid w:val="005675B0"/>
    <w:rPr>
      <w:rFonts w:eastAsia="Times New Roman" w:cs="Times New Roman"/>
      <w:b/>
      <w:lang w:eastAsia="en-AU"/>
    </w:rPr>
  </w:style>
  <w:style w:type="character" w:customStyle="1" w:styleId="TabletextChar">
    <w:name w:val="Tabletext Char"/>
    <w:aliases w:val="tt Char"/>
    <w:basedOn w:val="DefaultParagraphFont"/>
    <w:link w:val="Tabletext"/>
    <w:rsid w:val="00790E0E"/>
  </w:style>
  <w:style w:type="paragraph" w:customStyle="1" w:styleId="Transitional">
    <w:name w:val="Transitional"/>
    <w:aliases w:val="tr"/>
    <w:basedOn w:val="Normal"/>
    <w:next w:val="Normal"/>
    <w:rsid w:val="005675B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6D4D82"/>
    <w:rPr>
      <w:b/>
      <w:kern w:val="28"/>
      <w:sz w:val="24"/>
    </w:rPr>
  </w:style>
  <w:style w:type="character" w:customStyle="1" w:styleId="ClosingChar">
    <w:name w:val="Closing Char"/>
    <w:basedOn w:val="DefaultParagraphFont"/>
    <w:link w:val="Closing"/>
    <w:rsid w:val="00290BC0"/>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642D-5F5B-4840-9414-828E3581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45</Pages>
  <Words>11025</Words>
  <Characters>54804</Characters>
  <Application>Microsoft Office Word</Application>
  <DocSecurity>0</DocSecurity>
  <PresentationFormat/>
  <Lines>1916</Lines>
  <Paragraphs>1305</Paragraphs>
  <ScaleCrop>false</ScaleCrop>
  <HeadingPairs>
    <vt:vector size="2" baseType="variant">
      <vt:variant>
        <vt:lpstr>Title</vt:lpstr>
      </vt:variant>
      <vt:variant>
        <vt:i4>1</vt:i4>
      </vt:variant>
    </vt:vector>
  </HeadingPairs>
  <TitlesOfParts>
    <vt:vector size="1" baseType="lpstr">
      <vt:lpstr>Australian Securities and Investments Commission Regulations 2001</vt:lpstr>
    </vt:vector>
  </TitlesOfParts>
  <Manager/>
  <Company/>
  <LinksUpToDate>false</LinksUpToDate>
  <CharactersWithSpaces>64958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Regulations 2001</dc:title>
  <dc:subject/>
  <dc:creator/>
  <cp:keywords/>
  <dc:description/>
  <cp:lastModifiedBy/>
  <cp:revision>1</cp:revision>
  <cp:lastPrinted>2013-03-20T00:20:00Z</cp:lastPrinted>
  <dcterms:created xsi:type="dcterms:W3CDTF">2020-07-21T05:40:00Z</dcterms:created>
  <dcterms:modified xsi:type="dcterms:W3CDTF">2020-07-21T05:40:00Z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Australian Securities and Investments Commission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39</vt:lpwstr>
  </property>
  <property fmtid="{D5CDD505-2E9C-101B-9397-08002B2CF9AE}" pid="19" name="StartDate">
    <vt:filetime>2020-06-30T14:00:00Z</vt:filetime>
  </property>
  <property fmtid="{D5CDD505-2E9C-101B-9397-08002B2CF9AE}" pid="20" name="PreparedDate">
    <vt:filetime>2016-02-28T13:00:00Z</vt:filetime>
  </property>
  <property fmtid="{D5CDD505-2E9C-101B-9397-08002B2CF9AE}" pid="21" name="RegisteredDate">
    <vt:filetime>2020-07-20T14:00:00Z</vt:filetime>
  </property>
  <property fmtid="{D5CDD505-2E9C-101B-9397-08002B2CF9AE}" pid="22" name="IncludesUpTo">
    <vt:lpwstr>F2020L00699</vt:lpwstr>
  </property>
</Properties>
</file>