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CC5" w:rsidRPr="00243ED2" w:rsidRDefault="00651CC5" w:rsidP="005838A0">
      <w:r w:rsidRPr="00243ED2">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80.25pt" o:ole="" fillcolor="window">
            <v:imagedata r:id="rId9" o:title=""/>
          </v:shape>
          <o:OLEObject Type="Embed" ProgID="Word.Picture.8" ShapeID="_x0000_i1025" DrawAspect="Content" ObjectID="_1502874888" r:id="rId10"/>
        </w:object>
      </w:r>
    </w:p>
    <w:p w:rsidR="00651CC5" w:rsidRPr="00243ED2" w:rsidRDefault="00651CC5" w:rsidP="005838A0">
      <w:pPr>
        <w:pStyle w:val="ShortT"/>
        <w:spacing w:before="240"/>
      </w:pPr>
      <w:r w:rsidRPr="00243ED2">
        <w:t>Telecommunications Regulations</w:t>
      </w:r>
      <w:r w:rsidR="00243ED2">
        <w:t> </w:t>
      </w:r>
      <w:r w:rsidRPr="00243ED2">
        <w:t>2001</w:t>
      </w:r>
    </w:p>
    <w:p w:rsidR="00651CC5" w:rsidRPr="00243ED2" w:rsidRDefault="00651CC5" w:rsidP="005838A0">
      <w:pPr>
        <w:pStyle w:val="CompiledActNo"/>
        <w:spacing w:before="240"/>
      </w:pPr>
      <w:r w:rsidRPr="00243ED2">
        <w:t>Statutory Rules No.</w:t>
      </w:r>
      <w:r w:rsidR="00243ED2">
        <w:t> </w:t>
      </w:r>
      <w:r w:rsidRPr="00243ED2">
        <w:t>65, 2001</w:t>
      </w:r>
    </w:p>
    <w:p w:rsidR="00651CC5" w:rsidRPr="00243ED2" w:rsidRDefault="00651CC5" w:rsidP="00651CC5">
      <w:pPr>
        <w:pStyle w:val="MadeunderText"/>
      </w:pPr>
      <w:r w:rsidRPr="00243ED2">
        <w:t>made under the</w:t>
      </w:r>
    </w:p>
    <w:p w:rsidR="00651CC5" w:rsidRPr="00243ED2" w:rsidRDefault="00651CC5" w:rsidP="00651CC5">
      <w:pPr>
        <w:pStyle w:val="CompiledMadeUnder"/>
        <w:spacing w:before="240"/>
      </w:pPr>
      <w:r w:rsidRPr="00243ED2">
        <w:t>Telecommunications Act 1997</w:t>
      </w:r>
    </w:p>
    <w:p w:rsidR="00651CC5" w:rsidRPr="00243ED2" w:rsidRDefault="00651CC5" w:rsidP="005838A0">
      <w:pPr>
        <w:spacing w:before="1000"/>
        <w:rPr>
          <w:rFonts w:cs="Arial"/>
          <w:b/>
          <w:sz w:val="32"/>
          <w:szCs w:val="32"/>
        </w:rPr>
      </w:pPr>
      <w:r w:rsidRPr="00243ED2">
        <w:rPr>
          <w:rFonts w:cs="Arial"/>
          <w:b/>
          <w:sz w:val="32"/>
          <w:szCs w:val="32"/>
        </w:rPr>
        <w:t>Compilation No.</w:t>
      </w:r>
      <w:r w:rsidR="00243ED2">
        <w:rPr>
          <w:rFonts w:cs="Arial"/>
          <w:b/>
          <w:sz w:val="32"/>
          <w:szCs w:val="32"/>
        </w:rPr>
        <w:t> </w:t>
      </w:r>
      <w:r w:rsidRPr="00243ED2">
        <w:rPr>
          <w:rFonts w:cs="Arial"/>
          <w:b/>
          <w:sz w:val="32"/>
          <w:szCs w:val="32"/>
        </w:rPr>
        <w:fldChar w:fldCharType="begin"/>
      </w:r>
      <w:r w:rsidRPr="00243ED2">
        <w:rPr>
          <w:rFonts w:cs="Arial"/>
          <w:b/>
          <w:sz w:val="32"/>
          <w:szCs w:val="32"/>
        </w:rPr>
        <w:instrText xml:space="preserve"> DOCPROPERTY  CompilationNumber </w:instrText>
      </w:r>
      <w:r w:rsidRPr="00243ED2">
        <w:rPr>
          <w:rFonts w:cs="Arial"/>
          <w:b/>
          <w:sz w:val="32"/>
          <w:szCs w:val="32"/>
        </w:rPr>
        <w:fldChar w:fldCharType="separate"/>
      </w:r>
      <w:r w:rsidR="00243ED2">
        <w:rPr>
          <w:rFonts w:cs="Arial"/>
          <w:b/>
          <w:sz w:val="32"/>
          <w:szCs w:val="32"/>
        </w:rPr>
        <w:t>14</w:t>
      </w:r>
      <w:r w:rsidRPr="00243ED2">
        <w:rPr>
          <w:rFonts w:cs="Arial"/>
          <w:b/>
          <w:sz w:val="32"/>
          <w:szCs w:val="32"/>
        </w:rPr>
        <w:fldChar w:fldCharType="end"/>
      </w:r>
    </w:p>
    <w:p w:rsidR="00651CC5" w:rsidRPr="00243ED2" w:rsidRDefault="00651CC5" w:rsidP="00FE3A34">
      <w:pPr>
        <w:spacing w:before="480"/>
        <w:rPr>
          <w:rFonts w:cs="Arial"/>
          <w:sz w:val="24"/>
        </w:rPr>
      </w:pPr>
      <w:r w:rsidRPr="00243ED2">
        <w:rPr>
          <w:rFonts w:cs="Arial"/>
          <w:b/>
          <w:sz w:val="24"/>
        </w:rPr>
        <w:t xml:space="preserve">Compilation date: </w:t>
      </w:r>
      <w:r w:rsidRPr="00243ED2">
        <w:rPr>
          <w:rFonts w:cs="Arial"/>
          <w:b/>
          <w:sz w:val="24"/>
        </w:rPr>
        <w:tab/>
      </w:r>
      <w:r w:rsidRPr="00243ED2">
        <w:rPr>
          <w:rFonts w:cs="Arial"/>
          <w:b/>
          <w:sz w:val="24"/>
        </w:rPr>
        <w:tab/>
      </w:r>
      <w:r w:rsidRPr="00243ED2">
        <w:rPr>
          <w:rFonts w:cs="Arial"/>
          <w:b/>
          <w:sz w:val="24"/>
        </w:rPr>
        <w:tab/>
      </w:r>
      <w:r w:rsidRPr="00243ED2">
        <w:rPr>
          <w:rFonts w:cs="Arial"/>
          <w:sz w:val="24"/>
        </w:rPr>
        <w:fldChar w:fldCharType="begin"/>
      </w:r>
      <w:r w:rsidRPr="00243ED2">
        <w:rPr>
          <w:rFonts w:cs="Arial"/>
          <w:sz w:val="24"/>
        </w:rPr>
        <w:instrText xml:space="preserve"> DOCPROPERTY StartDate \@ "d MMMM yyyy" \*MERGEFORMAT </w:instrText>
      </w:r>
      <w:r w:rsidRPr="00243ED2">
        <w:rPr>
          <w:rFonts w:cs="Arial"/>
          <w:sz w:val="24"/>
        </w:rPr>
        <w:fldChar w:fldCharType="separate"/>
      </w:r>
      <w:r w:rsidR="00243ED2" w:rsidRPr="00243ED2">
        <w:rPr>
          <w:rFonts w:cs="Arial"/>
          <w:bCs/>
          <w:sz w:val="24"/>
        </w:rPr>
        <w:t>21</w:t>
      </w:r>
      <w:r w:rsidR="00243ED2">
        <w:rPr>
          <w:rFonts w:cs="Arial"/>
          <w:sz w:val="24"/>
        </w:rPr>
        <w:t xml:space="preserve"> August 2015</w:t>
      </w:r>
      <w:r w:rsidRPr="00243ED2">
        <w:rPr>
          <w:rFonts w:cs="Arial"/>
          <w:sz w:val="24"/>
        </w:rPr>
        <w:fldChar w:fldCharType="end"/>
      </w:r>
    </w:p>
    <w:p w:rsidR="00651CC5" w:rsidRPr="00243ED2" w:rsidRDefault="00651CC5" w:rsidP="005838A0">
      <w:pPr>
        <w:spacing w:before="240"/>
        <w:rPr>
          <w:rFonts w:cs="Arial"/>
          <w:sz w:val="24"/>
        </w:rPr>
      </w:pPr>
      <w:r w:rsidRPr="00243ED2">
        <w:rPr>
          <w:rFonts w:cs="Arial"/>
          <w:b/>
          <w:sz w:val="24"/>
        </w:rPr>
        <w:t>Includes amendments up to:</w:t>
      </w:r>
      <w:r w:rsidRPr="00243ED2">
        <w:rPr>
          <w:rFonts w:cs="Arial"/>
          <w:b/>
          <w:sz w:val="24"/>
        </w:rPr>
        <w:tab/>
      </w:r>
      <w:proofErr w:type="spellStart"/>
      <w:r w:rsidR="00501920" w:rsidRPr="00243ED2">
        <w:rPr>
          <w:rFonts w:cs="Arial"/>
          <w:sz w:val="24"/>
        </w:rPr>
        <w:t>SLI</w:t>
      </w:r>
      <w:proofErr w:type="spellEnd"/>
      <w:r w:rsidR="00501920" w:rsidRPr="00243ED2">
        <w:rPr>
          <w:rFonts w:cs="Arial"/>
          <w:sz w:val="24"/>
        </w:rPr>
        <w:t xml:space="preserve"> No</w:t>
      </w:r>
      <w:r w:rsidR="00394A72">
        <w:rPr>
          <w:rFonts w:cs="Arial"/>
          <w:sz w:val="24"/>
        </w:rPr>
        <w:t>.</w:t>
      </w:r>
      <w:r w:rsidR="00501920" w:rsidRPr="00243ED2">
        <w:rPr>
          <w:rFonts w:cs="Arial"/>
          <w:sz w:val="24"/>
        </w:rPr>
        <w:t xml:space="preserve"> 139, 2015</w:t>
      </w:r>
      <w:bookmarkStart w:id="0" w:name="_GoBack"/>
      <w:bookmarkEnd w:id="0"/>
    </w:p>
    <w:p w:rsidR="00651CC5" w:rsidRPr="00243ED2" w:rsidRDefault="00651CC5" w:rsidP="007F2AFC">
      <w:pPr>
        <w:spacing w:before="240"/>
        <w:rPr>
          <w:rFonts w:cs="Arial"/>
          <w:sz w:val="28"/>
          <w:szCs w:val="28"/>
        </w:rPr>
      </w:pPr>
      <w:r w:rsidRPr="00243ED2">
        <w:rPr>
          <w:rFonts w:cs="Arial"/>
          <w:b/>
          <w:sz w:val="24"/>
        </w:rPr>
        <w:t>Registered:</w:t>
      </w:r>
      <w:r w:rsidRPr="00243ED2">
        <w:rPr>
          <w:rFonts w:cs="Arial"/>
          <w:b/>
          <w:sz w:val="24"/>
        </w:rPr>
        <w:tab/>
      </w:r>
      <w:r w:rsidRPr="00243ED2">
        <w:rPr>
          <w:rFonts w:cs="Arial"/>
          <w:b/>
          <w:sz w:val="24"/>
        </w:rPr>
        <w:tab/>
      </w:r>
      <w:r w:rsidRPr="00243ED2">
        <w:rPr>
          <w:rFonts w:cs="Arial"/>
          <w:b/>
          <w:sz w:val="24"/>
        </w:rPr>
        <w:tab/>
      </w:r>
      <w:r w:rsidRPr="00243ED2">
        <w:rPr>
          <w:rFonts w:cs="Arial"/>
          <w:b/>
          <w:sz w:val="24"/>
        </w:rPr>
        <w:tab/>
      </w:r>
      <w:r w:rsidRPr="00243ED2">
        <w:rPr>
          <w:rFonts w:cs="Arial"/>
          <w:sz w:val="24"/>
        </w:rPr>
        <w:fldChar w:fldCharType="begin"/>
      </w:r>
      <w:r w:rsidRPr="00243ED2">
        <w:rPr>
          <w:rFonts w:cs="Arial"/>
          <w:sz w:val="24"/>
        </w:rPr>
        <w:instrText xml:space="preserve"> IF </w:instrText>
      </w:r>
      <w:r w:rsidRPr="00243ED2">
        <w:rPr>
          <w:rFonts w:cs="Arial"/>
          <w:sz w:val="24"/>
        </w:rPr>
        <w:fldChar w:fldCharType="begin"/>
      </w:r>
      <w:r w:rsidRPr="00243ED2">
        <w:rPr>
          <w:rFonts w:cs="Arial"/>
          <w:sz w:val="24"/>
        </w:rPr>
        <w:instrText xml:space="preserve"> DOCPROPERTY RegisteredDate </w:instrText>
      </w:r>
      <w:r w:rsidRPr="00243ED2">
        <w:rPr>
          <w:rFonts w:cs="Arial"/>
          <w:sz w:val="24"/>
        </w:rPr>
        <w:fldChar w:fldCharType="separate"/>
      </w:r>
      <w:r w:rsidR="00243ED2">
        <w:rPr>
          <w:rFonts w:cs="Arial"/>
          <w:sz w:val="24"/>
        </w:rPr>
        <w:instrText>4/09/2015</w:instrText>
      </w:r>
      <w:r w:rsidRPr="00243ED2">
        <w:rPr>
          <w:rFonts w:cs="Arial"/>
          <w:sz w:val="24"/>
        </w:rPr>
        <w:fldChar w:fldCharType="end"/>
      </w:r>
      <w:r w:rsidRPr="00243ED2">
        <w:rPr>
          <w:rFonts w:cs="Arial"/>
          <w:sz w:val="24"/>
        </w:rPr>
        <w:instrText xml:space="preserve"> = #1/1/1901# "Unknown" </w:instrText>
      </w:r>
      <w:r w:rsidRPr="00243ED2">
        <w:rPr>
          <w:rFonts w:cs="Arial"/>
          <w:sz w:val="24"/>
        </w:rPr>
        <w:fldChar w:fldCharType="begin"/>
      </w:r>
      <w:r w:rsidRPr="00243ED2">
        <w:rPr>
          <w:rFonts w:cs="Arial"/>
          <w:sz w:val="24"/>
        </w:rPr>
        <w:instrText xml:space="preserve"> DOCPROPERTY RegisteredDate \@ "d MMMM yyyy" </w:instrText>
      </w:r>
      <w:r w:rsidRPr="00243ED2">
        <w:rPr>
          <w:rFonts w:cs="Arial"/>
          <w:sz w:val="24"/>
        </w:rPr>
        <w:fldChar w:fldCharType="separate"/>
      </w:r>
      <w:r w:rsidR="00243ED2">
        <w:rPr>
          <w:rFonts w:cs="Arial"/>
          <w:sz w:val="24"/>
        </w:rPr>
        <w:instrText>4 September 2015</w:instrText>
      </w:r>
      <w:r w:rsidRPr="00243ED2">
        <w:rPr>
          <w:rFonts w:cs="Arial"/>
          <w:sz w:val="24"/>
        </w:rPr>
        <w:fldChar w:fldCharType="end"/>
      </w:r>
      <w:r w:rsidRPr="00243ED2">
        <w:rPr>
          <w:rFonts w:cs="Arial"/>
          <w:sz w:val="24"/>
        </w:rPr>
        <w:instrText xml:space="preserve"> \*MERGEFORMAT </w:instrText>
      </w:r>
      <w:r w:rsidRPr="00243ED2">
        <w:rPr>
          <w:rFonts w:cs="Arial"/>
          <w:sz w:val="24"/>
        </w:rPr>
        <w:fldChar w:fldCharType="separate"/>
      </w:r>
      <w:r w:rsidR="00243ED2" w:rsidRPr="00243ED2">
        <w:rPr>
          <w:rFonts w:cs="Arial"/>
          <w:bCs/>
          <w:noProof/>
          <w:sz w:val="24"/>
        </w:rPr>
        <w:t>4</w:t>
      </w:r>
      <w:r w:rsidR="00243ED2">
        <w:rPr>
          <w:rFonts w:cs="Arial"/>
          <w:noProof/>
          <w:sz w:val="24"/>
        </w:rPr>
        <w:t xml:space="preserve"> September 2015</w:t>
      </w:r>
      <w:r w:rsidRPr="00243ED2">
        <w:rPr>
          <w:rFonts w:cs="Arial"/>
          <w:sz w:val="24"/>
        </w:rPr>
        <w:fldChar w:fldCharType="end"/>
      </w:r>
    </w:p>
    <w:p w:rsidR="00651CC5" w:rsidRPr="00243ED2" w:rsidRDefault="00651CC5" w:rsidP="007F2AFC">
      <w:pPr>
        <w:rPr>
          <w:b/>
          <w:szCs w:val="22"/>
        </w:rPr>
      </w:pPr>
    </w:p>
    <w:p w:rsidR="00651CC5" w:rsidRPr="00243ED2" w:rsidRDefault="00651CC5" w:rsidP="002E6798">
      <w:pPr>
        <w:pageBreakBefore/>
        <w:rPr>
          <w:rFonts w:cs="Arial"/>
          <w:b/>
          <w:sz w:val="32"/>
          <w:szCs w:val="32"/>
        </w:rPr>
      </w:pPr>
      <w:r w:rsidRPr="00243ED2">
        <w:rPr>
          <w:rFonts w:cs="Arial"/>
          <w:b/>
          <w:sz w:val="32"/>
          <w:szCs w:val="32"/>
        </w:rPr>
        <w:lastRenderedPageBreak/>
        <w:t>About this compilation</w:t>
      </w:r>
    </w:p>
    <w:p w:rsidR="00651CC5" w:rsidRPr="00243ED2" w:rsidRDefault="00651CC5" w:rsidP="002E6798">
      <w:pPr>
        <w:spacing w:before="240"/>
        <w:rPr>
          <w:rFonts w:cs="Arial"/>
        </w:rPr>
      </w:pPr>
      <w:r w:rsidRPr="00243ED2">
        <w:rPr>
          <w:rFonts w:cs="Arial"/>
          <w:b/>
          <w:szCs w:val="22"/>
        </w:rPr>
        <w:t>This compilation</w:t>
      </w:r>
    </w:p>
    <w:p w:rsidR="00651CC5" w:rsidRPr="00243ED2" w:rsidRDefault="00651CC5" w:rsidP="002E6798">
      <w:pPr>
        <w:spacing w:before="120" w:after="120"/>
        <w:rPr>
          <w:rFonts w:cs="Arial"/>
          <w:szCs w:val="22"/>
        </w:rPr>
      </w:pPr>
      <w:r w:rsidRPr="00243ED2">
        <w:rPr>
          <w:rFonts w:cs="Arial"/>
          <w:szCs w:val="22"/>
        </w:rPr>
        <w:t xml:space="preserve">This is a compilation of the </w:t>
      </w:r>
      <w:r w:rsidRPr="00243ED2">
        <w:rPr>
          <w:rFonts w:cs="Arial"/>
          <w:i/>
          <w:szCs w:val="22"/>
        </w:rPr>
        <w:fldChar w:fldCharType="begin"/>
      </w:r>
      <w:r w:rsidRPr="00243ED2">
        <w:rPr>
          <w:rFonts w:cs="Arial"/>
          <w:i/>
          <w:szCs w:val="22"/>
        </w:rPr>
        <w:instrText xml:space="preserve"> STYLEREF  ShortT </w:instrText>
      </w:r>
      <w:r w:rsidRPr="00243ED2">
        <w:rPr>
          <w:rFonts w:cs="Arial"/>
          <w:i/>
          <w:szCs w:val="22"/>
        </w:rPr>
        <w:fldChar w:fldCharType="separate"/>
      </w:r>
      <w:r w:rsidR="00243ED2">
        <w:rPr>
          <w:rFonts w:cs="Arial"/>
          <w:i/>
          <w:noProof/>
          <w:szCs w:val="22"/>
        </w:rPr>
        <w:t>Telecommunications Regulations 2001</w:t>
      </w:r>
      <w:r w:rsidRPr="00243ED2">
        <w:rPr>
          <w:rFonts w:cs="Arial"/>
          <w:i/>
          <w:szCs w:val="22"/>
        </w:rPr>
        <w:fldChar w:fldCharType="end"/>
      </w:r>
      <w:r w:rsidRPr="00243ED2">
        <w:rPr>
          <w:rFonts w:cs="Arial"/>
          <w:szCs w:val="22"/>
        </w:rPr>
        <w:t xml:space="preserve"> that shows the text of the law as amended and in force on </w:t>
      </w:r>
      <w:r w:rsidRPr="00243ED2">
        <w:rPr>
          <w:rFonts w:cs="Arial"/>
          <w:szCs w:val="22"/>
        </w:rPr>
        <w:fldChar w:fldCharType="begin"/>
      </w:r>
      <w:r w:rsidRPr="00243ED2">
        <w:rPr>
          <w:rFonts w:cs="Arial"/>
          <w:szCs w:val="22"/>
        </w:rPr>
        <w:instrText xml:space="preserve"> DOCPROPERTY StartDate \@ "d MMMM yyyy" </w:instrText>
      </w:r>
      <w:r w:rsidRPr="00243ED2">
        <w:rPr>
          <w:rFonts w:cs="Arial"/>
          <w:szCs w:val="22"/>
        </w:rPr>
        <w:fldChar w:fldCharType="separate"/>
      </w:r>
      <w:r w:rsidR="00243ED2">
        <w:rPr>
          <w:rFonts w:cs="Arial"/>
          <w:szCs w:val="22"/>
        </w:rPr>
        <w:t>21 August 2015</w:t>
      </w:r>
      <w:r w:rsidRPr="00243ED2">
        <w:rPr>
          <w:rFonts w:cs="Arial"/>
          <w:szCs w:val="22"/>
        </w:rPr>
        <w:fldChar w:fldCharType="end"/>
      </w:r>
      <w:r w:rsidRPr="00243ED2">
        <w:rPr>
          <w:rFonts w:cs="Arial"/>
          <w:szCs w:val="22"/>
        </w:rPr>
        <w:t xml:space="preserve"> (the </w:t>
      </w:r>
      <w:r w:rsidRPr="00243ED2">
        <w:rPr>
          <w:rFonts w:cs="Arial"/>
          <w:b/>
          <w:i/>
          <w:szCs w:val="22"/>
        </w:rPr>
        <w:t>compilation date</w:t>
      </w:r>
      <w:r w:rsidRPr="00243ED2">
        <w:rPr>
          <w:rFonts w:cs="Arial"/>
          <w:szCs w:val="22"/>
        </w:rPr>
        <w:t>).</w:t>
      </w:r>
    </w:p>
    <w:p w:rsidR="00651CC5" w:rsidRPr="00243ED2" w:rsidRDefault="00651CC5" w:rsidP="002E6798">
      <w:pPr>
        <w:spacing w:after="120"/>
        <w:rPr>
          <w:rFonts w:cs="Arial"/>
          <w:szCs w:val="22"/>
        </w:rPr>
      </w:pPr>
      <w:r w:rsidRPr="00243ED2">
        <w:rPr>
          <w:rFonts w:cs="Arial"/>
          <w:szCs w:val="22"/>
        </w:rPr>
        <w:t xml:space="preserve">This compilation was prepared on </w:t>
      </w:r>
      <w:r w:rsidRPr="00243ED2">
        <w:rPr>
          <w:rFonts w:cs="Arial"/>
          <w:szCs w:val="22"/>
        </w:rPr>
        <w:fldChar w:fldCharType="begin"/>
      </w:r>
      <w:r w:rsidRPr="00243ED2">
        <w:rPr>
          <w:rFonts w:cs="Arial"/>
          <w:szCs w:val="22"/>
        </w:rPr>
        <w:instrText xml:space="preserve"> DOCPROPERTY PreparedDate \@ "d MMMM yyyy" </w:instrText>
      </w:r>
      <w:r w:rsidRPr="00243ED2">
        <w:rPr>
          <w:rFonts w:cs="Arial"/>
          <w:szCs w:val="22"/>
        </w:rPr>
        <w:fldChar w:fldCharType="separate"/>
      </w:r>
      <w:r w:rsidR="00243ED2">
        <w:rPr>
          <w:rFonts w:cs="Arial"/>
          <w:szCs w:val="22"/>
        </w:rPr>
        <w:t>31 August 2015</w:t>
      </w:r>
      <w:r w:rsidRPr="00243ED2">
        <w:rPr>
          <w:rFonts w:cs="Arial"/>
          <w:szCs w:val="22"/>
        </w:rPr>
        <w:fldChar w:fldCharType="end"/>
      </w:r>
      <w:r w:rsidRPr="00243ED2">
        <w:rPr>
          <w:rFonts w:cs="Arial"/>
          <w:szCs w:val="22"/>
        </w:rPr>
        <w:t>.</w:t>
      </w:r>
    </w:p>
    <w:p w:rsidR="00651CC5" w:rsidRPr="00243ED2" w:rsidRDefault="00651CC5" w:rsidP="002E6798">
      <w:pPr>
        <w:spacing w:after="120"/>
        <w:rPr>
          <w:rFonts w:cs="Arial"/>
          <w:szCs w:val="22"/>
        </w:rPr>
      </w:pPr>
      <w:r w:rsidRPr="00243ED2">
        <w:rPr>
          <w:rFonts w:cs="Arial"/>
          <w:szCs w:val="22"/>
        </w:rPr>
        <w:t xml:space="preserve">The notes at the end of this compilation (the </w:t>
      </w:r>
      <w:r w:rsidRPr="00243ED2">
        <w:rPr>
          <w:rFonts w:cs="Arial"/>
          <w:b/>
          <w:i/>
          <w:szCs w:val="22"/>
        </w:rPr>
        <w:t>endnotes</w:t>
      </w:r>
      <w:r w:rsidRPr="00243ED2">
        <w:rPr>
          <w:rFonts w:cs="Arial"/>
          <w:szCs w:val="22"/>
        </w:rPr>
        <w:t>) include information about amending laws and the amendment history of provisions of the compiled law.</w:t>
      </w:r>
    </w:p>
    <w:p w:rsidR="00651CC5" w:rsidRPr="00243ED2" w:rsidRDefault="00651CC5" w:rsidP="002E6798">
      <w:pPr>
        <w:tabs>
          <w:tab w:val="left" w:pos="5640"/>
        </w:tabs>
        <w:spacing w:before="120" w:after="120"/>
        <w:rPr>
          <w:rFonts w:cs="Arial"/>
          <w:b/>
          <w:szCs w:val="22"/>
        </w:rPr>
      </w:pPr>
      <w:r w:rsidRPr="00243ED2">
        <w:rPr>
          <w:rFonts w:cs="Arial"/>
          <w:b/>
          <w:szCs w:val="22"/>
        </w:rPr>
        <w:t>Uncommenced amendments</w:t>
      </w:r>
    </w:p>
    <w:p w:rsidR="00651CC5" w:rsidRPr="00243ED2" w:rsidRDefault="00651CC5" w:rsidP="002E6798">
      <w:pPr>
        <w:spacing w:after="120"/>
        <w:rPr>
          <w:rFonts w:cs="Arial"/>
          <w:szCs w:val="22"/>
        </w:rPr>
      </w:pPr>
      <w:r w:rsidRPr="00243ED2">
        <w:rPr>
          <w:rFonts w:cs="Arial"/>
          <w:szCs w:val="22"/>
        </w:rPr>
        <w:t>The effect of uncommenced amendments is not shown in the text of the compiled law. Any uncommenced amendments affecting the law are accessible on ComLaw (www.comlaw.gov.au). The details of amendments made up to, but not commenced at, the compilation date are underlined in the endnotes. For more information on any uncommenced amendments, see the series page on ComLaw for the compiled law.</w:t>
      </w:r>
    </w:p>
    <w:p w:rsidR="00651CC5" w:rsidRPr="00243ED2" w:rsidRDefault="00651CC5" w:rsidP="002E6798">
      <w:pPr>
        <w:spacing w:before="120" w:after="120"/>
        <w:rPr>
          <w:rFonts w:cs="Arial"/>
          <w:b/>
          <w:szCs w:val="22"/>
        </w:rPr>
      </w:pPr>
      <w:r w:rsidRPr="00243ED2">
        <w:rPr>
          <w:rFonts w:cs="Arial"/>
          <w:b/>
          <w:szCs w:val="22"/>
        </w:rPr>
        <w:t>Application, saving and transitional provisions for provisions and amendments</w:t>
      </w:r>
    </w:p>
    <w:p w:rsidR="00651CC5" w:rsidRPr="00243ED2" w:rsidRDefault="00651CC5" w:rsidP="002E6798">
      <w:pPr>
        <w:spacing w:after="120"/>
        <w:rPr>
          <w:rFonts w:cs="Arial"/>
          <w:szCs w:val="22"/>
        </w:rPr>
      </w:pPr>
      <w:r w:rsidRPr="00243ED2">
        <w:rPr>
          <w:rFonts w:cs="Arial"/>
          <w:szCs w:val="22"/>
        </w:rPr>
        <w:t>If the operation of a provision or amendment of the compiled law is affected by an application, saving or transitional provision that is not included in this compilation, details are included in the endnotes.</w:t>
      </w:r>
    </w:p>
    <w:p w:rsidR="00651CC5" w:rsidRPr="00243ED2" w:rsidRDefault="00651CC5" w:rsidP="002E6798">
      <w:pPr>
        <w:spacing w:before="120" w:after="120"/>
        <w:rPr>
          <w:rFonts w:cs="Arial"/>
          <w:b/>
          <w:szCs w:val="22"/>
        </w:rPr>
      </w:pPr>
      <w:r w:rsidRPr="00243ED2">
        <w:rPr>
          <w:rFonts w:cs="Arial"/>
          <w:b/>
          <w:szCs w:val="22"/>
        </w:rPr>
        <w:t>Modifications</w:t>
      </w:r>
    </w:p>
    <w:p w:rsidR="00651CC5" w:rsidRPr="00243ED2" w:rsidRDefault="00651CC5" w:rsidP="002E6798">
      <w:pPr>
        <w:spacing w:after="120"/>
        <w:rPr>
          <w:rFonts w:cs="Arial"/>
          <w:szCs w:val="22"/>
        </w:rPr>
      </w:pPr>
      <w:r w:rsidRPr="00243ED2">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ComLaw for the compiled law.</w:t>
      </w:r>
    </w:p>
    <w:p w:rsidR="00651CC5" w:rsidRPr="00243ED2" w:rsidRDefault="00651CC5" w:rsidP="002E6798">
      <w:pPr>
        <w:spacing w:before="80" w:after="120"/>
        <w:rPr>
          <w:rFonts w:cs="Arial"/>
          <w:b/>
          <w:szCs w:val="22"/>
        </w:rPr>
      </w:pPr>
      <w:r w:rsidRPr="00243ED2">
        <w:rPr>
          <w:rFonts w:cs="Arial"/>
          <w:b/>
          <w:szCs w:val="22"/>
        </w:rPr>
        <w:t>Self</w:t>
      </w:r>
      <w:r w:rsidR="00243ED2">
        <w:rPr>
          <w:rFonts w:cs="Arial"/>
          <w:b/>
          <w:szCs w:val="22"/>
        </w:rPr>
        <w:noBreakHyphen/>
      </w:r>
      <w:r w:rsidRPr="00243ED2">
        <w:rPr>
          <w:rFonts w:cs="Arial"/>
          <w:b/>
          <w:szCs w:val="22"/>
        </w:rPr>
        <w:t>repealing provisions</w:t>
      </w:r>
    </w:p>
    <w:p w:rsidR="00651CC5" w:rsidRPr="00243ED2" w:rsidRDefault="00651CC5" w:rsidP="002E6798">
      <w:pPr>
        <w:spacing w:after="120"/>
        <w:rPr>
          <w:rFonts w:cs="Arial"/>
          <w:szCs w:val="22"/>
        </w:rPr>
      </w:pPr>
      <w:r w:rsidRPr="00243ED2">
        <w:rPr>
          <w:rFonts w:cs="Arial"/>
          <w:szCs w:val="22"/>
        </w:rPr>
        <w:t>If a provision of the compiled law has been repealed in accordance with a provision of the law, details are included in the endnotes.</w:t>
      </w:r>
    </w:p>
    <w:p w:rsidR="00651CC5" w:rsidRPr="003A4363" w:rsidRDefault="00651CC5" w:rsidP="005838A0">
      <w:pPr>
        <w:pStyle w:val="Header"/>
        <w:tabs>
          <w:tab w:val="clear" w:pos="4150"/>
          <w:tab w:val="clear" w:pos="8307"/>
        </w:tabs>
      </w:pPr>
      <w:r w:rsidRPr="003A4363">
        <w:rPr>
          <w:rStyle w:val="CharChapNo"/>
        </w:rPr>
        <w:t xml:space="preserve"> </w:t>
      </w:r>
      <w:r w:rsidRPr="003A4363">
        <w:rPr>
          <w:rStyle w:val="CharChapText"/>
        </w:rPr>
        <w:t xml:space="preserve"> </w:t>
      </w:r>
    </w:p>
    <w:p w:rsidR="00651CC5" w:rsidRPr="003A4363" w:rsidRDefault="00651CC5" w:rsidP="005838A0">
      <w:pPr>
        <w:pStyle w:val="Header"/>
        <w:tabs>
          <w:tab w:val="clear" w:pos="4150"/>
          <w:tab w:val="clear" w:pos="8307"/>
        </w:tabs>
      </w:pPr>
      <w:r w:rsidRPr="003A4363">
        <w:rPr>
          <w:rStyle w:val="CharPartNo"/>
        </w:rPr>
        <w:t xml:space="preserve"> </w:t>
      </w:r>
      <w:r w:rsidRPr="003A4363">
        <w:rPr>
          <w:rStyle w:val="CharPartText"/>
        </w:rPr>
        <w:t xml:space="preserve"> </w:t>
      </w:r>
    </w:p>
    <w:p w:rsidR="00651CC5" w:rsidRPr="003A4363" w:rsidRDefault="00651CC5" w:rsidP="005838A0">
      <w:pPr>
        <w:pStyle w:val="Header"/>
        <w:tabs>
          <w:tab w:val="clear" w:pos="4150"/>
          <w:tab w:val="clear" w:pos="8307"/>
        </w:tabs>
      </w:pPr>
      <w:r w:rsidRPr="003A4363">
        <w:rPr>
          <w:rStyle w:val="CharDivNo"/>
        </w:rPr>
        <w:t xml:space="preserve"> </w:t>
      </w:r>
      <w:r w:rsidRPr="003A4363">
        <w:rPr>
          <w:rStyle w:val="CharDivText"/>
        </w:rPr>
        <w:t xml:space="preserve"> </w:t>
      </w:r>
    </w:p>
    <w:p w:rsidR="00651CC5" w:rsidRPr="00243ED2" w:rsidRDefault="00651CC5" w:rsidP="005838A0">
      <w:pPr>
        <w:sectPr w:rsidR="00651CC5" w:rsidRPr="00243ED2" w:rsidSect="00005070">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331BA8" w:rsidRPr="00243ED2" w:rsidRDefault="00331BA8" w:rsidP="0082647E">
      <w:pPr>
        <w:rPr>
          <w:sz w:val="36"/>
        </w:rPr>
      </w:pPr>
      <w:r w:rsidRPr="00243ED2">
        <w:rPr>
          <w:sz w:val="36"/>
        </w:rPr>
        <w:lastRenderedPageBreak/>
        <w:t>Contents</w:t>
      </w:r>
    </w:p>
    <w:p w:rsidR="00DA0AD8" w:rsidRDefault="00B573F7">
      <w:pPr>
        <w:pStyle w:val="TOC2"/>
        <w:rPr>
          <w:rFonts w:asciiTheme="minorHAnsi" w:eastAsiaTheme="minorEastAsia" w:hAnsiTheme="minorHAnsi" w:cstheme="minorBidi"/>
          <w:b w:val="0"/>
          <w:noProof/>
          <w:kern w:val="0"/>
          <w:sz w:val="22"/>
          <w:szCs w:val="22"/>
        </w:rPr>
      </w:pPr>
      <w:r w:rsidRPr="00DA0AD8">
        <w:fldChar w:fldCharType="begin"/>
      </w:r>
      <w:r w:rsidRPr="00243ED2">
        <w:instrText xml:space="preserve"> TOC \o "1-9" </w:instrText>
      </w:r>
      <w:r w:rsidRPr="00DA0AD8">
        <w:fldChar w:fldCharType="separate"/>
      </w:r>
      <w:r w:rsidR="00DA0AD8">
        <w:rPr>
          <w:noProof/>
        </w:rPr>
        <w:t>Part 1—Preliminary</w:t>
      </w:r>
      <w:r w:rsidR="00DA0AD8" w:rsidRPr="00DA0AD8">
        <w:rPr>
          <w:b w:val="0"/>
          <w:noProof/>
          <w:sz w:val="18"/>
        </w:rPr>
        <w:tab/>
      </w:r>
      <w:r w:rsidR="00DA0AD8" w:rsidRPr="00DA0AD8">
        <w:rPr>
          <w:b w:val="0"/>
          <w:noProof/>
          <w:sz w:val="18"/>
        </w:rPr>
        <w:fldChar w:fldCharType="begin"/>
      </w:r>
      <w:r w:rsidR="00DA0AD8" w:rsidRPr="00DA0AD8">
        <w:rPr>
          <w:b w:val="0"/>
          <w:noProof/>
          <w:sz w:val="18"/>
        </w:rPr>
        <w:instrText xml:space="preserve"> PAGEREF _Toc429130995 \h </w:instrText>
      </w:r>
      <w:r w:rsidR="00DA0AD8" w:rsidRPr="00DA0AD8">
        <w:rPr>
          <w:b w:val="0"/>
          <w:noProof/>
          <w:sz w:val="18"/>
        </w:rPr>
      </w:r>
      <w:r w:rsidR="00DA0AD8" w:rsidRPr="00DA0AD8">
        <w:rPr>
          <w:b w:val="0"/>
          <w:noProof/>
          <w:sz w:val="18"/>
        </w:rPr>
        <w:fldChar w:fldCharType="separate"/>
      </w:r>
      <w:r w:rsidR="00DA0AD8" w:rsidRPr="00DA0AD8">
        <w:rPr>
          <w:b w:val="0"/>
          <w:noProof/>
          <w:sz w:val="18"/>
        </w:rPr>
        <w:t>1</w:t>
      </w:r>
      <w:r w:rsidR="00DA0AD8" w:rsidRPr="00DA0AD8">
        <w:rPr>
          <w:b w:val="0"/>
          <w:noProof/>
          <w:sz w:val="18"/>
        </w:rPr>
        <w:fldChar w:fldCharType="end"/>
      </w:r>
    </w:p>
    <w:p w:rsidR="00DA0AD8" w:rsidRDefault="00DA0AD8">
      <w:pPr>
        <w:pStyle w:val="TOC5"/>
        <w:rPr>
          <w:rFonts w:asciiTheme="minorHAnsi" w:eastAsiaTheme="minorEastAsia" w:hAnsiTheme="minorHAnsi" w:cstheme="minorBidi"/>
          <w:noProof/>
          <w:kern w:val="0"/>
          <w:sz w:val="22"/>
          <w:szCs w:val="22"/>
        </w:rPr>
      </w:pPr>
      <w:r>
        <w:rPr>
          <w:noProof/>
        </w:rPr>
        <w:t>1.1</w:t>
      </w:r>
      <w:r>
        <w:rPr>
          <w:noProof/>
        </w:rPr>
        <w:tab/>
        <w:t>Name of Regulations</w:t>
      </w:r>
      <w:r w:rsidRPr="00DA0AD8">
        <w:rPr>
          <w:noProof/>
        </w:rPr>
        <w:tab/>
      </w:r>
      <w:r w:rsidRPr="00DA0AD8">
        <w:rPr>
          <w:noProof/>
        </w:rPr>
        <w:fldChar w:fldCharType="begin"/>
      </w:r>
      <w:r w:rsidRPr="00DA0AD8">
        <w:rPr>
          <w:noProof/>
        </w:rPr>
        <w:instrText xml:space="preserve"> PAGEREF _Toc429130996 \h </w:instrText>
      </w:r>
      <w:r w:rsidRPr="00DA0AD8">
        <w:rPr>
          <w:noProof/>
        </w:rPr>
      </w:r>
      <w:r w:rsidRPr="00DA0AD8">
        <w:rPr>
          <w:noProof/>
        </w:rPr>
        <w:fldChar w:fldCharType="separate"/>
      </w:r>
      <w:r w:rsidRPr="00DA0AD8">
        <w:rPr>
          <w:noProof/>
        </w:rPr>
        <w:t>1</w:t>
      </w:r>
      <w:r w:rsidRPr="00DA0AD8">
        <w:rPr>
          <w:noProof/>
        </w:rPr>
        <w:fldChar w:fldCharType="end"/>
      </w:r>
    </w:p>
    <w:p w:rsidR="00DA0AD8" w:rsidRDefault="00DA0AD8">
      <w:pPr>
        <w:pStyle w:val="TOC5"/>
        <w:rPr>
          <w:rFonts w:asciiTheme="minorHAnsi" w:eastAsiaTheme="minorEastAsia" w:hAnsiTheme="minorHAnsi" w:cstheme="minorBidi"/>
          <w:noProof/>
          <w:kern w:val="0"/>
          <w:sz w:val="22"/>
          <w:szCs w:val="22"/>
        </w:rPr>
      </w:pPr>
      <w:r>
        <w:rPr>
          <w:noProof/>
        </w:rPr>
        <w:t>1.2</w:t>
      </w:r>
      <w:r>
        <w:rPr>
          <w:noProof/>
        </w:rPr>
        <w:tab/>
        <w:t>Commencement</w:t>
      </w:r>
      <w:r w:rsidRPr="00DA0AD8">
        <w:rPr>
          <w:noProof/>
        </w:rPr>
        <w:tab/>
      </w:r>
      <w:r w:rsidRPr="00DA0AD8">
        <w:rPr>
          <w:noProof/>
        </w:rPr>
        <w:fldChar w:fldCharType="begin"/>
      </w:r>
      <w:r w:rsidRPr="00DA0AD8">
        <w:rPr>
          <w:noProof/>
        </w:rPr>
        <w:instrText xml:space="preserve"> PAGEREF _Toc429130997 \h </w:instrText>
      </w:r>
      <w:r w:rsidRPr="00DA0AD8">
        <w:rPr>
          <w:noProof/>
        </w:rPr>
      </w:r>
      <w:r w:rsidRPr="00DA0AD8">
        <w:rPr>
          <w:noProof/>
        </w:rPr>
        <w:fldChar w:fldCharType="separate"/>
      </w:r>
      <w:r w:rsidRPr="00DA0AD8">
        <w:rPr>
          <w:noProof/>
        </w:rPr>
        <w:t>1</w:t>
      </w:r>
      <w:r w:rsidRPr="00DA0AD8">
        <w:rPr>
          <w:noProof/>
        </w:rPr>
        <w:fldChar w:fldCharType="end"/>
      </w:r>
    </w:p>
    <w:p w:rsidR="00DA0AD8" w:rsidRDefault="00DA0AD8">
      <w:pPr>
        <w:pStyle w:val="TOC5"/>
        <w:rPr>
          <w:rFonts w:asciiTheme="minorHAnsi" w:eastAsiaTheme="minorEastAsia" w:hAnsiTheme="minorHAnsi" w:cstheme="minorBidi"/>
          <w:noProof/>
          <w:kern w:val="0"/>
          <w:sz w:val="22"/>
          <w:szCs w:val="22"/>
        </w:rPr>
      </w:pPr>
      <w:r>
        <w:rPr>
          <w:noProof/>
        </w:rPr>
        <w:t>1.7</w:t>
      </w:r>
      <w:r>
        <w:rPr>
          <w:noProof/>
        </w:rPr>
        <w:tab/>
        <w:t>Definitions</w:t>
      </w:r>
      <w:r w:rsidRPr="00DA0AD8">
        <w:rPr>
          <w:noProof/>
        </w:rPr>
        <w:tab/>
      </w:r>
      <w:r w:rsidRPr="00DA0AD8">
        <w:rPr>
          <w:noProof/>
        </w:rPr>
        <w:fldChar w:fldCharType="begin"/>
      </w:r>
      <w:r w:rsidRPr="00DA0AD8">
        <w:rPr>
          <w:noProof/>
        </w:rPr>
        <w:instrText xml:space="preserve"> PAGEREF _Toc429130998 \h </w:instrText>
      </w:r>
      <w:r w:rsidRPr="00DA0AD8">
        <w:rPr>
          <w:noProof/>
        </w:rPr>
      </w:r>
      <w:r w:rsidRPr="00DA0AD8">
        <w:rPr>
          <w:noProof/>
        </w:rPr>
        <w:fldChar w:fldCharType="separate"/>
      </w:r>
      <w:r w:rsidRPr="00DA0AD8">
        <w:rPr>
          <w:noProof/>
        </w:rPr>
        <w:t>1</w:t>
      </w:r>
      <w:r w:rsidRPr="00DA0AD8">
        <w:rPr>
          <w:noProof/>
        </w:rPr>
        <w:fldChar w:fldCharType="end"/>
      </w:r>
    </w:p>
    <w:p w:rsidR="00DA0AD8" w:rsidRDefault="00DA0AD8">
      <w:pPr>
        <w:pStyle w:val="TOC2"/>
        <w:rPr>
          <w:rFonts w:asciiTheme="minorHAnsi" w:eastAsiaTheme="minorEastAsia" w:hAnsiTheme="minorHAnsi" w:cstheme="minorBidi"/>
          <w:b w:val="0"/>
          <w:noProof/>
          <w:kern w:val="0"/>
          <w:sz w:val="22"/>
          <w:szCs w:val="22"/>
        </w:rPr>
      </w:pPr>
      <w:r>
        <w:rPr>
          <w:noProof/>
        </w:rPr>
        <w:t>Part 2—Network units</w:t>
      </w:r>
      <w:r w:rsidRPr="00DA0AD8">
        <w:rPr>
          <w:b w:val="0"/>
          <w:noProof/>
          <w:sz w:val="18"/>
        </w:rPr>
        <w:tab/>
      </w:r>
      <w:r w:rsidRPr="00DA0AD8">
        <w:rPr>
          <w:b w:val="0"/>
          <w:noProof/>
          <w:sz w:val="18"/>
        </w:rPr>
        <w:fldChar w:fldCharType="begin"/>
      </w:r>
      <w:r w:rsidRPr="00DA0AD8">
        <w:rPr>
          <w:b w:val="0"/>
          <w:noProof/>
          <w:sz w:val="18"/>
        </w:rPr>
        <w:instrText xml:space="preserve"> PAGEREF _Toc429130999 \h </w:instrText>
      </w:r>
      <w:r w:rsidRPr="00DA0AD8">
        <w:rPr>
          <w:b w:val="0"/>
          <w:noProof/>
          <w:sz w:val="18"/>
        </w:rPr>
      </w:r>
      <w:r w:rsidRPr="00DA0AD8">
        <w:rPr>
          <w:b w:val="0"/>
          <w:noProof/>
          <w:sz w:val="18"/>
        </w:rPr>
        <w:fldChar w:fldCharType="separate"/>
      </w:r>
      <w:r w:rsidRPr="00DA0AD8">
        <w:rPr>
          <w:b w:val="0"/>
          <w:noProof/>
          <w:sz w:val="18"/>
        </w:rPr>
        <w:t>2</w:t>
      </w:r>
      <w:r w:rsidRPr="00DA0AD8">
        <w:rPr>
          <w:b w:val="0"/>
          <w:noProof/>
          <w:sz w:val="18"/>
        </w:rPr>
        <w:fldChar w:fldCharType="end"/>
      </w:r>
    </w:p>
    <w:p w:rsidR="00DA0AD8" w:rsidRDefault="00DA0AD8">
      <w:pPr>
        <w:pStyle w:val="TOC2"/>
        <w:rPr>
          <w:rFonts w:asciiTheme="minorHAnsi" w:eastAsiaTheme="minorEastAsia" w:hAnsiTheme="minorHAnsi" w:cstheme="minorBidi"/>
          <w:b w:val="0"/>
          <w:noProof/>
          <w:kern w:val="0"/>
          <w:sz w:val="22"/>
          <w:szCs w:val="22"/>
        </w:rPr>
      </w:pPr>
      <w:r>
        <w:rPr>
          <w:noProof/>
        </w:rPr>
        <w:t>Part 3—Service provider determinations</w:t>
      </w:r>
      <w:r w:rsidRPr="00DA0AD8">
        <w:rPr>
          <w:b w:val="0"/>
          <w:noProof/>
          <w:sz w:val="18"/>
        </w:rPr>
        <w:tab/>
      </w:r>
      <w:r w:rsidRPr="00DA0AD8">
        <w:rPr>
          <w:b w:val="0"/>
          <w:noProof/>
          <w:sz w:val="18"/>
        </w:rPr>
        <w:fldChar w:fldCharType="begin"/>
      </w:r>
      <w:r w:rsidRPr="00DA0AD8">
        <w:rPr>
          <w:b w:val="0"/>
          <w:noProof/>
          <w:sz w:val="18"/>
        </w:rPr>
        <w:instrText xml:space="preserve"> PAGEREF _Toc429131000 \h </w:instrText>
      </w:r>
      <w:r w:rsidRPr="00DA0AD8">
        <w:rPr>
          <w:b w:val="0"/>
          <w:noProof/>
          <w:sz w:val="18"/>
        </w:rPr>
      </w:r>
      <w:r w:rsidRPr="00DA0AD8">
        <w:rPr>
          <w:b w:val="0"/>
          <w:noProof/>
          <w:sz w:val="18"/>
        </w:rPr>
        <w:fldChar w:fldCharType="separate"/>
      </w:r>
      <w:r w:rsidRPr="00DA0AD8">
        <w:rPr>
          <w:b w:val="0"/>
          <w:noProof/>
          <w:sz w:val="18"/>
        </w:rPr>
        <w:t>3</w:t>
      </w:r>
      <w:r w:rsidRPr="00DA0AD8">
        <w:rPr>
          <w:b w:val="0"/>
          <w:noProof/>
          <w:sz w:val="18"/>
        </w:rPr>
        <w:fldChar w:fldCharType="end"/>
      </w:r>
    </w:p>
    <w:p w:rsidR="00DA0AD8" w:rsidRDefault="00DA0AD8">
      <w:pPr>
        <w:pStyle w:val="TOC3"/>
        <w:rPr>
          <w:rFonts w:asciiTheme="minorHAnsi" w:eastAsiaTheme="minorEastAsia" w:hAnsiTheme="minorHAnsi" w:cstheme="minorBidi"/>
          <w:b w:val="0"/>
          <w:noProof/>
          <w:kern w:val="0"/>
          <w:szCs w:val="22"/>
        </w:rPr>
      </w:pPr>
      <w:r>
        <w:rPr>
          <w:noProof/>
        </w:rPr>
        <w:t>Division 3.1—Preliminary</w:t>
      </w:r>
      <w:r w:rsidRPr="00DA0AD8">
        <w:rPr>
          <w:b w:val="0"/>
          <w:noProof/>
          <w:sz w:val="18"/>
        </w:rPr>
        <w:tab/>
      </w:r>
      <w:r w:rsidRPr="00DA0AD8">
        <w:rPr>
          <w:b w:val="0"/>
          <w:noProof/>
          <w:sz w:val="18"/>
        </w:rPr>
        <w:fldChar w:fldCharType="begin"/>
      </w:r>
      <w:r w:rsidRPr="00DA0AD8">
        <w:rPr>
          <w:b w:val="0"/>
          <w:noProof/>
          <w:sz w:val="18"/>
        </w:rPr>
        <w:instrText xml:space="preserve"> PAGEREF _Toc429131001 \h </w:instrText>
      </w:r>
      <w:r w:rsidRPr="00DA0AD8">
        <w:rPr>
          <w:b w:val="0"/>
          <w:noProof/>
          <w:sz w:val="18"/>
        </w:rPr>
      </w:r>
      <w:r w:rsidRPr="00DA0AD8">
        <w:rPr>
          <w:b w:val="0"/>
          <w:noProof/>
          <w:sz w:val="18"/>
        </w:rPr>
        <w:fldChar w:fldCharType="separate"/>
      </w:r>
      <w:r w:rsidRPr="00DA0AD8">
        <w:rPr>
          <w:b w:val="0"/>
          <w:noProof/>
          <w:sz w:val="18"/>
        </w:rPr>
        <w:t>3</w:t>
      </w:r>
      <w:r w:rsidRPr="00DA0AD8">
        <w:rPr>
          <w:b w:val="0"/>
          <w:noProof/>
          <w:sz w:val="18"/>
        </w:rPr>
        <w:fldChar w:fldCharType="end"/>
      </w:r>
    </w:p>
    <w:p w:rsidR="00DA0AD8" w:rsidRDefault="00DA0AD8">
      <w:pPr>
        <w:pStyle w:val="TOC5"/>
        <w:rPr>
          <w:rFonts w:asciiTheme="minorHAnsi" w:eastAsiaTheme="minorEastAsia" w:hAnsiTheme="minorHAnsi" w:cstheme="minorBidi"/>
          <w:noProof/>
          <w:kern w:val="0"/>
          <w:sz w:val="22"/>
          <w:szCs w:val="22"/>
        </w:rPr>
      </w:pPr>
      <w:r>
        <w:rPr>
          <w:noProof/>
        </w:rPr>
        <w:t>3.1</w:t>
      </w:r>
      <w:r>
        <w:rPr>
          <w:noProof/>
        </w:rPr>
        <w:tab/>
        <w:t>Purpose of Part</w:t>
      </w:r>
      <w:r w:rsidRPr="00DA0AD8">
        <w:rPr>
          <w:noProof/>
        </w:rPr>
        <w:tab/>
      </w:r>
      <w:r w:rsidRPr="00DA0AD8">
        <w:rPr>
          <w:noProof/>
        </w:rPr>
        <w:fldChar w:fldCharType="begin"/>
      </w:r>
      <w:r w:rsidRPr="00DA0AD8">
        <w:rPr>
          <w:noProof/>
        </w:rPr>
        <w:instrText xml:space="preserve"> PAGEREF _Toc429131002 \h </w:instrText>
      </w:r>
      <w:r w:rsidRPr="00DA0AD8">
        <w:rPr>
          <w:noProof/>
        </w:rPr>
      </w:r>
      <w:r w:rsidRPr="00DA0AD8">
        <w:rPr>
          <w:noProof/>
        </w:rPr>
        <w:fldChar w:fldCharType="separate"/>
      </w:r>
      <w:r w:rsidRPr="00DA0AD8">
        <w:rPr>
          <w:noProof/>
        </w:rPr>
        <w:t>3</w:t>
      </w:r>
      <w:r w:rsidRPr="00DA0AD8">
        <w:rPr>
          <w:noProof/>
        </w:rPr>
        <w:fldChar w:fldCharType="end"/>
      </w:r>
    </w:p>
    <w:p w:rsidR="00DA0AD8" w:rsidRDefault="00DA0AD8">
      <w:pPr>
        <w:pStyle w:val="TOC3"/>
        <w:rPr>
          <w:rFonts w:asciiTheme="minorHAnsi" w:eastAsiaTheme="minorEastAsia" w:hAnsiTheme="minorHAnsi" w:cstheme="minorBidi"/>
          <w:b w:val="0"/>
          <w:noProof/>
          <w:kern w:val="0"/>
          <w:szCs w:val="22"/>
        </w:rPr>
      </w:pPr>
      <w:r>
        <w:rPr>
          <w:noProof/>
        </w:rPr>
        <w:t>Division 3.2—Prepaid mobile carriage services</w:t>
      </w:r>
      <w:r w:rsidRPr="00DA0AD8">
        <w:rPr>
          <w:b w:val="0"/>
          <w:noProof/>
          <w:sz w:val="18"/>
        </w:rPr>
        <w:tab/>
      </w:r>
      <w:r w:rsidRPr="00DA0AD8">
        <w:rPr>
          <w:b w:val="0"/>
          <w:noProof/>
          <w:sz w:val="18"/>
        </w:rPr>
        <w:fldChar w:fldCharType="begin"/>
      </w:r>
      <w:r w:rsidRPr="00DA0AD8">
        <w:rPr>
          <w:b w:val="0"/>
          <w:noProof/>
          <w:sz w:val="18"/>
        </w:rPr>
        <w:instrText xml:space="preserve"> PAGEREF _Toc429131003 \h </w:instrText>
      </w:r>
      <w:r w:rsidRPr="00DA0AD8">
        <w:rPr>
          <w:b w:val="0"/>
          <w:noProof/>
          <w:sz w:val="18"/>
        </w:rPr>
      </w:r>
      <w:r w:rsidRPr="00DA0AD8">
        <w:rPr>
          <w:b w:val="0"/>
          <w:noProof/>
          <w:sz w:val="18"/>
        </w:rPr>
        <w:fldChar w:fldCharType="separate"/>
      </w:r>
      <w:r w:rsidRPr="00DA0AD8">
        <w:rPr>
          <w:b w:val="0"/>
          <w:noProof/>
          <w:sz w:val="18"/>
        </w:rPr>
        <w:t>3</w:t>
      </w:r>
      <w:r w:rsidRPr="00DA0AD8">
        <w:rPr>
          <w:b w:val="0"/>
          <w:noProof/>
          <w:sz w:val="18"/>
        </w:rPr>
        <w:fldChar w:fldCharType="end"/>
      </w:r>
    </w:p>
    <w:p w:rsidR="00DA0AD8" w:rsidRDefault="00DA0AD8">
      <w:pPr>
        <w:pStyle w:val="TOC5"/>
        <w:rPr>
          <w:rFonts w:asciiTheme="minorHAnsi" w:eastAsiaTheme="minorEastAsia" w:hAnsiTheme="minorHAnsi" w:cstheme="minorBidi"/>
          <w:noProof/>
          <w:kern w:val="0"/>
          <w:sz w:val="22"/>
          <w:szCs w:val="22"/>
        </w:rPr>
      </w:pPr>
      <w:r>
        <w:rPr>
          <w:noProof/>
        </w:rPr>
        <w:t>3.2</w:t>
      </w:r>
      <w:r>
        <w:rPr>
          <w:noProof/>
        </w:rPr>
        <w:tab/>
        <w:t>Prepaid mobile carriage services</w:t>
      </w:r>
      <w:r w:rsidRPr="00DA0AD8">
        <w:rPr>
          <w:noProof/>
        </w:rPr>
        <w:tab/>
      </w:r>
      <w:r w:rsidRPr="00DA0AD8">
        <w:rPr>
          <w:noProof/>
        </w:rPr>
        <w:fldChar w:fldCharType="begin"/>
      </w:r>
      <w:r w:rsidRPr="00DA0AD8">
        <w:rPr>
          <w:noProof/>
        </w:rPr>
        <w:instrText xml:space="preserve"> PAGEREF _Toc429131004 \h </w:instrText>
      </w:r>
      <w:r w:rsidRPr="00DA0AD8">
        <w:rPr>
          <w:noProof/>
        </w:rPr>
      </w:r>
      <w:r w:rsidRPr="00DA0AD8">
        <w:rPr>
          <w:noProof/>
        </w:rPr>
        <w:fldChar w:fldCharType="separate"/>
      </w:r>
      <w:r w:rsidRPr="00DA0AD8">
        <w:rPr>
          <w:noProof/>
        </w:rPr>
        <w:t>3</w:t>
      </w:r>
      <w:r w:rsidRPr="00DA0AD8">
        <w:rPr>
          <w:noProof/>
        </w:rPr>
        <w:fldChar w:fldCharType="end"/>
      </w:r>
    </w:p>
    <w:p w:rsidR="00DA0AD8" w:rsidRDefault="00DA0AD8">
      <w:pPr>
        <w:pStyle w:val="TOC3"/>
        <w:rPr>
          <w:rFonts w:asciiTheme="minorHAnsi" w:eastAsiaTheme="minorEastAsia" w:hAnsiTheme="minorHAnsi" w:cstheme="minorBidi"/>
          <w:b w:val="0"/>
          <w:noProof/>
          <w:kern w:val="0"/>
          <w:szCs w:val="22"/>
        </w:rPr>
      </w:pPr>
      <w:r>
        <w:rPr>
          <w:noProof/>
        </w:rPr>
        <w:t>Division 3.3—Premium services</w:t>
      </w:r>
      <w:r w:rsidRPr="00DA0AD8">
        <w:rPr>
          <w:b w:val="0"/>
          <w:noProof/>
          <w:sz w:val="18"/>
        </w:rPr>
        <w:tab/>
      </w:r>
      <w:r w:rsidRPr="00DA0AD8">
        <w:rPr>
          <w:b w:val="0"/>
          <w:noProof/>
          <w:sz w:val="18"/>
        </w:rPr>
        <w:fldChar w:fldCharType="begin"/>
      </w:r>
      <w:r w:rsidRPr="00DA0AD8">
        <w:rPr>
          <w:b w:val="0"/>
          <w:noProof/>
          <w:sz w:val="18"/>
        </w:rPr>
        <w:instrText xml:space="preserve"> PAGEREF _Toc429131005 \h </w:instrText>
      </w:r>
      <w:r w:rsidRPr="00DA0AD8">
        <w:rPr>
          <w:b w:val="0"/>
          <w:noProof/>
          <w:sz w:val="18"/>
        </w:rPr>
      </w:r>
      <w:r w:rsidRPr="00DA0AD8">
        <w:rPr>
          <w:b w:val="0"/>
          <w:noProof/>
          <w:sz w:val="18"/>
        </w:rPr>
        <w:fldChar w:fldCharType="separate"/>
      </w:r>
      <w:r w:rsidRPr="00DA0AD8">
        <w:rPr>
          <w:b w:val="0"/>
          <w:noProof/>
          <w:sz w:val="18"/>
        </w:rPr>
        <w:t>6</w:t>
      </w:r>
      <w:r w:rsidRPr="00DA0AD8">
        <w:rPr>
          <w:b w:val="0"/>
          <w:noProof/>
          <w:sz w:val="18"/>
        </w:rPr>
        <w:fldChar w:fldCharType="end"/>
      </w:r>
    </w:p>
    <w:p w:rsidR="00DA0AD8" w:rsidRDefault="00DA0AD8">
      <w:pPr>
        <w:pStyle w:val="TOC5"/>
        <w:rPr>
          <w:rFonts w:asciiTheme="minorHAnsi" w:eastAsiaTheme="minorEastAsia" w:hAnsiTheme="minorHAnsi" w:cstheme="minorBidi"/>
          <w:noProof/>
          <w:kern w:val="0"/>
          <w:sz w:val="22"/>
          <w:szCs w:val="22"/>
        </w:rPr>
      </w:pPr>
      <w:r>
        <w:rPr>
          <w:noProof/>
        </w:rPr>
        <w:t>3.12</w:t>
      </w:r>
      <w:r>
        <w:rPr>
          <w:noProof/>
        </w:rPr>
        <w:tab/>
        <w:t>Service provider determination for premium services</w:t>
      </w:r>
      <w:r w:rsidRPr="00DA0AD8">
        <w:rPr>
          <w:noProof/>
        </w:rPr>
        <w:tab/>
      </w:r>
      <w:r w:rsidRPr="00DA0AD8">
        <w:rPr>
          <w:noProof/>
        </w:rPr>
        <w:fldChar w:fldCharType="begin"/>
      </w:r>
      <w:r w:rsidRPr="00DA0AD8">
        <w:rPr>
          <w:noProof/>
        </w:rPr>
        <w:instrText xml:space="preserve"> PAGEREF _Toc429131006 \h </w:instrText>
      </w:r>
      <w:r w:rsidRPr="00DA0AD8">
        <w:rPr>
          <w:noProof/>
        </w:rPr>
      </w:r>
      <w:r w:rsidRPr="00DA0AD8">
        <w:rPr>
          <w:noProof/>
        </w:rPr>
        <w:fldChar w:fldCharType="separate"/>
      </w:r>
      <w:r w:rsidRPr="00DA0AD8">
        <w:rPr>
          <w:noProof/>
        </w:rPr>
        <w:t>6</w:t>
      </w:r>
      <w:r w:rsidRPr="00DA0AD8">
        <w:rPr>
          <w:noProof/>
        </w:rPr>
        <w:fldChar w:fldCharType="end"/>
      </w:r>
    </w:p>
    <w:p w:rsidR="00DA0AD8" w:rsidRDefault="00DA0AD8">
      <w:pPr>
        <w:pStyle w:val="TOC3"/>
        <w:rPr>
          <w:rFonts w:asciiTheme="minorHAnsi" w:eastAsiaTheme="minorEastAsia" w:hAnsiTheme="minorHAnsi" w:cstheme="minorBidi"/>
          <w:b w:val="0"/>
          <w:noProof/>
          <w:kern w:val="0"/>
          <w:szCs w:val="22"/>
        </w:rPr>
      </w:pPr>
      <w:r>
        <w:rPr>
          <w:noProof/>
        </w:rPr>
        <w:t>Division 3.4—Fixed or mobile voice or data carriage services</w:t>
      </w:r>
      <w:r w:rsidRPr="00DA0AD8">
        <w:rPr>
          <w:b w:val="0"/>
          <w:noProof/>
          <w:sz w:val="18"/>
        </w:rPr>
        <w:tab/>
      </w:r>
      <w:r w:rsidRPr="00DA0AD8">
        <w:rPr>
          <w:b w:val="0"/>
          <w:noProof/>
          <w:sz w:val="18"/>
        </w:rPr>
        <w:fldChar w:fldCharType="begin"/>
      </w:r>
      <w:r w:rsidRPr="00DA0AD8">
        <w:rPr>
          <w:b w:val="0"/>
          <w:noProof/>
          <w:sz w:val="18"/>
        </w:rPr>
        <w:instrText xml:space="preserve"> PAGEREF _Toc429131007 \h </w:instrText>
      </w:r>
      <w:r w:rsidRPr="00DA0AD8">
        <w:rPr>
          <w:b w:val="0"/>
          <w:noProof/>
          <w:sz w:val="18"/>
        </w:rPr>
      </w:r>
      <w:r w:rsidRPr="00DA0AD8">
        <w:rPr>
          <w:b w:val="0"/>
          <w:noProof/>
          <w:sz w:val="18"/>
        </w:rPr>
        <w:fldChar w:fldCharType="separate"/>
      </w:r>
      <w:r w:rsidRPr="00DA0AD8">
        <w:rPr>
          <w:b w:val="0"/>
          <w:noProof/>
          <w:sz w:val="18"/>
        </w:rPr>
        <w:t>8</w:t>
      </w:r>
      <w:r w:rsidRPr="00DA0AD8">
        <w:rPr>
          <w:b w:val="0"/>
          <w:noProof/>
          <w:sz w:val="18"/>
        </w:rPr>
        <w:fldChar w:fldCharType="end"/>
      </w:r>
    </w:p>
    <w:p w:rsidR="00DA0AD8" w:rsidRDefault="00DA0AD8">
      <w:pPr>
        <w:pStyle w:val="TOC5"/>
        <w:rPr>
          <w:rFonts w:asciiTheme="minorHAnsi" w:eastAsiaTheme="minorEastAsia" w:hAnsiTheme="minorHAnsi" w:cstheme="minorBidi"/>
          <w:noProof/>
          <w:kern w:val="0"/>
          <w:sz w:val="22"/>
          <w:szCs w:val="22"/>
        </w:rPr>
      </w:pPr>
      <w:r>
        <w:rPr>
          <w:noProof/>
        </w:rPr>
        <w:t>3.13</w:t>
      </w:r>
      <w:r>
        <w:rPr>
          <w:noProof/>
        </w:rPr>
        <w:tab/>
        <w:t>Fixed or mobile voice or data carriage services</w:t>
      </w:r>
      <w:r w:rsidRPr="00DA0AD8">
        <w:rPr>
          <w:noProof/>
        </w:rPr>
        <w:tab/>
      </w:r>
      <w:r w:rsidRPr="00DA0AD8">
        <w:rPr>
          <w:noProof/>
        </w:rPr>
        <w:fldChar w:fldCharType="begin"/>
      </w:r>
      <w:r w:rsidRPr="00DA0AD8">
        <w:rPr>
          <w:noProof/>
        </w:rPr>
        <w:instrText xml:space="preserve"> PAGEREF _Toc429131008 \h </w:instrText>
      </w:r>
      <w:r w:rsidRPr="00DA0AD8">
        <w:rPr>
          <w:noProof/>
        </w:rPr>
      </w:r>
      <w:r w:rsidRPr="00DA0AD8">
        <w:rPr>
          <w:noProof/>
        </w:rPr>
        <w:fldChar w:fldCharType="separate"/>
      </w:r>
      <w:r w:rsidRPr="00DA0AD8">
        <w:rPr>
          <w:noProof/>
        </w:rPr>
        <w:t>8</w:t>
      </w:r>
      <w:r w:rsidRPr="00DA0AD8">
        <w:rPr>
          <w:noProof/>
        </w:rPr>
        <w:fldChar w:fldCharType="end"/>
      </w:r>
    </w:p>
    <w:p w:rsidR="00DA0AD8" w:rsidRDefault="00DA0AD8">
      <w:pPr>
        <w:pStyle w:val="TOC3"/>
        <w:rPr>
          <w:rFonts w:asciiTheme="minorHAnsi" w:eastAsiaTheme="minorEastAsia" w:hAnsiTheme="minorHAnsi" w:cstheme="minorBidi"/>
          <w:b w:val="0"/>
          <w:noProof/>
          <w:kern w:val="0"/>
          <w:szCs w:val="22"/>
        </w:rPr>
      </w:pPr>
      <w:r>
        <w:rPr>
          <w:noProof/>
        </w:rPr>
        <w:t>Division 3.5—Telecommunications industry</w:t>
      </w:r>
      <w:r w:rsidRPr="00DA0AD8">
        <w:rPr>
          <w:b w:val="0"/>
          <w:noProof/>
          <w:sz w:val="18"/>
        </w:rPr>
        <w:tab/>
      </w:r>
      <w:r w:rsidRPr="00DA0AD8">
        <w:rPr>
          <w:b w:val="0"/>
          <w:noProof/>
          <w:sz w:val="18"/>
        </w:rPr>
        <w:fldChar w:fldCharType="begin"/>
      </w:r>
      <w:r w:rsidRPr="00DA0AD8">
        <w:rPr>
          <w:b w:val="0"/>
          <w:noProof/>
          <w:sz w:val="18"/>
        </w:rPr>
        <w:instrText xml:space="preserve"> PAGEREF _Toc429131009 \h </w:instrText>
      </w:r>
      <w:r w:rsidRPr="00DA0AD8">
        <w:rPr>
          <w:b w:val="0"/>
          <w:noProof/>
          <w:sz w:val="18"/>
        </w:rPr>
      </w:r>
      <w:r w:rsidRPr="00DA0AD8">
        <w:rPr>
          <w:b w:val="0"/>
          <w:noProof/>
          <w:sz w:val="18"/>
        </w:rPr>
        <w:fldChar w:fldCharType="separate"/>
      </w:r>
      <w:r w:rsidRPr="00DA0AD8">
        <w:rPr>
          <w:b w:val="0"/>
          <w:noProof/>
          <w:sz w:val="18"/>
        </w:rPr>
        <w:t>9</w:t>
      </w:r>
      <w:r w:rsidRPr="00DA0AD8">
        <w:rPr>
          <w:b w:val="0"/>
          <w:noProof/>
          <w:sz w:val="18"/>
        </w:rPr>
        <w:fldChar w:fldCharType="end"/>
      </w:r>
    </w:p>
    <w:p w:rsidR="00DA0AD8" w:rsidRDefault="00DA0AD8">
      <w:pPr>
        <w:pStyle w:val="TOC5"/>
        <w:rPr>
          <w:rFonts w:asciiTheme="minorHAnsi" w:eastAsiaTheme="minorEastAsia" w:hAnsiTheme="minorHAnsi" w:cstheme="minorBidi"/>
          <w:noProof/>
          <w:kern w:val="0"/>
          <w:sz w:val="22"/>
          <w:szCs w:val="22"/>
        </w:rPr>
      </w:pPr>
      <w:r>
        <w:rPr>
          <w:noProof/>
        </w:rPr>
        <w:t>3.14</w:t>
      </w:r>
      <w:r>
        <w:rPr>
          <w:noProof/>
        </w:rPr>
        <w:tab/>
        <w:t>Information relating to telecommunications industry</w:t>
      </w:r>
      <w:r w:rsidRPr="00DA0AD8">
        <w:rPr>
          <w:noProof/>
        </w:rPr>
        <w:tab/>
      </w:r>
      <w:r w:rsidRPr="00DA0AD8">
        <w:rPr>
          <w:noProof/>
        </w:rPr>
        <w:fldChar w:fldCharType="begin"/>
      </w:r>
      <w:r w:rsidRPr="00DA0AD8">
        <w:rPr>
          <w:noProof/>
        </w:rPr>
        <w:instrText xml:space="preserve"> PAGEREF _Toc429131010 \h </w:instrText>
      </w:r>
      <w:r w:rsidRPr="00DA0AD8">
        <w:rPr>
          <w:noProof/>
        </w:rPr>
      </w:r>
      <w:r w:rsidRPr="00DA0AD8">
        <w:rPr>
          <w:noProof/>
        </w:rPr>
        <w:fldChar w:fldCharType="separate"/>
      </w:r>
      <w:r w:rsidRPr="00DA0AD8">
        <w:rPr>
          <w:noProof/>
        </w:rPr>
        <w:t>9</w:t>
      </w:r>
      <w:r w:rsidRPr="00DA0AD8">
        <w:rPr>
          <w:noProof/>
        </w:rPr>
        <w:fldChar w:fldCharType="end"/>
      </w:r>
    </w:p>
    <w:p w:rsidR="00DA0AD8" w:rsidRDefault="00DA0AD8">
      <w:pPr>
        <w:pStyle w:val="TOC2"/>
        <w:rPr>
          <w:rFonts w:asciiTheme="minorHAnsi" w:eastAsiaTheme="minorEastAsia" w:hAnsiTheme="minorHAnsi" w:cstheme="minorBidi"/>
          <w:b w:val="0"/>
          <w:noProof/>
          <w:kern w:val="0"/>
          <w:sz w:val="22"/>
          <w:szCs w:val="22"/>
        </w:rPr>
      </w:pPr>
      <w:r>
        <w:rPr>
          <w:noProof/>
        </w:rPr>
        <w:t>Part 4—Industry codes and industry standards</w:t>
      </w:r>
      <w:r w:rsidRPr="00DA0AD8">
        <w:rPr>
          <w:b w:val="0"/>
          <w:noProof/>
          <w:sz w:val="18"/>
        </w:rPr>
        <w:tab/>
      </w:r>
      <w:r w:rsidRPr="00DA0AD8">
        <w:rPr>
          <w:b w:val="0"/>
          <w:noProof/>
          <w:sz w:val="18"/>
        </w:rPr>
        <w:fldChar w:fldCharType="begin"/>
      </w:r>
      <w:r w:rsidRPr="00DA0AD8">
        <w:rPr>
          <w:b w:val="0"/>
          <w:noProof/>
          <w:sz w:val="18"/>
        </w:rPr>
        <w:instrText xml:space="preserve"> PAGEREF _Toc429131011 \h </w:instrText>
      </w:r>
      <w:r w:rsidRPr="00DA0AD8">
        <w:rPr>
          <w:b w:val="0"/>
          <w:noProof/>
          <w:sz w:val="18"/>
        </w:rPr>
      </w:r>
      <w:r w:rsidRPr="00DA0AD8">
        <w:rPr>
          <w:b w:val="0"/>
          <w:noProof/>
          <w:sz w:val="18"/>
        </w:rPr>
        <w:fldChar w:fldCharType="separate"/>
      </w:r>
      <w:r w:rsidRPr="00DA0AD8">
        <w:rPr>
          <w:b w:val="0"/>
          <w:noProof/>
          <w:sz w:val="18"/>
        </w:rPr>
        <w:t>10</w:t>
      </w:r>
      <w:r w:rsidRPr="00DA0AD8">
        <w:rPr>
          <w:b w:val="0"/>
          <w:noProof/>
          <w:sz w:val="18"/>
        </w:rPr>
        <w:fldChar w:fldCharType="end"/>
      </w:r>
    </w:p>
    <w:p w:rsidR="00DA0AD8" w:rsidRDefault="00DA0AD8">
      <w:pPr>
        <w:pStyle w:val="TOC5"/>
        <w:rPr>
          <w:rFonts w:asciiTheme="minorHAnsi" w:eastAsiaTheme="minorEastAsia" w:hAnsiTheme="minorHAnsi" w:cstheme="minorBidi"/>
          <w:noProof/>
          <w:kern w:val="0"/>
          <w:sz w:val="22"/>
          <w:szCs w:val="22"/>
        </w:rPr>
      </w:pPr>
      <w:r>
        <w:rPr>
          <w:noProof/>
        </w:rPr>
        <w:t>4.1</w:t>
      </w:r>
      <w:r>
        <w:rPr>
          <w:noProof/>
        </w:rPr>
        <w:tab/>
        <w:t>ACIF industry codes—application of s 115</w:t>
      </w:r>
      <w:r w:rsidRPr="00DA0AD8">
        <w:rPr>
          <w:noProof/>
        </w:rPr>
        <w:tab/>
      </w:r>
      <w:r w:rsidRPr="00DA0AD8">
        <w:rPr>
          <w:noProof/>
        </w:rPr>
        <w:fldChar w:fldCharType="begin"/>
      </w:r>
      <w:r w:rsidRPr="00DA0AD8">
        <w:rPr>
          <w:noProof/>
        </w:rPr>
        <w:instrText xml:space="preserve"> PAGEREF _Toc429131012 \h </w:instrText>
      </w:r>
      <w:r w:rsidRPr="00DA0AD8">
        <w:rPr>
          <w:noProof/>
        </w:rPr>
      </w:r>
      <w:r w:rsidRPr="00DA0AD8">
        <w:rPr>
          <w:noProof/>
        </w:rPr>
        <w:fldChar w:fldCharType="separate"/>
      </w:r>
      <w:r w:rsidRPr="00DA0AD8">
        <w:rPr>
          <w:noProof/>
        </w:rPr>
        <w:t>10</w:t>
      </w:r>
      <w:r w:rsidRPr="00DA0AD8">
        <w:rPr>
          <w:noProof/>
        </w:rPr>
        <w:fldChar w:fldCharType="end"/>
      </w:r>
    </w:p>
    <w:p w:rsidR="00DA0AD8" w:rsidRDefault="00DA0AD8">
      <w:pPr>
        <w:pStyle w:val="TOC2"/>
        <w:rPr>
          <w:rFonts w:asciiTheme="minorHAnsi" w:eastAsiaTheme="minorEastAsia" w:hAnsiTheme="minorHAnsi" w:cstheme="minorBidi"/>
          <w:b w:val="0"/>
          <w:noProof/>
          <w:kern w:val="0"/>
          <w:sz w:val="22"/>
          <w:szCs w:val="22"/>
        </w:rPr>
      </w:pPr>
      <w:r>
        <w:rPr>
          <w:noProof/>
        </w:rPr>
        <w:t>Part 5—Protection of communications</w:t>
      </w:r>
      <w:r w:rsidRPr="00DA0AD8">
        <w:rPr>
          <w:b w:val="0"/>
          <w:noProof/>
          <w:sz w:val="18"/>
        </w:rPr>
        <w:tab/>
      </w:r>
      <w:r w:rsidRPr="00DA0AD8">
        <w:rPr>
          <w:b w:val="0"/>
          <w:noProof/>
          <w:sz w:val="18"/>
        </w:rPr>
        <w:fldChar w:fldCharType="begin"/>
      </w:r>
      <w:r w:rsidRPr="00DA0AD8">
        <w:rPr>
          <w:b w:val="0"/>
          <w:noProof/>
          <w:sz w:val="18"/>
        </w:rPr>
        <w:instrText xml:space="preserve"> PAGEREF _Toc429131013 \h </w:instrText>
      </w:r>
      <w:r w:rsidRPr="00DA0AD8">
        <w:rPr>
          <w:b w:val="0"/>
          <w:noProof/>
          <w:sz w:val="18"/>
        </w:rPr>
      </w:r>
      <w:r w:rsidRPr="00DA0AD8">
        <w:rPr>
          <w:b w:val="0"/>
          <w:noProof/>
          <w:sz w:val="18"/>
        </w:rPr>
        <w:fldChar w:fldCharType="separate"/>
      </w:r>
      <w:r w:rsidRPr="00DA0AD8">
        <w:rPr>
          <w:b w:val="0"/>
          <w:noProof/>
          <w:sz w:val="18"/>
        </w:rPr>
        <w:t>12</w:t>
      </w:r>
      <w:r w:rsidRPr="00DA0AD8">
        <w:rPr>
          <w:b w:val="0"/>
          <w:noProof/>
          <w:sz w:val="18"/>
        </w:rPr>
        <w:fldChar w:fldCharType="end"/>
      </w:r>
    </w:p>
    <w:p w:rsidR="00DA0AD8" w:rsidRDefault="00DA0AD8">
      <w:pPr>
        <w:pStyle w:val="TOC5"/>
        <w:rPr>
          <w:rFonts w:asciiTheme="minorHAnsi" w:eastAsiaTheme="minorEastAsia" w:hAnsiTheme="minorHAnsi" w:cstheme="minorBidi"/>
          <w:noProof/>
          <w:kern w:val="0"/>
          <w:sz w:val="22"/>
          <w:szCs w:val="22"/>
        </w:rPr>
      </w:pPr>
      <w:r>
        <w:rPr>
          <w:noProof/>
        </w:rPr>
        <w:t>5.1A</w:t>
      </w:r>
      <w:r>
        <w:rPr>
          <w:noProof/>
        </w:rPr>
        <w:tab/>
        <w:t>Disclosure of information to National Relay Service provider (Act s 292 (1))</w:t>
      </w:r>
      <w:r w:rsidRPr="00DA0AD8">
        <w:rPr>
          <w:noProof/>
        </w:rPr>
        <w:tab/>
      </w:r>
      <w:r w:rsidRPr="00DA0AD8">
        <w:rPr>
          <w:noProof/>
        </w:rPr>
        <w:fldChar w:fldCharType="begin"/>
      </w:r>
      <w:r w:rsidRPr="00DA0AD8">
        <w:rPr>
          <w:noProof/>
        </w:rPr>
        <w:instrText xml:space="preserve"> PAGEREF _Toc429131014 \h </w:instrText>
      </w:r>
      <w:r w:rsidRPr="00DA0AD8">
        <w:rPr>
          <w:noProof/>
        </w:rPr>
      </w:r>
      <w:r w:rsidRPr="00DA0AD8">
        <w:rPr>
          <w:noProof/>
        </w:rPr>
        <w:fldChar w:fldCharType="separate"/>
      </w:r>
      <w:r w:rsidRPr="00DA0AD8">
        <w:rPr>
          <w:noProof/>
        </w:rPr>
        <w:t>12</w:t>
      </w:r>
      <w:r w:rsidRPr="00DA0AD8">
        <w:rPr>
          <w:noProof/>
        </w:rPr>
        <w:fldChar w:fldCharType="end"/>
      </w:r>
    </w:p>
    <w:p w:rsidR="00DA0AD8" w:rsidRDefault="00DA0AD8">
      <w:pPr>
        <w:pStyle w:val="TOC5"/>
        <w:rPr>
          <w:rFonts w:asciiTheme="minorHAnsi" w:eastAsiaTheme="minorEastAsia" w:hAnsiTheme="minorHAnsi" w:cstheme="minorBidi"/>
          <w:noProof/>
          <w:kern w:val="0"/>
          <w:sz w:val="22"/>
          <w:szCs w:val="22"/>
        </w:rPr>
      </w:pPr>
      <w:r>
        <w:rPr>
          <w:noProof/>
        </w:rPr>
        <w:t>5.2</w:t>
      </w:r>
      <w:r>
        <w:rPr>
          <w:noProof/>
        </w:rPr>
        <w:tab/>
        <w:t>Disclosure of information by emergency call persons—research about emergency service numbers (Act s 292 (3))</w:t>
      </w:r>
      <w:r w:rsidRPr="00DA0AD8">
        <w:rPr>
          <w:noProof/>
        </w:rPr>
        <w:tab/>
      </w:r>
      <w:r w:rsidRPr="00DA0AD8">
        <w:rPr>
          <w:noProof/>
        </w:rPr>
        <w:fldChar w:fldCharType="begin"/>
      </w:r>
      <w:r w:rsidRPr="00DA0AD8">
        <w:rPr>
          <w:noProof/>
        </w:rPr>
        <w:instrText xml:space="preserve"> PAGEREF _Toc429131015 \h </w:instrText>
      </w:r>
      <w:r w:rsidRPr="00DA0AD8">
        <w:rPr>
          <w:noProof/>
        </w:rPr>
      </w:r>
      <w:r w:rsidRPr="00DA0AD8">
        <w:rPr>
          <w:noProof/>
        </w:rPr>
        <w:fldChar w:fldCharType="separate"/>
      </w:r>
      <w:r w:rsidRPr="00DA0AD8">
        <w:rPr>
          <w:noProof/>
        </w:rPr>
        <w:t>12</w:t>
      </w:r>
      <w:r w:rsidRPr="00DA0AD8">
        <w:rPr>
          <w:noProof/>
        </w:rPr>
        <w:fldChar w:fldCharType="end"/>
      </w:r>
    </w:p>
    <w:p w:rsidR="00DA0AD8" w:rsidRDefault="00DA0AD8">
      <w:pPr>
        <w:pStyle w:val="TOC5"/>
        <w:rPr>
          <w:rFonts w:asciiTheme="minorHAnsi" w:eastAsiaTheme="minorEastAsia" w:hAnsiTheme="minorHAnsi" w:cstheme="minorBidi"/>
          <w:noProof/>
          <w:kern w:val="0"/>
          <w:sz w:val="22"/>
          <w:szCs w:val="22"/>
        </w:rPr>
      </w:pPr>
      <w:r>
        <w:rPr>
          <w:noProof/>
        </w:rPr>
        <w:t>5.3</w:t>
      </w:r>
      <w:r>
        <w:rPr>
          <w:noProof/>
        </w:rPr>
        <w:tab/>
        <w:t>Disclosure of information—assistance to Royal Commission into Building and Construction Industry (Act s 292)</w:t>
      </w:r>
      <w:r w:rsidRPr="00DA0AD8">
        <w:rPr>
          <w:noProof/>
        </w:rPr>
        <w:tab/>
      </w:r>
      <w:r w:rsidRPr="00DA0AD8">
        <w:rPr>
          <w:noProof/>
        </w:rPr>
        <w:fldChar w:fldCharType="begin"/>
      </w:r>
      <w:r w:rsidRPr="00DA0AD8">
        <w:rPr>
          <w:noProof/>
        </w:rPr>
        <w:instrText xml:space="preserve"> PAGEREF _Toc429131016 \h </w:instrText>
      </w:r>
      <w:r w:rsidRPr="00DA0AD8">
        <w:rPr>
          <w:noProof/>
        </w:rPr>
      </w:r>
      <w:r w:rsidRPr="00DA0AD8">
        <w:rPr>
          <w:noProof/>
        </w:rPr>
        <w:fldChar w:fldCharType="separate"/>
      </w:r>
      <w:r w:rsidRPr="00DA0AD8">
        <w:rPr>
          <w:noProof/>
        </w:rPr>
        <w:t>13</w:t>
      </w:r>
      <w:r w:rsidRPr="00DA0AD8">
        <w:rPr>
          <w:noProof/>
        </w:rPr>
        <w:fldChar w:fldCharType="end"/>
      </w:r>
    </w:p>
    <w:p w:rsidR="00DA0AD8" w:rsidRDefault="00DA0AD8">
      <w:pPr>
        <w:pStyle w:val="TOC5"/>
        <w:rPr>
          <w:rFonts w:asciiTheme="minorHAnsi" w:eastAsiaTheme="minorEastAsia" w:hAnsiTheme="minorHAnsi" w:cstheme="minorBidi"/>
          <w:noProof/>
          <w:kern w:val="0"/>
          <w:sz w:val="22"/>
          <w:szCs w:val="22"/>
        </w:rPr>
      </w:pPr>
      <w:r>
        <w:rPr>
          <w:noProof/>
        </w:rPr>
        <w:t>5.4</w:t>
      </w:r>
      <w:r>
        <w:rPr>
          <w:noProof/>
        </w:rPr>
        <w:tab/>
        <w:t>Disclosure of information—assistance to Royal Commission into whether there has been any corrupt or criminal conduct by Western Australian police officers</w:t>
      </w:r>
      <w:r w:rsidRPr="00DA0AD8">
        <w:rPr>
          <w:noProof/>
        </w:rPr>
        <w:tab/>
      </w:r>
      <w:r w:rsidRPr="00DA0AD8">
        <w:rPr>
          <w:noProof/>
        </w:rPr>
        <w:fldChar w:fldCharType="begin"/>
      </w:r>
      <w:r w:rsidRPr="00DA0AD8">
        <w:rPr>
          <w:noProof/>
        </w:rPr>
        <w:instrText xml:space="preserve"> PAGEREF _Toc429131017 \h </w:instrText>
      </w:r>
      <w:r w:rsidRPr="00DA0AD8">
        <w:rPr>
          <w:noProof/>
        </w:rPr>
      </w:r>
      <w:r w:rsidRPr="00DA0AD8">
        <w:rPr>
          <w:noProof/>
        </w:rPr>
        <w:fldChar w:fldCharType="separate"/>
      </w:r>
      <w:r w:rsidRPr="00DA0AD8">
        <w:rPr>
          <w:noProof/>
        </w:rPr>
        <w:t>14</w:t>
      </w:r>
      <w:r w:rsidRPr="00DA0AD8">
        <w:rPr>
          <w:noProof/>
        </w:rPr>
        <w:fldChar w:fldCharType="end"/>
      </w:r>
    </w:p>
    <w:p w:rsidR="00DA0AD8" w:rsidRDefault="00DA0AD8">
      <w:pPr>
        <w:pStyle w:val="TOC2"/>
        <w:rPr>
          <w:rFonts w:asciiTheme="minorHAnsi" w:eastAsiaTheme="minorEastAsia" w:hAnsiTheme="minorHAnsi" w:cstheme="minorBidi"/>
          <w:b w:val="0"/>
          <w:noProof/>
          <w:kern w:val="0"/>
          <w:sz w:val="22"/>
          <w:szCs w:val="22"/>
        </w:rPr>
      </w:pPr>
      <w:r>
        <w:rPr>
          <w:noProof/>
        </w:rPr>
        <w:t>Part 6—Technical regulation</w:t>
      </w:r>
      <w:r w:rsidRPr="00DA0AD8">
        <w:rPr>
          <w:b w:val="0"/>
          <w:noProof/>
          <w:sz w:val="18"/>
        </w:rPr>
        <w:tab/>
      </w:r>
      <w:r w:rsidRPr="00DA0AD8">
        <w:rPr>
          <w:b w:val="0"/>
          <w:noProof/>
          <w:sz w:val="18"/>
        </w:rPr>
        <w:fldChar w:fldCharType="begin"/>
      </w:r>
      <w:r w:rsidRPr="00DA0AD8">
        <w:rPr>
          <w:b w:val="0"/>
          <w:noProof/>
          <w:sz w:val="18"/>
        </w:rPr>
        <w:instrText xml:space="preserve"> PAGEREF _Toc429131018 \h </w:instrText>
      </w:r>
      <w:r w:rsidRPr="00DA0AD8">
        <w:rPr>
          <w:b w:val="0"/>
          <w:noProof/>
          <w:sz w:val="18"/>
        </w:rPr>
      </w:r>
      <w:r w:rsidRPr="00DA0AD8">
        <w:rPr>
          <w:b w:val="0"/>
          <w:noProof/>
          <w:sz w:val="18"/>
        </w:rPr>
        <w:fldChar w:fldCharType="separate"/>
      </w:r>
      <w:r w:rsidRPr="00DA0AD8">
        <w:rPr>
          <w:b w:val="0"/>
          <w:noProof/>
          <w:sz w:val="18"/>
        </w:rPr>
        <w:t>16</w:t>
      </w:r>
      <w:r w:rsidRPr="00DA0AD8">
        <w:rPr>
          <w:b w:val="0"/>
          <w:noProof/>
          <w:sz w:val="18"/>
        </w:rPr>
        <w:fldChar w:fldCharType="end"/>
      </w:r>
    </w:p>
    <w:p w:rsidR="00DA0AD8" w:rsidRDefault="00DA0AD8">
      <w:pPr>
        <w:pStyle w:val="TOC5"/>
        <w:rPr>
          <w:rFonts w:asciiTheme="minorHAnsi" w:eastAsiaTheme="minorEastAsia" w:hAnsiTheme="minorHAnsi" w:cstheme="minorBidi"/>
          <w:noProof/>
          <w:kern w:val="0"/>
          <w:sz w:val="22"/>
          <w:szCs w:val="22"/>
        </w:rPr>
      </w:pPr>
      <w:r>
        <w:rPr>
          <w:noProof/>
        </w:rPr>
        <w:t>6.1</w:t>
      </w:r>
      <w:r>
        <w:rPr>
          <w:noProof/>
        </w:rPr>
        <w:tab/>
        <w:t>Purpose of Part</w:t>
      </w:r>
      <w:r w:rsidRPr="00DA0AD8">
        <w:rPr>
          <w:noProof/>
        </w:rPr>
        <w:tab/>
      </w:r>
      <w:r w:rsidRPr="00DA0AD8">
        <w:rPr>
          <w:noProof/>
        </w:rPr>
        <w:fldChar w:fldCharType="begin"/>
      </w:r>
      <w:r w:rsidRPr="00DA0AD8">
        <w:rPr>
          <w:noProof/>
        </w:rPr>
        <w:instrText xml:space="preserve"> PAGEREF _Toc429131019 \h </w:instrText>
      </w:r>
      <w:r w:rsidRPr="00DA0AD8">
        <w:rPr>
          <w:noProof/>
        </w:rPr>
      </w:r>
      <w:r w:rsidRPr="00DA0AD8">
        <w:rPr>
          <w:noProof/>
        </w:rPr>
        <w:fldChar w:fldCharType="separate"/>
      </w:r>
      <w:r w:rsidRPr="00DA0AD8">
        <w:rPr>
          <w:noProof/>
        </w:rPr>
        <w:t>16</w:t>
      </w:r>
      <w:r w:rsidRPr="00DA0AD8">
        <w:rPr>
          <w:noProof/>
        </w:rPr>
        <w:fldChar w:fldCharType="end"/>
      </w:r>
    </w:p>
    <w:p w:rsidR="00DA0AD8" w:rsidRDefault="00DA0AD8">
      <w:pPr>
        <w:pStyle w:val="TOC5"/>
        <w:rPr>
          <w:rFonts w:asciiTheme="minorHAnsi" w:eastAsiaTheme="minorEastAsia" w:hAnsiTheme="minorHAnsi" w:cstheme="minorBidi"/>
          <w:noProof/>
          <w:kern w:val="0"/>
          <w:sz w:val="22"/>
          <w:szCs w:val="22"/>
        </w:rPr>
      </w:pPr>
      <w:r>
        <w:rPr>
          <w:noProof/>
        </w:rPr>
        <w:t>6.2</w:t>
      </w:r>
      <w:r>
        <w:rPr>
          <w:noProof/>
        </w:rPr>
        <w:tab/>
        <w:t>Use of infringement notices</w:t>
      </w:r>
      <w:r w:rsidRPr="00DA0AD8">
        <w:rPr>
          <w:noProof/>
        </w:rPr>
        <w:tab/>
      </w:r>
      <w:r w:rsidRPr="00DA0AD8">
        <w:rPr>
          <w:noProof/>
        </w:rPr>
        <w:fldChar w:fldCharType="begin"/>
      </w:r>
      <w:r w:rsidRPr="00DA0AD8">
        <w:rPr>
          <w:noProof/>
        </w:rPr>
        <w:instrText xml:space="preserve"> PAGEREF _Toc429131020 \h </w:instrText>
      </w:r>
      <w:r w:rsidRPr="00DA0AD8">
        <w:rPr>
          <w:noProof/>
        </w:rPr>
      </w:r>
      <w:r w:rsidRPr="00DA0AD8">
        <w:rPr>
          <w:noProof/>
        </w:rPr>
        <w:fldChar w:fldCharType="separate"/>
      </w:r>
      <w:r w:rsidRPr="00DA0AD8">
        <w:rPr>
          <w:noProof/>
        </w:rPr>
        <w:t>16</w:t>
      </w:r>
      <w:r w:rsidRPr="00DA0AD8">
        <w:rPr>
          <w:noProof/>
        </w:rPr>
        <w:fldChar w:fldCharType="end"/>
      </w:r>
    </w:p>
    <w:p w:rsidR="00DA0AD8" w:rsidRDefault="00DA0AD8">
      <w:pPr>
        <w:pStyle w:val="TOC5"/>
        <w:rPr>
          <w:rFonts w:asciiTheme="minorHAnsi" w:eastAsiaTheme="minorEastAsia" w:hAnsiTheme="minorHAnsi" w:cstheme="minorBidi"/>
          <w:noProof/>
          <w:kern w:val="0"/>
          <w:sz w:val="22"/>
          <w:szCs w:val="22"/>
        </w:rPr>
      </w:pPr>
      <w:r>
        <w:rPr>
          <w:noProof/>
        </w:rPr>
        <w:t>6.3</w:t>
      </w:r>
      <w:r>
        <w:rPr>
          <w:noProof/>
        </w:rPr>
        <w:tab/>
        <w:t>Contents of infringement notice</w:t>
      </w:r>
      <w:r w:rsidRPr="00DA0AD8">
        <w:rPr>
          <w:noProof/>
        </w:rPr>
        <w:tab/>
      </w:r>
      <w:r w:rsidRPr="00DA0AD8">
        <w:rPr>
          <w:noProof/>
        </w:rPr>
        <w:fldChar w:fldCharType="begin"/>
      </w:r>
      <w:r w:rsidRPr="00DA0AD8">
        <w:rPr>
          <w:noProof/>
        </w:rPr>
        <w:instrText xml:space="preserve"> PAGEREF _Toc429131021 \h </w:instrText>
      </w:r>
      <w:r w:rsidRPr="00DA0AD8">
        <w:rPr>
          <w:noProof/>
        </w:rPr>
      </w:r>
      <w:r w:rsidRPr="00DA0AD8">
        <w:rPr>
          <w:noProof/>
        </w:rPr>
        <w:fldChar w:fldCharType="separate"/>
      </w:r>
      <w:r w:rsidRPr="00DA0AD8">
        <w:rPr>
          <w:noProof/>
        </w:rPr>
        <w:t>16</w:t>
      </w:r>
      <w:r w:rsidRPr="00DA0AD8">
        <w:rPr>
          <w:noProof/>
        </w:rPr>
        <w:fldChar w:fldCharType="end"/>
      </w:r>
    </w:p>
    <w:p w:rsidR="00DA0AD8" w:rsidRDefault="00DA0AD8">
      <w:pPr>
        <w:pStyle w:val="TOC5"/>
        <w:rPr>
          <w:rFonts w:asciiTheme="minorHAnsi" w:eastAsiaTheme="minorEastAsia" w:hAnsiTheme="minorHAnsi" w:cstheme="minorBidi"/>
          <w:noProof/>
          <w:kern w:val="0"/>
          <w:sz w:val="22"/>
          <w:szCs w:val="22"/>
        </w:rPr>
      </w:pPr>
      <w:r>
        <w:rPr>
          <w:noProof/>
        </w:rPr>
        <w:t>6.4</w:t>
      </w:r>
      <w:r>
        <w:rPr>
          <w:noProof/>
        </w:rPr>
        <w:tab/>
        <w:t>Service of an infringement notice</w:t>
      </w:r>
      <w:r w:rsidRPr="00DA0AD8">
        <w:rPr>
          <w:noProof/>
        </w:rPr>
        <w:tab/>
      </w:r>
      <w:r w:rsidRPr="00DA0AD8">
        <w:rPr>
          <w:noProof/>
        </w:rPr>
        <w:fldChar w:fldCharType="begin"/>
      </w:r>
      <w:r w:rsidRPr="00DA0AD8">
        <w:rPr>
          <w:noProof/>
        </w:rPr>
        <w:instrText xml:space="preserve"> PAGEREF _Toc429131022 \h </w:instrText>
      </w:r>
      <w:r w:rsidRPr="00DA0AD8">
        <w:rPr>
          <w:noProof/>
        </w:rPr>
      </w:r>
      <w:r w:rsidRPr="00DA0AD8">
        <w:rPr>
          <w:noProof/>
        </w:rPr>
        <w:fldChar w:fldCharType="separate"/>
      </w:r>
      <w:r w:rsidRPr="00DA0AD8">
        <w:rPr>
          <w:noProof/>
        </w:rPr>
        <w:t>17</w:t>
      </w:r>
      <w:r w:rsidRPr="00DA0AD8">
        <w:rPr>
          <w:noProof/>
        </w:rPr>
        <w:fldChar w:fldCharType="end"/>
      </w:r>
    </w:p>
    <w:p w:rsidR="00DA0AD8" w:rsidRDefault="00DA0AD8">
      <w:pPr>
        <w:pStyle w:val="TOC5"/>
        <w:rPr>
          <w:rFonts w:asciiTheme="minorHAnsi" w:eastAsiaTheme="minorEastAsia" w:hAnsiTheme="minorHAnsi" w:cstheme="minorBidi"/>
          <w:noProof/>
          <w:kern w:val="0"/>
          <w:sz w:val="22"/>
          <w:szCs w:val="22"/>
        </w:rPr>
      </w:pPr>
      <w:r>
        <w:rPr>
          <w:noProof/>
        </w:rPr>
        <w:lastRenderedPageBreak/>
        <w:t>6.5</w:t>
      </w:r>
      <w:r>
        <w:rPr>
          <w:noProof/>
        </w:rPr>
        <w:tab/>
        <w:t>Extension of time to pay</w:t>
      </w:r>
      <w:r w:rsidRPr="00DA0AD8">
        <w:rPr>
          <w:noProof/>
        </w:rPr>
        <w:tab/>
      </w:r>
      <w:r w:rsidRPr="00DA0AD8">
        <w:rPr>
          <w:noProof/>
        </w:rPr>
        <w:fldChar w:fldCharType="begin"/>
      </w:r>
      <w:r w:rsidRPr="00DA0AD8">
        <w:rPr>
          <w:noProof/>
        </w:rPr>
        <w:instrText xml:space="preserve"> PAGEREF _Toc429131023 \h </w:instrText>
      </w:r>
      <w:r w:rsidRPr="00DA0AD8">
        <w:rPr>
          <w:noProof/>
        </w:rPr>
      </w:r>
      <w:r w:rsidRPr="00DA0AD8">
        <w:rPr>
          <w:noProof/>
        </w:rPr>
        <w:fldChar w:fldCharType="separate"/>
      </w:r>
      <w:r w:rsidRPr="00DA0AD8">
        <w:rPr>
          <w:noProof/>
        </w:rPr>
        <w:t>18</w:t>
      </w:r>
      <w:r w:rsidRPr="00DA0AD8">
        <w:rPr>
          <w:noProof/>
        </w:rPr>
        <w:fldChar w:fldCharType="end"/>
      </w:r>
    </w:p>
    <w:p w:rsidR="00DA0AD8" w:rsidRDefault="00DA0AD8">
      <w:pPr>
        <w:pStyle w:val="TOC5"/>
        <w:rPr>
          <w:rFonts w:asciiTheme="minorHAnsi" w:eastAsiaTheme="minorEastAsia" w:hAnsiTheme="minorHAnsi" w:cstheme="minorBidi"/>
          <w:noProof/>
          <w:kern w:val="0"/>
          <w:sz w:val="22"/>
          <w:szCs w:val="22"/>
        </w:rPr>
      </w:pPr>
      <w:r>
        <w:rPr>
          <w:noProof/>
        </w:rPr>
        <w:t>6.6</w:t>
      </w:r>
      <w:r>
        <w:rPr>
          <w:noProof/>
        </w:rPr>
        <w:tab/>
        <w:t>Infringement notice may be withdrawn</w:t>
      </w:r>
      <w:r w:rsidRPr="00DA0AD8">
        <w:rPr>
          <w:noProof/>
        </w:rPr>
        <w:tab/>
      </w:r>
      <w:r w:rsidRPr="00DA0AD8">
        <w:rPr>
          <w:noProof/>
        </w:rPr>
        <w:fldChar w:fldCharType="begin"/>
      </w:r>
      <w:r w:rsidRPr="00DA0AD8">
        <w:rPr>
          <w:noProof/>
        </w:rPr>
        <w:instrText xml:space="preserve"> PAGEREF _Toc429131024 \h </w:instrText>
      </w:r>
      <w:r w:rsidRPr="00DA0AD8">
        <w:rPr>
          <w:noProof/>
        </w:rPr>
      </w:r>
      <w:r w:rsidRPr="00DA0AD8">
        <w:rPr>
          <w:noProof/>
        </w:rPr>
        <w:fldChar w:fldCharType="separate"/>
      </w:r>
      <w:r w:rsidRPr="00DA0AD8">
        <w:rPr>
          <w:noProof/>
        </w:rPr>
        <w:t>19</w:t>
      </w:r>
      <w:r w:rsidRPr="00DA0AD8">
        <w:rPr>
          <w:noProof/>
        </w:rPr>
        <w:fldChar w:fldCharType="end"/>
      </w:r>
    </w:p>
    <w:p w:rsidR="00DA0AD8" w:rsidRDefault="00DA0AD8">
      <w:pPr>
        <w:pStyle w:val="TOC5"/>
        <w:rPr>
          <w:rFonts w:asciiTheme="minorHAnsi" w:eastAsiaTheme="minorEastAsia" w:hAnsiTheme="minorHAnsi" w:cstheme="minorBidi"/>
          <w:noProof/>
          <w:kern w:val="0"/>
          <w:sz w:val="22"/>
          <w:szCs w:val="22"/>
        </w:rPr>
      </w:pPr>
      <w:r>
        <w:rPr>
          <w:noProof/>
        </w:rPr>
        <w:t>6.7</w:t>
      </w:r>
      <w:r>
        <w:rPr>
          <w:noProof/>
        </w:rPr>
        <w:tab/>
        <w:t>Payment of penalty if infringement notice not withdrawn</w:t>
      </w:r>
      <w:r w:rsidRPr="00DA0AD8">
        <w:rPr>
          <w:noProof/>
        </w:rPr>
        <w:tab/>
      </w:r>
      <w:r w:rsidRPr="00DA0AD8">
        <w:rPr>
          <w:noProof/>
        </w:rPr>
        <w:fldChar w:fldCharType="begin"/>
      </w:r>
      <w:r w:rsidRPr="00DA0AD8">
        <w:rPr>
          <w:noProof/>
        </w:rPr>
        <w:instrText xml:space="preserve"> PAGEREF _Toc429131025 \h </w:instrText>
      </w:r>
      <w:r w:rsidRPr="00DA0AD8">
        <w:rPr>
          <w:noProof/>
        </w:rPr>
      </w:r>
      <w:r w:rsidRPr="00DA0AD8">
        <w:rPr>
          <w:noProof/>
        </w:rPr>
        <w:fldChar w:fldCharType="separate"/>
      </w:r>
      <w:r w:rsidRPr="00DA0AD8">
        <w:rPr>
          <w:noProof/>
        </w:rPr>
        <w:t>21</w:t>
      </w:r>
      <w:r w:rsidRPr="00DA0AD8">
        <w:rPr>
          <w:noProof/>
        </w:rPr>
        <w:fldChar w:fldCharType="end"/>
      </w:r>
    </w:p>
    <w:p w:rsidR="00DA0AD8" w:rsidRDefault="00DA0AD8">
      <w:pPr>
        <w:pStyle w:val="TOC5"/>
        <w:rPr>
          <w:rFonts w:asciiTheme="minorHAnsi" w:eastAsiaTheme="minorEastAsia" w:hAnsiTheme="minorHAnsi" w:cstheme="minorBidi"/>
          <w:noProof/>
          <w:kern w:val="0"/>
          <w:sz w:val="22"/>
          <w:szCs w:val="22"/>
        </w:rPr>
      </w:pPr>
      <w:r>
        <w:rPr>
          <w:noProof/>
        </w:rPr>
        <w:t>6.8</w:t>
      </w:r>
      <w:r>
        <w:rPr>
          <w:noProof/>
        </w:rPr>
        <w:tab/>
        <w:t>Effect of payment of infringement notice penalty</w:t>
      </w:r>
      <w:r w:rsidRPr="00DA0AD8">
        <w:rPr>
          <w:noProof/>
        </w:rPr>
        <w:tab/>
      </w:r>
      <w:r w:rsidRPr="00DA0AD8">
        <w:rPr>
          <w:noProof/>
        </w:rPr>
        <w:fldChar w:fldCharType="begin"/>
      </w:r>
      <w:r w:rsidRPr="00DA0AD8">
        <w:rPr>
          <w:noProof/>
        </w:rPr>
        <w:instrText xml:space="preserve"> PAGEREF _Toc429131026 \h </w:instrText>
      </w:r>
      <w:r w:rsidRPr="00DA0AD8">
        <w:rPr>
          <w:noProof/>
        </w:rPr>
      </w:r>
      <w:r w:rsidRPr="00DA0AD8">
        <w:rPr>
          <w:noProof/>
        </w:rPr>
        <w:fldChar w:fldCharType="separate"/>
      </w:r>
      <w:r w:rsidRPr="00DA0AD8">
        <w:rPr>
          <w:noProof/>
        </w:rPr>
        <w:t>21</w:t>
      </w:r>
      <w:r w:rsidRPr="00DA0AD8">
        <w:rPr>
          <w:noProof/>
        </w:rPr>
        <w:fldChar w:fldCharType="end"/>
      </w:r>
    </w:p>
    <w:p w:rsidR="00DA0AD8" w:rsidRDefault="00DA0AD8">
      <w:pPr>
        <w:pStyle w:val="TOC5"/>
        <w:rPr>
          <w:rFonts w:asciiTheme="minorHAnsi" w:eastAsiaTheme="minorEastAsia" w:hAnsiTheme="minorHAnsi" w:cstheme="minorBidi"/>
          <w:noProof/>
          <w:kern w:val="0"/>
          <w:sz w:val="22"/>
          <w:szCs w:val="22"/>
        </w:rPr>
      </w:pPr>
      <w:r>
        <w:rPr>
          <w:noProof/>
        </w:rPr>
        <w:t>6.9</w:t>
      </w:r>
      <w:r>
        <w:rPr>
          <w:noProof/>
        </w:rPr>
        <w:tab/>
        <w:t>Payment of penalty by cheque</w:t>
      </w:r>
      <w:r w:rsidRPr="00DA0AD8">
        <w:rPr>
          <w:noProof/>
        </w:rPr>
        <w:tab/>
      </w:r>
      <w:r w:rsidRPr="00DA0AD8">
        <w:rPr>
          <w:noProof/>
        </w:rPr>
        <w:fldChar w:fldCharType="begin"/>
      </w:r>
      <w:r w:rsidRPr="00DA0AD8">
        <w:rPr>
          <w:noProof/>
        </w:rPr>
        <w:instrText xml:space="preserve"> PAGEREF _Toc429131027 \h </w:instrText>
      </w:r>
      <w:r w:rsidRPr="00DA0AD8">
        <w:rPr>
          <w:noProof/>
        </w:rPr>
      </w:r>
      <w:r w:rsidRPr="00DA0AD8">
        <w:rPr>
          <w:noProof/>
        </w:rPr>
        <w:fldChar w:fldCharType="separate"/>
      </w:r>
      <w:r w:rsidRPr="00DA0AD8">
        <w:rPr>
          <w:noProof/>
        </w:rPr>
        <w:t>21</w:t>
      </w:r>
      <w:r w:rsidRPr="00DA0AD8">
        <w:rPr>
          <w:noProof/>
        </w:rPr>
        <w:fldChar w:fldCharType="end"/>
      </w:r>
    </w:p>
    <w:p w:rsidR="00DA0AD8" w:rsidRDefault="00DA0AD8">
      <w:pPr>
        <w:pStyle w:val="TOC5"/>
        <w:rPr>
          <w:rFonts w:asciiTheme="minorHAnsi" w:eastAsiaTheme="minorEastAsia" w:hAnsiTheme="minorHAnsi" w:cstheme="minorBidi"/>
          <w:noProof/>
          <w:kern w:val="0"/>
          <w:sz w:val="22"/>
          <w:szCs w:val="22"/>
        </w:rPr>
      </w:pPr>
      <w:r>
        <w:rPr>
          <w:noProof/>
        </w:rPr>
        <w:t>6.10</w:t>
      </w:r>
      <w:r>
        <w:rPr>
          <w:noProof/>
        </w:rPr>
        <w:tab/>
        <w:t>Effect of this Part on institution and prosecution of proceedings</w:t>
      </w:r>
      <w:r w:rsidRPr="00DA0AD8">
        <w:rPr>
          <w:noProof/>
        </w:rPr>
        <w:tab/>
      </w:r>
      <w:r w:rsidRPr="00DA0AD8">
        <w:rPr>
          <w:noProof/>
        </w:rPr>
        <w:fldChar w:fldCharType="begin"/>
      </w:r>
      <w:r w:rsidRPr="00DA0AD8">
        <w:rPr>
          <w:noProof/>
        </w:rPr>
        <w:instrText xml:space="preserve"> PAGEREF _Toc429131028 \h </w:instrText>
      </w:r>
      <w:r w:rsidRPr="00DA0AD8">
        <w:rPr>
          <w:noProof/>
        </w:rPr>
      </w:r>
      <w:r w:rsidRPr="00DA0AD8">
        <w:rPr>
          <w:noProof/>
        </w:rPr>
        <w:fldChar w:fldCharType="separate"/>
      </w:r>
      <w:r w:rsidRPr="00DA0AD8">
        <w:rPr>
          <w:noProof/>
        </w:rPr>
        <w:t>21</w:t>
      </w:r>
      <w:r w:rsidRPr="00DA0AD8">
        <w:rPr>
          <w:noProof/>
        </w:rPr>
        <w:fldChar w:fldCharType="end"/>
      </w:r>
    </w:p>
    <w:p w:rsidR="00DA0AD8" w:rsidRDefault="00DA0AD8">
      <w:pPr>
        <w:pStyle w:val="TOC5"/>
        <w:rPr>
          <w:rFonts w:asciiTheme="minorHAnsi" w:eastAsiaTheme="minorEastAsia" w:hAnsiTheme="minorHAnsi" w:cstheme="minorBidi"/>
          <w:noProof/>
          <w:kern w:val="0"/>
          <w:sz w:val="22"/>
          <w:szCs w:val="22"/>
        </w:rPr>
      </w:pPr>
      <w:r>
        <w:rPr>
          <w:noProof/>
        </w:rPr>
        <w:t>6.11</w:t>
      </w:r>
      <w:r>
        <w:rPr>
          <w:noProof/>
        </w:rPr>
        <w:tab/>
        <w:t>Matter not to be taken into account in determining sentence</w:t>
      </w:r>
      <w:r w:rsidRPr="00DA0AD8">
        <w:rPr>
          <w:noProof/>
        </w:rPr>
        <w:tab/>
      </w:r>
      <w:r w:rsidRPr="00DA0AD8">
        <w:rPr>
          <w:noProof/>
        </w:rPr>
        <w:fldChar w:fldCharType="begin"/>
      </w:r>
      <w:r w:rsidRPr="00DA0AD8">
        <w:rPr>
          <w:noProof/>
        </w:rPr>
        <w:instrText xml:space="preserve"> PAGEREF _Toc429131029 \h </w:instrText>
      </w:r>
      <w:r w:rsidRPr="00DA0AD8">
        <w:rPr>
          <w:noProof/>
        </w:rPr>
      </w:r>
      <w:r w:rsidRPr="00DA0AD8">
        <w:rPr>
          <w:noProof/>
        </w:rPr>
        <w:fldChar w:fldCharType="separate"/>
      </w:r>
      <w:r w:rsidRPr="00DA0AD8">
        <w:rPr>
          <w:noProof/>
        </w:rPr>
        <w:t>22</w:t>
      </w:r>
      <w:r w:rsidRPr="00DA0AD8">
        <w:rPr>
          <w:noProof/>
        </w:rPr>
        <w:fldChar w:fldCharType="end"/>
      </w:r>
    </w:p>
    <w:p w:rsidR="00DA0AD8" w:rsidRDefault="00DA0AD8">
      <w:pPr>
        <w:pStyle w:val="TOC5"/>
        <w:rPr>
          <w:rFonts w:asciiTheme="minorHAnsi" w:eastAsiaTheme="minorEastAsia" w:hAnsiTheme="minorHAnsi" w:cstheme="minorBidi"/>
          <w:noProof/>
          <w:kern w:val="0"/>
          <w:sz w:val="22"/>
          <w:szCs w:val="22"/>
        </w:rPr>
      </w:pPr>
      <w:r>
        <w:rPr>
          <w:noProof/>
        </w:rPr>
        <w:t>6.12</w:t>
      </w:r>
      <w:r>
        <w:rPr>
          <w:noProof/>
        </w:rPr>
        <w:tab/>
        <w:t>Evidence for hearing</w:t>
      </w:r>
      <w:r w:rsidRPr="00DA0AD8">
        <w:rPr>
          <w:noProof/>
        </w:rPr>
        <w:tab/>
      </w:r>
      <w:r w:rsidRPr="00DA0AD8">
        <w:rPr>
          <w:noProof/>
        </w:rPr>
        <w:fldChar w:fldCharType="begin"/>
      </w:r>
      <w:r w:rsidRPr="00DA0AD8">
        <w:rPr>
          <w:noProof/>
        </w:rPr>
        <w:instrText xml:space="preserve"> PAGEREF _Toc429131030 \h </w:instrText>
      </w:r>
      <w:r w:rsidRPr="00DA0AD8">
        <w:rPr>
          <w:noProof/>
        </w:rPr>
      </w:r>
      <w:r w:rsidRPr="00DA0AD8">
        <w:rPr>
          <w:noProof/>
        </w:rPr>
        <w:fldChar w:fldCharType="separate"/>
      </w:r>
      <w:r w:rsidRPr="00DA0AD8">
        <w:rPr>
          <w:noProof/>
        </w:rPr>
        <w:t>22</w:t>
      </w:r>
      <w:r w:rsidRPr="00DA0AD8">
        <w:rPr>
          <w:noProof/>
        </w:rPr>
        <w:fldChar w:fldCharType="end"/>
      </w:r>
    </w:p>
    <w:p w:rsidR="00DA0AD8" w:rsidRDefault="00DA0AD8">
      <w:pPr>
        <w:pStyle w:val="TOC2"/>
        <w:rPr>
          <w:rFonts w:asciiTheme="minorHAnsi" w:eastAsiaTheme="minorEastAsia" w:hAnsiTheme="minorHAnsi" w:cstheme="minorBidi"/>
          <w:b w:val="0"/>
          <w:noProof/>
          <w:kern w:val="0"/>
          <w:sz w:val="22"/>
          <w:szCs w:val="22"/>
        </w:rPr>
      </w:pPr>
      <w:r>
        <w:rPr>
          <w:noProof/>
        </w:rPr>
        <w:t>Part 7—Numbering of carriage services and regulation of electronic addressing</w:t>
      </w:r>
      <w:r w:rsidRPr="00DA0AD8">
        <w:rPr>
          <w:b w:val="0"/>
          <w:noProof/>
          <w:sz w:val="18"/>
        </w:rPr>
        <w:tab/>
      </w:r>
      <w:r w:rsidRPr="00DA0AD8">
        <w:rPr>
          <w:b w:val="0"/>
          <w:noProof/>
          <w:sz w:val="18"/>
        </w:rPr>
        <w:fldChar w:fldCharType="begin"/>
      </w:r>
      <w:r w:rsidRPr="00DA0AD8">
        <w:rPr>
          <w:b w:val="0"/>
          <w:noProof/>
          <w:sz w:val="18"/>
        </w:rPr>
        <w:instrText xml:space="preserve"> PAGEREF _Toc429131031 \h </w:instrText>
      </w:r>
      <w:r w:rsidRPr="00DA0AD8">
        <w:rPr>
          <w:b w:val="0"/>
          <w:noProof/>
          <w:sz w:val="18"/>
        </w:rPr>
      </w:r>
      <w:r w:rsidRPr="00DA0AD8">
        <w:rPr>
          <w:b w:val="0"/>
          <w:noProof/>
          <w:sz w:val="18"/>
        </w:rPr>
        <w:fldChar w:fldCharType="separate"/>
      </w:r>
      <w:r w:rsidRPr="00DA0AD8">
        <w:rPr>
          <w:b w:val="0"/>
          <w:noProof/>
          <w:sz w:val="18"/>
        </w:rPr>
        <w:t>24</w:t>
      </w:r>
      <w:r w:rsidRPr="00DA0AD8">
        <w:rPr>
          <w:b w:val="0"/>
          <w:noProof/>
          <w:sz w:val="18"/>
        </w:rPr>
        <w:fldChar w:fldCharType="end"/>
      </w:r>
    </w:p>
    <w:p w:rsidR="00DA0AD8" w:rsidRDefault="00DA0AD8">
      <w:pPr>
        <w:pStyle w:val="TOC2"/>
        <w:rPr>
          <w:rFonts w:asciiTheme="minorHAnsi" w:eastAsiaTheme="minorEastAsia" w:hAnsiTheme="minorHAnsi" w:cstheme="minorBidi"/>
          <w:b w:val="0"/>
          <w:noProof/>
          <w:kern w:val="0"/>
          <w:sz w:val="22"/>
          <w:szCs w:val="22"/>
        </w:rPr>
      </w:pPr>
      <w:r>
        <w:rPr>
          <w:noProof/>
        </w:rPr>
        <w:t>Part 8—Standard agreements for the supply of carriage services</w:t>
      </w:r>
      <w:r w:rsidRPr="00DA0AD8">
        <w:rPr>
          <w:b w:val="0"/>
          <w:noProof/>
          <w:sz w:val="18"/>
        </w:rPr>
        <w:tab/>
      </w:r>
      <w:r w:rsidRPr="00DA0AD8">
        <w:rPr>
          <w:b w:val="0"/>
          <w:noProof/>
          <w:sz w:val="18"/>
        </w:rPr>
        <w:fldChar w:fldCharType="begin"/>
      </w:r>
      <w:r w:rsidRPr="00DA0AD8">
        <w:rPr>
          <w:b w:val="0"/>
          <w:noProof/>
          <w:sz w:val="18"/>
        </w:rPr>
        <w:instrText xml:space="preserve"> PAGEREF _Toc429131032 \h </w:instrText>
      </w:r>
      <w:r w:rsidRPr="00DA0AD8">
        <w:rPr>
          <w:b w:val="0"/>
          <w:noProof/>
          <w:sz w:val="18"/>
        </w:rPr>
      </w:r>
      <w:r w:rsidRPr="00DA0AD8">
        <w:rPr>
          <w:b w:val="0"/>
          <w:noProof/>
          <w:sz w:val="18"/>
        </w:rPr>
        <w:fldChar w:fldCharType="separate"/>
      </w:r>
      <w:r w:rsidRPr="00DA0AD8">
        <w:rPr>
          <w:b w:val="0"/>
          <w:noProof/>
          <w:sz w:val="18"/>
        </w:rPr>
        <w:t>25</w:t>
      </w:r>
      <w:r w:rsidRPr="00DA0AD8">
        <w:rPr>
          <w:b w:val="0"/>
          <w:noProof/>
          <w:sz w:val="18"/>
        </w:rPr>
        <w:fldChar w:fldCharType="end"/>
      </w:r>
    </w:p>
    <w:p w:rsidR="00DA0AD8" w:rsidRDefault="00DA0AD8">
      <w:pPr>
        <w:pStyle w:val="TOC5"/>
        <w:rPr>
          <w:rFonts w:asciiTheme="minorHAnsi" w:eastAsiaTheme="minorEastAsia" w:hAnsiTheme="minorHAnsi" w:cstheme="minorBidi"/>
          <w:noProof/>
          <w:kern w:val="0"/>
          <w:sz w:val="22"/>
          <w:szCs w:val="22"/>
        </w:rPr>
      </w:pPr>
      <w:r>
        <w:rPr>
          <w:noProof/>
        </w:rPr>
        <w:t>8.1</w:t>
      </w:r>
      <w:r>
        <w:rPr>
          <w:noProof/>
        </w:rPr>
        <w:tab/>
        <w:t>Definition</w:t>
      </w:r>
      <w:r w:rsidRPr="00DA0AD8">
        <w:rPr>
          <w:noProof/>
        </w:rPr>
        <w:tab/>
      </w:r>
      <w:r w:rsidRPr="00DA0AD8">
        <w:rPr>
          <w:noProof/>
        </w:rPr>
        <w:fldChar w:fldCharType="begin"/>
      </w:r>
      <w:r w:rsidRPr="00DA0AD8">
        <w:rPr>
          <w:noProof/>
        </w:rPr>
        <w:instrText xml:space="preserve"> PAGEREF _Toc429131033 \h </w:instrText>
      </w:r>
      <w:r w:rsidRPr="00DA0AD8">
        <w:rPr>
          <w:noProof/>
        </w:rPr>
      </w:r>
      <w:r w:rsidRPr="00DA0AD8">
        <w:rPr>
          <w:noProof/>
        </w:rPr>
        <w:fldChar w:fldCharType="separate"/>
      </w:r>
      <w:r w:rsidRPr="00DA0AD8">
        <w:rPr>
          <w:noProof/>
        </w:rPr>
        <w:t>25</w:t>
      </w:r>
      <w:r w:rsidRPr="00DA0AD8">
        <w:rPr>
          <w:noProof/>
        </w:rPr>
        <w:fldChar w:fldCharType="end"/>
      </w:r>
    </w:p>
    <w:p w:rsidR="00DA0AD8" w:rsidRDefault="00DA0AD8">
      <w:pPr>
        <w:pStyle w:val="TOC5"/>
        <w:rPr>
          <w:rFonts w:asciiTheme="minorHAnsi" w:eastAsiaTheme="minorEastAsia" w:hAnsiTheme="minorHAnsi" w:cstheme="minorBidi"/>
          <w:noProof/>
          <w:kern w:val="0"/>
          <w:sz w:val="22"/>
          <w:szCs w:val="22"/>
        </w:rPr>
      </w:pPr>
      <w:r>
        <w:rPr>
          <w:noProof/>
        </w:rPr>
        <w:t>8.2</w:t>
      </w:r>
      <w:r>
        <w:rPr>
          <w:noProof/>
        </w:rPr>
        <w:tab/>
        <w:t>Carriage services (Act s 479 (1))</w:t>
      </w:r>
      <w:r w:rsidRPr="00DA0AD8">
        <w:rPr>
          <w:noProof/>
        </w:rPr>
        <w:tab/>
      </w:r>
      <w:r w:rsidRPr="00DA0AD8">
        <w:rPr>
          <w:noProof/>
        </w:rPr>
        <w:fldChar w:fldCharType="begin"/>
      </w:r>
      <w:r w:rsidRPr="00DA0AD8">
        <w:rPr>
          <w:noProof/>
        </w:rPr>
        <w:instrText xml:space="preserve"> PAGEREF _Toc429131034 \h </w:instrText>
      </w:r>
      <w:r w:rsidRPr="00DA0AD8">
        <w:rPr>
          <w:noProof/>
        </w:rPr>
      </w:r>
      <w:r w:rsidRPr="00DA0AD8">
        <w:rPr>
          <w:noProof/>
        </w:rPr>
        <w:fldChar w:fldCharType="separate"/>
      </w:r>
      <w:r w:rsidRPr="00DA0AD8">
        <w:rPr>
          <w:noProof/>
        </w:rPr>
        <w:t>25</w:t>
      </w:r>
      <w:r w:rsidRPr="00DA0AD8">
        <w:rPr>
          <w:noProof/>
        </w:rPr>
        <w:fldChar w:fldCharType="end"/>
      </w:r>
    </w:p>
    <w:p w:rsidR="00DA0AD8" w:rsidRDefault="00DA0AD8">
      <w:pPr>
        <w:pStyle w:val="TOC5"/>
        <w:rPr>
          <w:rFonts w:asciiTheme="minorHAnsi" w:eastAsiaTheme="minorEastAsia" w:hAnsiTheme="minorHAnsi" w:cstheme="minorBidi"/>
          <w:noProof/>
          <w:kern w:val="0"/>
          <w:sz w:val="22"/>
          <w:szCs w:val="22"/>
        </w:rPr>
      </w:pPr>
      <w:r>
        <w:rPr>
          <w:noProof/>
        </w:rPr>
        <w:t>8.3</w:t>
      </w:r>
      <w:r>
        <w:rPr>
          <w:noProof/>
        </w:rPr>
        <w:tab/>
        <w:t>Ancillary goods (Act s 479 (1))</w:t>
      </w:r>
      <w:r w:rsidRPr="00DA0AD8">
        <w:rPr>
          <w:noProof/>
        </w:rPr>
        <w:tab/>
      </w:r>
      <w:r w:rsidRPr="00DA0AD8">
        <w:rPr>
          <w:noProof/>
        </w:rPr>
        <w:fldChar w:fldCharType="begin"/>
      </w:r>
      <w:r w:rsidRPr="00DA0AD8">
        <w:rPr>
          <w:noProof/>
        </w:rPr>
        <w:instrText xml:space="preserve"> PAGEREF _Toc429131035 \h </w:instrText>
      </w:r>
      <w:r w:rsidRPr="00DA0AD8">
        <w:rPr>
          <w:noProof/>
        </w:rPr>
      </w:r>
      <w:r w:rsidRPr="00DA0AD8">
        <w:rPr>
          <w:noProof/>
        </w:rPr>
        <w:fldChar w:fldCharType="separate"/>
      </w:r>
      <w:r w:rsidRPr="00DA0AD8">
        <w:rPr>
          <w:noProof/>
        </w:rPr>
        <w:t>25</w:t>
      </w:r>
      <w:r w:rsidRPr="00DA0AD8">
        <w:rPr>
          <w:noProof/>
        </w:rPr>
        <w:fldChar w:fldCharType="end"/>
      </w:r>
    </w:p>
    <w:p w:rsidR="00DA0AD8" w:rsidRDefault="00DA0AD8">
      <w:pPr>
        <w:pStyle w:val="TOC5"/>
        <w:rPr>
          <w:rFonts w:asciiTheme="minorHAnsi" w:eastAsiaTheme="minorEastAsia" w:hAnsiTheme="minorHAnsi" w:cstheme="minorBidi"/>
          <w:noProof/>
          <w:kern w:val="0"/>
          <w:sz w:val="22"/>
          <w:szCs w:val="22"/>
        </w:rPr>
      </w:pPr>
      <w:r>
        <w:rPr>
          <w:noProof/>
        </w:rPr>
        <w:t>8.4</w:t>
      </w:r>
      <w:r>
        <w:rPr>
          <w:noProof/>
        </w:rPr>
        <w:tab/>
        <w:t>Ancillary services (Act s 479 (1))</w:t>
      </w:r>
      <w:r w:rsidRPr="00DA0AD8">
        <w:rPr>
          <w:noProof/>
        </w:rPr>
        <w:tab/>
      </w:r>
      <w:r w:rsidRPr="00DA0AD8">
        <w:rPr>
          <w:noProof/>
        </w:rPr>
        <w:fldChar w:fldCharType="begin"/>
      </w:r>
      <w:r w:rsidRPr="00DA0AD8">
        <w:rPr>
          <w:noProof/>
        </w:rPr>
        <w:instrText xml:space="preserve"> PAGEREF _Toc429131036 \h </w:instrText>
      </w:r>
      <w:r w:rsidRPr="00DA0AD8">
        <w:rPr>
          <w:noProof/>
        </w:rPr>
      </w:r>
      <w:r w:rsidRPr="00DA0AD8">
        <w:rPr>
          <w:noProof/>
        </w:rPr>
        <w:fldChar w:fldCharType="separate"/>
      </w:r>
      <w:r w:rsidRPr="00DA0AD8">
        <w:rPr>
          <w:noProof/>
        </w:rPr>
        <w:t>25</w:t>
      </w:r>
      <w:r w:rsidRPr="00DA0AD8">
        <w:rPr>
          <w:noProof/>
        </w:rPr>
        <w:fldChar w:fldCharType="end"/>
      </w:r>
    </w:p>
    <w:p w:rsidR="00DA0AD8" w:rsidRDefault="00DA0AD8">
      <w:pPr>
        <w:pStyle w:val="TOC2"/>
        <w:rPr>
          <w:rFonts w:asciiTheme="minorHAnsi" w:eastAsiaTheme="minorEastAsia" w:hAnsiTheme="minorHAnsi" w:cstheme="minorBidi"/>
          <w:b w:val="0"/>
          <w:noProof/>
          <w:kern w:val="0"/>
          <w:sz w:val="22"/>
          <w:szCs w:val="22"/>
        </w:rPr>
      </w:pPr>
      <w:r>
        <w:rPr>
          <w:noProof/>
        </w:rPr>
        <w:t>Part 9—Standard carrier licence conditions</w:t>
      </w:r>
      <w:r w:rsidRPr="00DA0AD8">
        <w:rPr>
          <w:b w:val="0"/>
          <w:noProof/>
          <w:sz w:val="18"/>
        </w:rPr>
        <w:tab/>
      </w:r>
      <w:r w:rsidRPr="00DA0AD8">
        <w:rPr>
          <w:b w:val="0"/>
          <w:noProof/>
          <w:sz w:val="18"/>
        </w:rPr>
        <w:fldChar w:fldCharType="begin"/>
      </w:r>
      <w:r w:rsidRPr="00DA0AD8">
        <w:rPr>
          <w:b w:val="0"/>
          <w:noProof/>
          <w:sz w:val="18"/>
        </w:rPr>
        <w:instrText xml:space="preserve"> PAGEREF _Toc429131037 \h </w:instrText>
      </w:r>
      <w:r w:rsidRPr="00DA0AD8">
        <w:rPr>
          <w:b w:val="0"/>
          <w:noProof/>
          <w:sz w:val="18"/>
        </w:rPr>
      </w:r>
      <w:r w:rsidRPr="00DA0AD8">
        <w:rPr>
          <w:b w:val="0"/>
          <w:noProof/>
          <w:sz w:val="18"/>
        </w:rPr>
        <w:fldChar w:fldCharType="separate"/>
      </w:r>
      <w:r w:rsidRPr="00DA0AD8">
        <w:rPr>
          <w:b w:val="0"/>
          <w:noProof/>
          <w:sz w:val="18"/>
        </w:rPr>
        <w:t>27</w:t>
      </w:r>
      <w:r w:rsidRPr="00DA0AD8">
        <w:rPr>
          <w:b w:val="0"/>
          <w:noProof/>
          <w:sz w:val="18"/>
        </w:rPr>
        <w:fldChar w:fldCharType="end"/>
      </w:r>
    </w:p>
    <w:p w:rsidR="00DA0AD8" w:rsidRDefault="00DA0AD8">
      <w:pPr>
        <w:pStyle w:val="TOC2"/>
        <w:rPr>
          <w:rFonts w:asciiTheme="minorHAnsi" w:eastAsiaTheme="minorEastAsia" w:hAnsiTheme="minorHAnsi" w:cstheme="minorBidi"/>
          <w:b w:val="0"/>
          <w:noProof/>
          <w:kern w:val="0"/>
          <w:sz w:val="22"/>
          <w:szCs w:val="22"/>
        </w:rPr>
      </w:pPr>
      <w:r>
        <w:rPr>
          <w:noProof/>
        </w:rPr>
        <w:t>Part 10—Standard service provider rules</w:t>
      </w:r>
      <w:r w:rsidRPr="00DA0AD8">
        <w:rPr>
          <w:b w:val="0"/>
          <w:noProof/>
          <w:sz w:val="18"/>
        </w:rPr>
        <w:tab/>
      </w:r>
      <w:r w:rsidRPr="00DA0AD8">
        <w:rPr>
          <w:b w:val="0"/>
          <w:noProof/>
          <w:sz w:val="18"/>
        </w:rPr>
        <w:fldChar w:fldCharType="begin"/>
      </w:r>
      <w:r w:rsidRPr="00DA0AD8">
        <w:rPr>
          <w:b w:val="0"/>
          <w:noProof/>
          <w:sz w:val="18"/>
        </w:rPr>
        <w:instrText xml:space="preserve"> PAGEREF _Toc429131038 \h </w:instrText>
      </w:r>
      <w:r w:rsidRPr="00DA0AD8">
        <w:rPr>
          <w:b w:val="0"/>
          <w:noProof/>
          <w:sz w:val="18"/>
        </w:rPr>
      </w:r>
      <w:r w:rsidRPr="00DA0AD8">
        <w:rPr>
          <w:b w:val="0"/>
          <w:noProof/>
          <w:sz w:val="18"/>
        </w:rPr>
        <w:fldChar w:fldCharType="separate"/>
      </w:r>
      <w:r w:rsidRPr="00DA0AD8">
        <w:rPr>
          <w:b w:val="0"/>
          <w:noProof/>
          <w:sz w:val="18"/>
        </w:rPr>
        <w:t>28</w:t>
      </w:r>
      <w:r w:rsidRPr="00DA0AD8">
        <w:rPr>
          <w:b w:val="0"/>
          <w:noProof/>
          <w:sz w:val="18"/>
        </w:rPr>
        <w:fldChar w:fldCharType="end"/>
      </w:r>
    </w:p>
    <w:p w:rsidR="00DA0AD8" w:rsidRDefault="00DA0AD8">
      <w:pPr>
        <w:pStyle w:val="TOC2"/>
        <w:rPr>
          <w:rFonts w:asciiTheme="minorHAnsi" w:eastAsiaTheme="minorEastAsia" w:hAnsiTheme="minorHAnsi" w:cstheme="minorBidi"/>
          <w:b w:val="0"/>
          <w:noProof/>
          <w:kern w:val="0"/>
          <w:sz w:val="22"/>
          <w:szCs w:val="22"/>
        </w:rPr>
      </w:pPr>
      <w:r>
        <w:rPr>
          <w:noProof/>
        </w:rPr>
        <w:t>Part 11—Carriers’ powers and immunities</w:t>
      </w:r>
      <w:r w:rsidRPr="00DA0AD8">
        <w:rPr>
          <w:b w:val="0"/>
          <w:noProof/>
          <w:sz w:val="18"/>
        </w:rPr>
        <w:tab/>
      </w:r>
      <w:r w:rsidRPr="00DA0AD8">
        <w:rPr>
          <w:b w:val="0"/>
          <w:noProof/>
          <w:sz w:val="18"/>
        </w:rPr>
        <w:fldChar w:fldCharType="begin"/>
      </w:r>
      <w:r w:rsidRPr="00DA0AD8">
        <w:rPr>
          <w:b w:val="0"/>
          <w:noProof/>
          <w:sz w:val="18"/>
        </w:rPr>
        <w:instrText xml:space="preserve"> PAGEREF _Toc429131039 \h </w:instrText>
      </w:r>
      <w:r w:rsidRPr="00DA0AD8">
        <w:rPr>
          <w:b w:val="0"/>
          <w:noProof/>
          <w:sz w:val="18"/>
        </w:rPr>
      </w:r>
      <w:r w:rsidRPr="00DA0AD8">
        <w:rPr>
          <w:b w:val="0"/>
          <w:noProof/>
          <w:sz w:val="18"/>
        </w:rPr>
        <w:fldChar w:fldCharType="separate"/>
      </w:r>
      <w:r w:rsidRPr="00DA0AD8">
        <w:rPr>
          <w:b w:val="0"/>
          <w:noProof/>
          <w:sz w:val="18"/>
        </w:rPr>
        <w:t>29</w:t>
      </w:r>
      <w:r w:rsidRPr="00DA0AD8">
        <w:rPr>
          <w:b w:val="0"/>
          <w:noProof/>
          <w:sz w:val="18"/>
        </w:rPr>
        <w:fldChar w:fldCharType="end"/>
      </w:r>
    </w:p>
    <w:p w:rsidR="00DA0AD8" w:rsidRDefault="00DA0AD8">
      <w:pPr>
        <w:pStyle w:val="TOC5"/>
        <w:rPr>
          <w:rFonts w:asciiTheme="minorHAnsi" w:eastAsiaTheme="minorEastAsia" w:hAnsiTheme="minorHAnsi" w:cstheme="minorBidi"/>
          <w:noProof/>
          <w:kern w:val="0"/>
          <w:sz w:val="22"/>
          <w:szCs w:val="22"/>
        </w:rPr>
      </w:pPr>
      <w:r>
        <w:rPr>
          <w:noProof/>
        </w:rPr>
        <w:t>11.1</w:t>
      </w:r>
      <w:r>
        <w:rPr>
          <w:noProof/>
        </w:rPr>
        <w:tab/>
        <w:t>Listed international agreements (Act, Schedule 3)</w:t>
      </w:r>
      <w:r w:rsidRPr="00DA0AD8">
        <w:rPr>
          <w:noProof/>
        </w:rPr>
        <w:tab/>
      </w:r>
      <w:r w:rsidRPr="00DA0AD8">
        <w:rPr>
          <w:noProof/>
        </w:rPr>
        <w:fldChar w:fldCharType="begin"/>
      </w:r>
      <w:r w:rsidRPr="00DA0AD8">
        <w:rPr>
          <w:noProof/>
        </w:rPr>
        <w:instrText xml:space="preserve"> PAGEREF _Toc429131040 \h </w:instrText>
      </w:r>
      <w:r w:rsidRPr="00DA0AD8">
        <w:rPr>
          <w:noProof/>
        </w:rPr>
      </w:r>
      <w:r w:rsidRPr="00DA0AD8">
        <w:rPr>
          <w:noProof/>
        </w:rPr>
        <w:fldChar w:fldCharType="separate"/>
      </w:r>
      <w:r w:rsidRPr="00DA0AD8">
        <w:rPr>
          <w:noProof/>
        </w:rPr>
        <w:t>29</w:t>
      </w:r>
      <w:r w:rsidRPr="00DA0AD8">
        <w:rPr>
          <w:noProof/>
        </w:rPr>
        <w:fldChar w:fldCharType="end"/>
      </w:r>
    </w:p>
    <w:p w:rsidR="00DA0AD8" w:rsidRDefault="00DA0AD8">
      <w:pPr>
        <w:pStyle w:val="TOC5"/>
        <w:rPr>
          <w:rFonts w:asciiTheme="minorHAnsi" w:eastAsiaTheme="minorEastAsia" w:hAnsiTheme="minorHAnsi" w:cstheme="minorBidi"/>
          <w:noProof/>
          <w:kern w:val="0"/>
          <w:sz w:val="22"/>
          <w:szCs w:val="22"/>
        </w:rPr>
      </w:pPr>
      <w:r>
        <w:rPr>
          <w:noProof/>
        </w:rPr>
        <w:t>11.2</w:t>
      </w:r>
      <w:r>
        <w:rPr>
          <w:noProof/>
        </w:rPr>
        <w:tab/>
        <w:t>Designated overhead line (Act, Schedule 3)</w:t>
      </w:r>
      <w:r w:rsidRPr="00DA0AD8">
        <w:rPr>
          <w:noProof/>
        </w:rPr>
        <w:tab/>
      </w:r>
      <w:r w:rsidRPr="00DA0AD8">
        <w:rPr>
          <w:noProof/>
        </w:rPr>
        <w:fldChar w:fldCharType="begin"/>
      </w:r>
      <w:r w:rsidRPr="00DA0AD8">
        <w:rPr>
          <w:noProof/>
        </w:rPr>
        <w:instrText xml:space="preserve"> PAGEREF _Toc429131041 \h </w:instrText>
      </w:r>
      <w:r w:rsidRPr="00DA0AD8">
        <w:rPr>
          <w:noProof/>
        </w:rPr>
      </w:r>
      <w:r w:rsidRPr="00DA0AD8">
        <w:rPr>
          <w:noProof/>
        </w:rPr>
        <w:fldChar w:fldCharType="separate"/>
      </w:r>
      <w:r w:rsidRPr="00DA0AD8">
        <w:rPr>
          <w:noProof/>
        </w:rPr>
        <w:t>29</w:t>
      </w:r>
      <w:r w:rsidRPr="00DA0AD8">
        <w:rPr>
          <w:noProof/>
        </w:rPr>
        <w:fldChar w:fldCharType="end"/>
      </w:r>
    </w:p>
    <w:p w:rsidR="00DA0AD8" w:rsidRDefault="00DA0AD8">
      <w:pPr>
        <w:pStyle w:val="TOC1"/>
        <w:rPr>
          <w:rFonts w:asciiTheme="minorHAnsi" w:eastAsiaTheme="minorEastAsia" w:hAnsiTheme="minorHAnsi" w:cstheme="minorBidi"/>
          <w:b w:val="0"/>
          <w:noProof/>
          <w:kern w:val="0"/>
          <w:sz w:val="22"/>
          <w:szCs w:val="22"/>
        </w:rPr>
      </w:pPr>
      <w:r>
        <w:rPr>
          <w:noProof/>
        </w:rPr>
        <w:t>Schedule 1—Listed international agreements</w:t>
      </w:r>
      <w:r w:rsidRPr="00DA0AD8">
        <w:rPr>
          <w:b w:val="0"/>
          <w:noProof/>
          <w:sz w:val="18"/>
        </w:rPr>
        <w:tab/>
      </w:r>
      <w:r w:rsidRPr="00DA0AD8">
        <w:rPr>
          <w:b w:val="0"/>
          <w:noProof/>
          <w:sz w:val="18"/>
        </w:rPr>
        <w:fldChar w:fldCharType="begin"/>
      </w:r>
      <w:r w:rsidRPr="00DA0AD8">
        <w:rPr>
          <w:b w:val="0"/>
          <w:noProof/>
          <w:sz w:val="18"/>
        </w:rPr>
        <w:instrText xml:space="preserve"> PAGEREF _Toc429131042 \h </w:instrText>
      </w:r>
      <w:r w:rsidRPr="00DA0AD8">
        <w:rPr>
          <w:b w:val="0"/>
          <w:noProof/>
          <w:sz w:val="18"/>
        </w:rPr>
      </w:r>
      <w:r w:rsidRPr="00DA0AD8">
        <w:rPr>
          <w:b w:val="0"/>
          <w:noProof/>
          <w:sz w:val="18"/>
        </w:rPr>
        <w:fldChar w:fldCharType="separate"/>
      </w:r>
      <w:r w:rsidRPr="00DA0AD8">
        <w:rPr>
          <w:b w:val="0"/>
          <w:noProof/>
          <w:sz w:val="18"/>
        </w:rPr>
        <w:t>30</w:t>
      </w:r>
      <w:r w:rsidRPr="00DA0AD8">
        <w:rPr>
          <w:b w:val="0"/>
          <w:noProof/>
          <w:sz w:val="18"/>
        </w:rPr>
        <w:fldChar w:fldCharType="end"/>
      </w:r>
    </w:p>
    <w:p w:rsidR="00DA0AD8" w:rsidRDefault="00DA0AD8" w:rsidP="00DA0AD8">
      <w:pPr>
        <w:pStyle w:val="TOC2"/>
        <w:rPr>
          <w:rFonts w:asciiTheme="minorHAnsi" w:eastAsiaTheme="minorEastAsia" w:hAnsiTheme="minorHAnsi" w:cstheme="minorBidi"/>
          <w:b w:val="0"/>
          <w:noProof/>
          <w:kern w:val="0"/>
          <w:sz w:val="22"/>
          <w:szCs w:val="22"/>
        </w:rPr>
      </w:pPr>
      <w:r>
        <w:rPr>
          <w:noProof/>
        </w:rPr>
        <w:t>Endnotes</w:t>
      </w:r>
      <w:r w:rsidRPr="00DA0AD8">
        <w:rPr>
          <w:b w:val="0"/>
          <w:noProof/>
          <w:sz w:val="18"/>
        </w:rPr>
        <w:tab/>
      </w:r>
      <w:r w:rsidRPr="00DA0AD8">
        <w:rPr>
          <w:b w:val="0"/>
          <w:noProof/>
          <w:sz w:val="18"/>
        </w:rPr>
        <w:fldChar w:fldCharType="begin"/>
      </w:r>
      <w:r w:rsidRPr="00DA0AD8">
        <w:rPr>
          <w:b w:val="0"/>
          <w:noProof/>
          <w:sz w:val="18"/>
        </w:rPr>
        <w:instrText xml:space="preserve"> PAGEREF _Toc429131043 \h </w:instrText>
      </w:r>
      <w:r w:rsidRPr="00DA0AD8">
        <w:rPr>
          <w:b w:val="0"/>
          <w:noProof/>
          <w:sz w:val="18"/>
        </w:rPr>
      </w:r>
      <w:r w:rsidRPr="00DA0AD8">
        <w:rPr>
          <w:b w:val="0"/>
          <w:noProof/>
          <w:sz w:val="18"/>
        </w:rPr>
        <w:fldChar w:fldCharType="separate"/>
      </w:r>
      <w:r w:rsidRPr="00DA0AD8">
        <w:rPr>
          <w:b w:val="0"/>
          <w:noProof/>
          <w:sz w:val="18"/>
        </w:rPr>
        <w:t>33</w:t>
      </w:r>
      <w:r w:rsidRPr="00DA0AD8">
        <w:rPr>
          <w:b w:val="0"/>
          <w:noProof/>
          <w:sz w:val="18"/>
        </w:rPr>
        <w:fldChar w:fldCharType="end"/>
      </w:r>
    </w:p>
    <w:p w:rsidR="00DA0AD8" w:rsidRDefault="00DA0AD8">
      <w:pPr>
        <w:pStyle w:val="TOC3"/>
        <w:rPr>
          <w:rFonts w:asciiTheme="minorHAnsi" w:eastAsiaTheme="minorEastAsia" w:hAnsiTheme="minorHAnsi" w:cstheme="minorBidi"/>
          <w:b w:val="0"/>
          <w:noProof/>
          <w:kern w:val="0"/>
          <w:szCs w:val="22"/>
        </w:rPr>
      </w:pPr>
      <w:r>
        <w:rPr>
          <w:noProof/>
        </w:rPr>
        <w:t>Endnote 1—About the endnotes</w:t>
      </w:r>
      <w:r w:rsidRPr="00DA0AD8">
        <w:rPr>
          <w:b w:val="0"/>
          <w:noProof/>
          <w:sz w:val="18"/>
        </w:rPr>
        <w:tab/>
      </w:r>
      <w:r w:rsidRPr="00DA0AD8">
        <w:rPr>
          <w:b w:val="0"/>
          <w:noProof/>
          <w:sz w:val="18"/>
        </w:rPr>
        <w:fldChar w:fldCharType="begin"/>
      </w:r>
      <w:r w:rsidRPr="00DA0AD8">
        <w:rPr>
          <w:b w:val="0"/>
          <w:noProof/>
          <w:sz w:val="18"/>
        </w:rPr>
        <w:instrText xml:space="preserve"> PAGEREF _Toc429131044 \h </w:instrText>
      </w:r>
      <w:r w:rsidRPr="00DA0AD8">
        <w:rPr>
          <w:b w:val="0"/>
          <w:noProof/>
          <w:sz w:val="18"/>
        </w:rPr>
      </w:r>
      <w:r w:rsidRPr="00DA0AD8">
        <w:rPr>
          <w:b w:val="0"/>
          <w:noProof/>
          <w:sz w:val="18"/>
        </w:rPr>
        <w:fldChar w:fldCharType="separate"/>
      </w:r>
      <w:r w:rsidRPr="00DA0AD8">
        <w:rPr>
          <w:b w:val="0"/>
          <w:noProof/>
          <w:sz w:val="18"/>
        </w:rPr>
        <w:t>33</w:t>
      </w:r>
      <w:r w:rsidRPr="00DA0AD8">
        <w:rPr>
          <w:b w:val="0"/>
          <w:noProof/>
          <w:sz w:val="18"/>
        </w:rPr>
        <w:fldChar w:fldCharType="end"/>
      </w:r>
    </w:p>
    <w:p w:rsidR="00DA0AD8" w:rsidRDefault="00DA0AD8">
      <w:pPr>
        <w:pStyle w:val="TOC3"/>
        <w:rPr>
          <w:rFonts w:asciiTheme="minorHAnsi" w:eastAsiaTheme="minorEastAsia" w:hAnsiTheme="minorHAnsi" w:cstheme="minorBidi"/>
          <w:b w:val="0"/>
          <w:noProof/>
          <w:kern w:val="0"/>
          <w:szCs w:val="22"/>
        </w:rPr>
      </w:pPr>
      <w:r>
        <w:rPr>
          <w:noProof/>
        </w:rPr>
        <w:t>Endnote 2—Abbreviation key</w:t>
      </w:r>
      <w:r w:rsidRPr="00DA0AD8">
        <w:rPr>
          <w:b w:val="0"/>
          <w:noProof/>
          <w:sz w:val="18"/>
        </w:rPr>
        <w:tab/>
      </w:r>
      <w:r w:rsidRPr="00DA0AD8">
        <w:rPr>
          <w:b w:val="0"/>
          <w:noProof/>
          <w:sz w:val="18"/>
        </w:rPr>
        <w:fldChar w:fldCharType="begin"/>
      </w:r>
      <w:r w:rsidRPr="00DA0AD8">
        <w:rPr>
          <w:b w:val="0"/>
          <w:noProof/>
          <w:sz w:val="18"/>
        </w:rPr>
        <w:instrText xml:space="preserve"> PAGEREF _Toc429131045 \h </w:instrText>
      </w:r>
      <w:r w:rsidRPr="00DA0AD8">
        <w:rPr>
          <w:b w:val="0"/>
          <w:noProof/>
          <w:sz w:val="18"/>
        </w:rPr>
      </w:r>
      <w:r w:rsidRPr="00DA0AD8">
        <w:rPr>
          <w:b w:val="0"/>
          <w:noProof/>
          <w:sz w:val="18"/>
        </w:rPr>
        <w:fldChar w:fldCharType="separate"/>
      </w:r>
      <w:r w:rsidRPr="00DA0AD8">
        <w:rPr>
          <w:b w:val="0"/>
          <w:noProof/>
          <w:sz w:val="18"/>
        </w:rPr>
        <w:t>35</w:t>
      </w:r>
      <w:r w:rsidRPr="00DA0AD8">
        <w:rPr>
          <w:b w:val="0"/>
          <w:noProof/>
          <w:sz w:val="18"/>
        </w:rPr>
        <w:fldChar w:fldCharType="end"/>
      </w:r>
    </w:p>
    <w:p w:rsidR="00DA0AD8" w:rsidRDefault="00DA0AD8">
      <w:pPr>
        <w:pStyle w:val="TOC3"/>
        <w:rPr>
          <w:rFonts w:asciiTheme="minorHAnsi" w:eastAsiaTheme="minorEastAsia" w:hAnsiTheme="minorHAnsi" w:cstheme="minorBidi"/>
          <w:b w:val="0"/>
          <w:noProof/>
          <w:kern w:val="0"/>
          <w:szCs w:val="22"/>
        </w:rPr>
      </w:pPr>
      <w:r>
        <w:rPr>
          <w:noProof/>
        </w:rPr>
        <w:t>Endnote 3—Legislation history</w:t>
      </w:r>
      <w:r w:rsidRPr="00DA0AD8">
        <w:rPr>
          <w:b w:val="0"/>
          <w:noProof/>
          <w:sz w:val="18"/>
        </w:rPr>
        <w:tab/>
      </w:r>
      <w:r w:rsidRPr="00DA0AD8">
        <w:rPr>
          <w:b w:val="0"/>
          <w:noProof/>
          <w:sz w:val="18"/>
        </w:rPr>
        <w:fldChar w:fldCharType="begin"/>
      </w:r>
      <w:r w:rsidRPr="00DA0AD8">
        <w:rPr>
          <w:b w:val="0"/>
          <w:noProof/>
          <w:sz w:val="18"/>
        </w:rPr>
        <w:instrText xml:space="preserve"> PAGEREF _Toc429131046 \h </w:instrText>
      </w:r>
      <w:r w:rsidRPr="00DA0AD8">
        <w:rPr>
          <w:b w:val="0"/>
          <w:noProof/>
          <w:sz w:val="18"/>
        </w:rPr>
      </w:r>
      <w:r w:rsidRPr="00DA0AD8">
        <w:rPr>
          <w:b w:val="0"/>
          <w:noProof/>
          <w:sz w:val="18"/>
        </w:rPr>
        <w:fldChar w:fldCharType="separate"/>
      </w:r>
      <w:r w:rsidRPr="00DA0AD8">
        <w:rPr>
          <w:b w:val="0"/>
          <w:noProof/>
          <w:sz w:val="18"/>
        </w:rPr>
        <w:t>36</w:t>
      </w:r>
      <w:r w:rsidRPr="00DA0AD8">
        <w:rPr>
          <w:b w:val="0"/>
          <w:noProof/>
          <w:sz w:val="18"/>
        </w:rPr>
        <w:fldChar w:fldCharType="end"/>
      </w:r>
    </w:p>
    <w:p w:rsidR="00DA0AD8" w:rsidRPr="00DA0AD8" w:rsidRDefault="00DA0AD8">
      <w:pPr>
        <w:pStyle w:val="TOC3"/>
        <w:rPr>
          <w:rFonts w:eastAsiaTheme="minorEastAsia"/>
          <w:b w:val="0"/>
          <w:noProof/>
          <w:kern w:val="0"/>
          <w:sz w:val="18"/>
          <w:szCs w:val="22"/>
        </w:rPr>
      </w:pPr>
      <w:r>
        <w:rPr>
          <w:noProof/>
        </w:rPr>
        <w:t>Endnote 4—Amendment history</w:t>
      </w:r>
      <w:r w:rsidRPr="00DA0AD8">
        <w:rPr>
          <w:b w:val="0"/>
          <w:noProof/>
          <w:sz w:val="18"/>
        </w:rPr>
        <w:tab/>
      </w:r>
      <w:r w:rsidRPr="00DA0AD8">
        <w:rPr>
          <w:b w:val="0"/>
          <w:noProof/>
          <w:sz w:val="18"/>
        </w:rPr>
        <w:fldChar w:fldCharType="begin"/>
      </w:r>
      <w:r w:rsidRPr="00DA0AD8">
        <w:rPr>
          <w:b w:val="0"/>
          <w:noProof/>
          <w:sz w:val="18"/>
        </w:rPr>
        <w:instrText xml:space="preserve"> PAGEREF _Toc429131047 \h </w:instrText>
      </w:r>
      <w:r w:rsidRPr="00DA0AD8">
        <w:rPr>
          <w:b w:val="0"/>
          <w:noProof/>
          <w:sz w:val="18"/>
        </w:rPr>
      </w:r>
      <w:r w:rsidRPr="00DA0AD8">
        <w:rPr>
          <w:b w:val="0"/>
          <w:noProof/>
          <w:sz w:val="18"/>
        </w:rPr>
        <w:fldChar w:fldCharType="separate"/>
      </w:r>
      <w:r w:rsidRPr="00DA0AD8">
        <w:rPr>
          <w:b w:val="0"/>
          <w:noProof/>
          <w:sz w:val="18"/>
        </w:rPr>
        <w:t>37</w:t>
      </w:r>
      <w:r w:rsidRPr="00DA0AD8">
        <w:rPr>
          <w:b w:val="0"/>
          <w:noProof/>
          <w:sz w:val="18"/>
        </w:rPr>
        <w:fldChar w:fldCharType="end"/>
      </w:r>
    </w:p>
    <w:p w:rsidR="00331BA8" w:rsidRPr="00243ED2" w:rsidRDefault="00B573F7" w:rsidP="00331BA8">
      <w:r w:rsidRPr="00DA0AD8">
        <w:rPr>
          <w:rFonts w:cs="Times New Roman"/>
          <w:sz w:val="18"/>
        </w:rPr>
        <w:fldChar w:fldCharType="end"/>
      </w:r>
    </w:p>
    <w:p w:rsidR="004D263E" w:rsidRPr="00243ED2" w:rsidRDefault="004D263E" w:rsidP="004A1E86">
      <w:pPr>
        <w:sectPr w:rsidR="004D263E" w:rsidRPr="00243ED2" w:rsidSect="00005070">
          <w:headerReference w:type="even" r:id="rId17"/>
          <w:headerReference w:type="default" r:id="rId18"/>
          <w:footerReference w:type="even" r:id="rId19"/>
          <w:footerReference w:type="default" r:id="rId20"/>
          <w:headerReference w:type="first" r:id="rId21"/>
          <w:pgSz w:w="11907" w:h="16839"/>
          <w:pgMar w:top="2381" w:right="2410" w:bottom="4253" w:left="2410" w:header="720" w:footer="3402" w:gutter="0"/>
          <w:pgNumType w:fmt="lowerRoman" w:start="1"/>
          <w:cols w:space="708"/>
          <w:docGrid w:linePitch="360"/>
        </w:sectPr>
      </w:pPr>
      <w:bookmarkStart w:id="1" w:name="OPCSB_ContentsB5"/>
    </w:p>
    <w:p w:rsidR="00CE2B1D" w:rsidRPr="00243ED2" w:rsidRDefault="00CE2B1D" w:rsidP="00331BA8">
      <w:pPr>
        <w:pStyle w:val="ActHead2"/>
      </w:pPr>
      <w:bookmarkStart w:id="2" w:name="_Toc429130995"/>
      <w:bookmarkEnd w:id="1"/>
      <w:r w:rsidRPr="003A4363">
        <w:rPr>
          <w:rStyle w:val="CharPartNo"/>
        </w:rPr>
        <w:lastRenderedPageBreak/>
        <w:t>Part</w:t>
      </w:r>
      <w:r w:rsidR="00243ED2" w:rsidRPr="003A4363">
        <w:rPr>
          <w:rStyle w:val="CharPartNo"/>
        </w:rPr>
        <w:t> </w:t>
      </w:r>
      <w:r w:rsidRPr="003A4363">
        <w:rPr>
          <w:rStyle w:val="CharPartNo"/>
        </w:rPr>
        <w:t>1</w:t>
      </w:r>
      <w:r w:rsidR="00331BA8" w:rsidRPr="00243ED2">
        <w:t>—</w:t>
      </w:r>
      <w:r w:rsidRPr="003A4363">
        <w:rPr>
          <w:rStyle w:val="CharPartText"/>
        </w:rPr>
        <w:t>Preliminary</w:t>
      </w:r>
      <w:bookmarkEnd w:id="2"/>
    </w:p>
    <w:p w:rsidR="00CE2B1D" w:rsidRPr="003A4363" w:rsidRDefault="00331BA8" w:rsidP="00CE2B1D">
      <w:pPr>
        <w:pStyle w:val="Header"/>
      </w:pPr>
      <w:r w:rsidRPr="003A4363">
        <w:rPr>
          <w:rStyle w:val="CharDivNo"/>
        </w:rPr>
        <w:t xml:space="preserve"> </w:t>
      </w:r>
      <w:r w:rsidRPr="003A4363">
        <w:rPr>
          <w:rStyle w:val="CharDivText"/>
        </w:rPr>
        <w:t xml:space="preserve"> </w:t>
      </w:r>
    </w:p>
    <w:p w:rsidR="00CE2B1D" w:rsidRPr="00243ED2" w:rsidRDefault="00CE2B1D" w:rsidP="00331BA8">
      <w:pPr>
        <w:pStyle w:val="ActHead5"/>
        <w:rPr>
          <w:sz w:val="18"/>
        </w:rPr>
      </w:pPr>
      <w:bookmarkStart w:id="3" w:name="_Toc429130996"/>
      <w:r w:rsidRPr="003A4363">
        <w:rPr>
          <w:rStyle w:val="CharSectno"/>
        </w:rPr>
        <w:t>1.1</w:t>
      </w:r>
      <w:r w:rsidR="00331BA8" w:rsidRPr="00243ED2">
        <w:t xml:space="preserve">  </w:t>
      </w:r>
      <w:r w:rsidRPr="00243ED2">
        <w:t>Name of Regulations</w:t>
      </w:r>
      <w:bookmarkEnd w:id="3"/>
    </w:p>
    <w:p w:rsidR="00CE2B1D" w:rsidRPr="00243ED2" w:rsidRDefault="00CE2B1D" w:rsidP="00331BA8">
      <w:pPr>
        <w:pStyle w:val="subsection"/>
      </w:pPr>
      <w:r w:rsidRPr="00243ED2">
        <w:tab/>
      </w:r>
      <w:r w:rsidRPr="00243ED2">
        <w:tab/>
        <w:t xml:space="preserve">These Regulations are the </w:t>
      </w:r>
      <w:r w:rsidRPr="00243ED2">
        <w:rPr>
          <w:i/>
        </w:rPr>
        <w:t>Telecommunications Regulations</w:t>
      </w:r>
      <w:r w:rsidR="00243ED2">
        <w:rPr>
          <w:i/>
        </w:rPr>
        <w:t> </w:t>
      </w:r>
      <w:r w:rsidRPr="00243ED2">
        <w:rPr>
          <w:i/>
        </w:rPr>
        <w:t>2001</w:t>
      </w:r>
      <w:r w:rsidRPr="00243ED2">
        <w:t>.</w:t>
      </w:r>
    </w:p>
    <w:p w:rsidR="00CE2B1D" w:rsidRPr="00243ED2" w:rsidRDefault="00CE2B1D" w:rsidP="00331BA8">
      <w:pPr>
        <w:pStyle w:val="ActHead5"/>
        <w:rPr>
          <w:sz w:val="18"/>
        </w:rPr>
      </w:pPr>
      <w:bookmarkStart w:id="4" w:name="_Toc429130997"/>
      <w:r w:rsidRPr="003A4363">
        <w:rPr>
          <w:rStyle w:val="CharSectno"/>
        </w:rPr>
        <w:t>1.2</w:t>
      </w:r>
      <w:r w:rsidR="00331BA8" w:rsidRPr="00243ED2">
        <w:t xml:space="preserve">  </w:t>
      </w:r>
      <w:r w:rsidRPr="00243ED2">
        <w:t>Commencement</w:t>
      </w:r>
      <w:bookmarkEnd w:id="4"/>
    </w:p>
    <w:p w:rsidR="00CE2B1D" w:rsidRPr="00243ED2" w:rsidRDefault="00CE2B1D" w:rsidP="00331BA8">
      <w:pPr>
        <w:pStyle w:val="subsection"/>
      </w:pPr>
      <w:r w:rsidRPr="00243ED2">
        <w:tab/>
      </w:r>
      <w:r w:rsidRPr="00243ED2">
        <w:tab/>
        <w:t>These Regulations commence on gazettal.</w:t>
      </w:r>
    </w:p>
    <w:p w:rsidR="00CE2B1D" w:rsidRPr="00243ED2" w:rsidRDefault="00CE2B1D" w:rsidP="00331BA8">
      <w:pPr>
        <w:pStyle w:val="ActHead5"/>
      </w:pPr>
      <w:bookmarkStart w:id="5" w:name="_Toc429130998"/>
      <w:r w:rsidRPr="003A4363">
        <w:rPr>
          <w:rStyle w:val="CharSectno"/>
        </w:rPr>
        <w:t>1.7</w:t>
      </w:r>
      <w:r w:rsidR="00331BA8" w:rsidRPr="00243ED2">
        <w:t xml:space="preserve">  </w:t>
      </w:r>
      <w:r w:rsidRPr="00243ED2">
        <w:t>Definitions</w:t>
      </w:r>
      <w:bookmarkEnd w:id="5"/>
    </w:p>
    <w:p w:rsidR="00CE2B1D" w:rsidRPr="00243ED2" w:rsidRDefault="00CE2B1D" w:rsidP="00331BA8">
      <w:pPr>
        <w:pStyle w:val="subsection"/>
      </w:pPr>
      <w:r w:rsidRPr="00243ED2">
        <w:tab/>
      </w:r>
      <w:r w:rsidRPr="00243ED2">
        <w:tab/>
        <w:t>In these Regulations:</w:t>
      </w:r>
    </w:p>
    <w:p w:rsidR="00CE2B1D" w:rsidRPr="00243ED2" w:rsidRDefault="00CE2B1D" w:rsidP="00331BA8">
      <w:pPr>
        <w:pStyle w:val="Definition"/>
      </w:pPr>
      <w:r w:rsidRPr="00243ED2">
        <w:rPr>
          <w:b/>
          <w:i/>
        </w:rPr>
        <w:t xml:space="preserve">Act </w:t>
      </w:r>
      <w:r w:rsidRPr="00243ED2">
        <w:t xml:space="preserve">means the </w:t>
      </w:r>
      <w:r w:rsidRPr="00243ED2">
        <w:rPr>
          <w:i/>
        </w:rPr>
        <w:t>Telecommunications Act 1997</w:t>
      </w:r>
      <w:r w:rsidRPr="00243ED2">
        <w:t>.</w:t>
      </w:r>
    </w:p>
    <w:p w:rsidR="00CE2B1D" w:rsidRPr="00243ED2" w:rsidRDefault="00CE2B1D" w:rsidP="00331BA8">
      <w:pPr>
        <w:pStyle w:val="Definition"/>
      </w:pPr>
      <w:r w:rsidRPr="00243ED2">
        <w:rPr>
          <w:b/>
          <w:bCs/>
          <w:i/>
          <w:iCs/>
        </w:rPr>
        <w:t>authorised person</w:t>
      </w:r>
      <w:r w:rsidRPr="00243ED2">
        <w:t>, for Part</w:t>
      </w:r>
      <w:r w:rsidR="00243ED2">
        <w:t> </w:t>
      </w:r>
      <w:r w:rsidRPr="00243ED2">
        <w:t>6, means:</w:t>
      </w:r>
    </w:p>
    <w:p w:rsidR="00CE2B1D" w:rsidRPr="00243ED2" w:rsidRDefault="00CE2B1D" w:rsidP="00331BA8">
      <w:pPr>
        <w:pStyle w:val="paragraph"/>
      </w:pPr>
      <w:r w:rsidRPr="00243ED2">
        <w:tab/>
        <w:t>(a)</w:t>
      </w:r>
      <w:r w:rsidRPr="00243ED2">
        <w:tab/>
        <w:t>the Chairman; or</w:t>
      </w:r>
    </w:p>
    <w:p w:rsidR="00CE2B1D" w:rsidRPr="00243ED2" w:rsidRDefault="00CE2B1D" w:rsidP="00331BA8">
      <w:pPr>
        <w:pStyle w:val="paragraph"/>
      </w:pPr>
      <w:r w:rsidRPr="00243ED2">
        <w:tab/>
        <w:t>(b)</w:t>
      </w:r>
      <w:r w:rsidRPr="00243ED2">
        <w:tab/>
        <w:t>a member of the staff of the ACA authorised in writing by the Chairman for that Part.</w:t>
      </w:r>
    </w:p>
    <w:p w:rsidR="00CE2B1D" w:rsidRPr="00243ED2" w:rsidRDefault="00CE2B1D" w:rsidP="00331BA8">
      <w:pPr>
        <w:pStyle w:val="ActHead2"/>
        <w:pageBreakBefore/>
      </w:pPr>
      <w:bookmarkStart w:id="6" w:name="_Toc429130999"/>
      <w:r w:rsidRPr="003A4363">
        <w:rPr>
          <w:rStyle w:val="CharPartNo"/>
        </w:rPr>
        <w:lastRenderedPageBreak/>
        <w:t>Part</w:t>
      </w:r>
      <w:r w:rsidR="00243ED2" w:rsidRPr="003A4363">
        <w:rPr>
          <w:rStyle w:val="CharPartNo"/>
        </w:rPr>
        <w:t> </w:t>
      </w:r>
      <w:r w:rsidRPr="003A4363">
        <w:rPr>
          <w:rStyle w:val="CharPartNo"/>
        </w:rPr>
        <w:t>2</w:t>
      </w:r>
      <w:r w:rsidR="00331BA8" w:rsidRPr="00243ED2">
        <w:t>—</w:t>
      </w:r>
      <w:r w:rsidRPr="003A4363">
        <w:rPr>
          <w:rStyle w:val="CharPartText"/>
        </w:rPr>
        <w:t>Network units</w:t>
      </w:r>
      <w:bookmarkEnd w:id="6"/>
    </w:p>
    <w:p w:rsidR="00CE2B1D" w:rsidRPr="003A4363" w:rsidRDefault="00331BA8" w:rsidP="00CE2B1D">
      <w:pPr>
        <w:pStyle w:val="Header"/>
      </w:pPr>
      <w:r w:rsidRPr="003A4363">
        <w:rPr>
          <w:rStyle w:val="CharDivNo"/>
        </w:rPr>
        <w:t xml:space="preserve"> </w:t>
      </w:r>
      <w:r w:rsidRPr="003A4363">
        <w:rPr>
          <w:rStyle w:val="CharDivText"/>
        </w:rPr>
        <w:t xml:space="preserve"> </w:t>
      </w:r>
    </w:p>
    <w:p w:rsidR="00CE2B1D" w:rsidRPr="00243ED2" w:rsidRDefault="00331BA8" w:rsidP="00331BA8">
      <w:pPr>
        <w:pStyle w:val="notetext"/>
      </w:pPr>
      <w:r w:rsidRPr="00243ED2">
        <w:t>Note:</w:t>
      </w:r>
      <w:r w:rsidRPr="00243ED2">
        <w:tab/>
      </w:r>
      <w:r w:rsidR="00CE2B1D" w:rsidRPr="00243ED2">
        <w:t>Part</w:t>
      </w:r>
      <w:r w:rsidR="00243ED2">
        <w:t> </w:t>
      </w:r>
      <w:r w:rsidR="00CE2B1D" w:rsidRPr="00243ED2">
        <w:t>2 of the Act deals with network units. Regulations for Part</w:t>
      </w:r>
      <w:r w:rsidR="00243ED2">
        <w:t> </w:t>
      </w:r>
      <w:r w:rsidR="00CE2B1D" w:rsidRPr="00243ED2">
        <w:t xml:space="preserve">2 of the Act will be in this Part. </w:t>
      </w:r>
    </w:p>
    <w:p w:rsidR="00634F0D" w:rsidRPr="00243ED2" w:rsidRDefault="00634F0D" w:rsidP="00331BA8">
      <w:pPr>
        <w:pStyle w:val="ActHead2"/>
        <w:pageBreakBefore/>
      </w:pPr>
      <w:bookmarkStart w:id="7" w:name="_Toc429131000"/>
      <w:r w:rsidRPr="003A4363">
        <w:rPr>
          <w:rStyle w:val="CharPartNo"/>
        </w:rPr>
        <w:lastRenderedPageBreak/>
        <w:t>Part</w:t>
      </w:r>
      <w:r w:rsidR="00243ED2" w:rsidRPr="003A4363">
        <w:rPr>
          <w:rStyle w:val="CharPartNo"/>
        </w:rPr>
        <w:t> </w:t>
      </w:r>
      <w:r w:rsidRPr="003A4363">
        <w:rPr>
          <w:rStyle w:val="CharPartNo"/>
        </w:rPr>
        <w:t>3</w:t>
      </w:r>
      <w:r w:rsidR="00331BA8" w:rsidRPr="00243ED2">
        <w:t>—</w:t>
      </w:r>
      <w:r w:rsidRPr="003A4363">
        <w:rPr>
          <w:rStyle w:val="CharPartText"/>
        </w:rPr>
        <w:t>Service provider determinations</w:t>
      </w:r>
      <w:bookmarkEnd w:id="7"/>
    </w:p>
    <w:p w:rsidR="00CE2B1D" w:rsidRPr="00243ED2" w:rsidRDefault="00CE2B1D" w:rsidP="00331BA8">
      <w:pPr>
        <w:pStyle w:val="ActHead3"/>
      </w:pPr>
      <w:bookmarkStart w:id="8" w:name="_Toc429131001"/>
      <w:r w:rsidRPr="003A4363">
        <w:rPr>
          <w:rStyle w:val="CharDivNo"/>
        </w:rPr>
        <w:t>Division</w:t>
      </w:r>
      <w:r w:rsidR="00243ED2" w:rsidRPr="003A4363">
        <w:rPr>
          <w:rStyle w:val="CharDivNo"/>
        </w:rPr>
        <w:t> </w:t>
      </w:r>
      <w:r w:rsidRPr="003A4363">
        <w:rPr>
          <w:rStyle w:val="CharDivNo"/>
        </w:rPr>
        <w:t>3.1</w:t>
      </w:r>
      <w:r w:rsidR="00331BA8" w:rsidRPr="00243ED2">
        <w:t>—</w:t>
      </w:r>
      <w:r w:rsidRPr="003A4363">
        <w:rPr>
          <w:rStyle w:val="CharDivText"/>
        </w:rPr>
        <w:t>Preliminary</w:t>
      </w:r>
      <w:bookmarkEnd w:id="8"/>
    </w:p>
    <w:p w:rsidR="00634F0D" w:rsidRPr="00243ED2" w:rsidRDefault="00634F0D" w:rsidP="00331BA8">
      <w:pPr>
        <w:pStyle w:val="ActHead5"/>
      </w:pPr>
      <w:bookmarkStart w:id="9" w:name="_Toc429131002"/>
      <w:r w:rsidRPr="003A4363">
        <w:rPr>
          <w:rStyle w:val="CharSectno"/>
        </w:rPr>
        <w:t>3.1</w:t>
      </w:r>
      <w:r w:rsidR="00331BA8" w:rsidRPr="00243ED2">
        <w:t xml:space="preserve">  </w:t>
      </w:r>
      <w:r w:rsidRPr="00243ED2">
        <w:t>Purpose of Part</w:t>
      </w:r>
      <w:bookmarkEnd w:id="9"/>
    </w:p>
    <w:p w:rsidR="00634F0D" w:rsidRPr="00243ED2" w:rsidRDefault="00634F0D" w:rsidP="00331BA8">
      <w:pPr>
        <w:pStyle w:val="subsection"/>
      </w:pPr>
      <w:r w:rsidRPr="00243ED2">
        <w:tab/>
      </w:r>
      <w:r w:rsidRPr="00243ED2">
        <w:tab/>
        <w:t>This Part specifies the matters that a service provider determination, made under subsection</w:t>
      </w:r>
      <w:r w:rsidR="00243ED2">
        <w:t> </w:t>
      </w:r>
      <w:r w:rsidRPr="00243ED2">
        <w:t>99 (1) of the Act, may relate to.</w:t>
      </w:r>
    </w:p>
    <w:p w:rsidR="00634F0D" w:rsidRPr="00243ED2" w:rsidRDefault="00634F0D" w:rsidP="00331BA8">
      <w:pPr>
        <w:pStyle w:val="ActHead3"/>
      </w:pPr>
      <w:bookmarkStart w:id="10" w:name="_Toc429131003"/>
      <w:r w:rsidRPr="003A4363">
        <w:rPr>
          <w:rStyle w:val="CharDivNo"/>
        </w:rPr>
        <w:t>Division</w:t>
      </w:r>
      <w:r w:rsidR="00243ED2" w:rsidRPr="003A4363">
        <w:rPr>
          <w:rStyle w:val="CharDivNo"/>
        </w:rPr>
        <w:t> </w:t>
      </w:r>
      <w:r w:rsidRPr="003A4363">
        <w:rPr>
          <w:rStyle w:val="CharDivNo"/>
        </w:rPr>
        <w:t>3.2</w:t>
      </w:r>
      <w:r w:rsidR="00331BA8" w:rsidRPr="00243ED2">
        <w:t>—</w:t>
      </w:r>
      <w:r w:rsidRPr="003A4363">
        <w:rPr>
          <w:rStyle w:val="CharDivText"/>
        </w:rPr>
        <w:t>Prepaid mobile carriage services</w:t>
      </w:r>
      <w:bookmarkEnd w:id="10"/>
    </w:p>
    <w:p w:rsidR="00634F0D" w:rsidRPr="00243ED2" w:rsidRDefault="00634F0D" w:rsidP="00331BA8">
      <w:pPr>
        <w:pStyle w:val="ActHead5"/>
      </w:pPr>
      <w:bookmarkStart w:id="11" w:name="_Toc429131004"/>
      <w:r w:rsidRPr="003A4363">
        <w:rPr>
          <w:rStyle w:val="CharSectno"/>
        </w:rPr>
        <w:t>3.2</w:t>
      </w:r>
      <w:r w:rsidR="00331BA8" w:rsidRPr="00243ED2">
        <w:t xml:space="preserve">  </w:t>
      </w:r>
      <w:r w:rsidRPr="00243ED2">
        <w:t>Prepaid mobile carriage services</w:t>
      </w:r>
      <w:bookmarkEnd w:id="11"/>
    </w:p>
    <w:p w:rsidR="00634F0D" w:rsidRPr="00243ED2" w:rsidRDefault="00634F0D" w:rsidP="00331BA8">
      <w:pPr>
        <w:pStyle w:val="subsection"/>
      </w:pPr>
      <w:r w:rsidRPr="00243ED2">
        <w:tab/>
        <w:t>(1)</w:t>
      </w:r>
      <w:r w:rsidRPr="00243ED2">
        <w:tab/>
        <w:t>This regulation applies to the supply of prepaid mobile carriage services.</w:t>
      </w:r>
    </w:p>
    <w:p w:rsidR="00634F0D" w:rsidRPr="00243ED2" w:rsidRDefault="00634F0D" w:rsidP="00331BA8">
      <w:pPr>
        <w:pStyle w:val="subsection"/>
      </w:pPr>
      <w:r w:rsidRPr="00243ED2">
        <w:tab/>
        <w:t>(2)</w:t>
      </w:r>
      <w:r w:rsidRPr="00243ED2">
        <w:tab/>
        <w:t xml:space="preserve">A carriage service is a </w:t>
      </w:r>
      <w:r w:rsidRPr="00243ED2">
        <w:rPr>
          <w:b/>
          <w:i/>
        </w:rPr>
        <w:t xml:space="preserve">prepaid mobile carriage service </w:t>
      </w:r>
      <w:r w:rsidRPr="00243ED2">
        <w:t>if:</w:t>
      </w:r>
    </w:p>
    <w:p w:rsidR="00634F0D" w:rsidRPr="00243ED2" w:rsidRDefault="00634F0D" w:rsidP="00331BA8">
      <w:pPr>
        <w:pStyle w:val="paragraph"/>
      </w:pPr>
      <w:r w:rsidRPr="00243ED2">
        <w:tab/>
        <w:t>(a)</w:t>
      </w:r>
      <w:r w:rsidRPr="00243ED2">
        <w:tab/>
        <w:t>the payment (if any) for using the service is made before the service is used; and</w:t>
      </w:r>
    </w:p>
    <w:p w:rsidR="00634F0D" w:rsidRPr="00243ED2" w:rsidRDefault="00634F0D" w:rsidP="00331BA8">
      <w:pPr>
        <w:pStyle w:val="paragraph"/>
      </w:pPr>
      <w:r w:rsidRPr="00243ED2">
        <w:tab/>
        <w:t>(b)</w:t>
      </w:r>
      <w:r w:rsidRPr="00243ED2">
        <w:tab/>
        <w:t>no service provider or other person gives the customer an account for the service after the customer has used it; and</w:t>
      </w:r>
    </w:p>
    <w:p w:rsidR="00634F0D" w:rsidRPr="00243ED2" w:rsidRDefault="00634F0D" w:rsidP="00331BA8">
      <w:pPr>
        <w:pStyle w:val="paragraph"/>
      </w:pPr>
      <w:r w:rsidRPr="00243ED2">
        <w:tab/>
        <w:t>(c)</w:t>
      </w:r>
      <w:r w:rsidRPr="00243ED2">
        <w:tab/>
        <w:t>the service is not a fixed</w:t>
      </w:r>
      <w:r w:rsidR="00243ED2">
        <w:noBreakHyphen/>
      </w:r>
      <w:r w:rsidRPr="00243ED2">
        <w:t>line carriage service.</w:t>
      </w:r>
    </w:p>
    <w:p w:rsidR="00634F0D" w:rsidRPr="00243ED2" w:rsidRDefault="00634F0D" w:rsidP="00331BA8">
      <w:pPr>
        <w:pStyle w:val="subsection"/>
      </w:pPr>
      <w:r w:rsidRPr="00243ED2">
        <w:tab/>
        <w:t>(3)</w:t>
      </w:r>
      <w:r w:rsidRPr="00243ED2">
        <w:tab/>
        <w:t>The ACMA may make a service provider determination that applies to a carriage service provider in relation to the following matters:</w:t>
      </w:r>
    </w:p>
    <w:p w:rsidR="00634F0D" w:rsidRPr="00243ED2" w:rsidRDefault="00634F0D" w:rsidP="00331BA8">
      <w:pPr>
        <w:pStyle w:val="paragraph"/>
      </w:pPr>
      <w:r w:rsidRPr="00243ED2">
        <w:tab/>
        <w:t>(a)</w:t>
      </w:r>
      <w:r w:rsidRPr="00243ED2">
        <w:tab/>
        <w:t>verifying the identity of a customer who the carriage service provider supplies with the carriage service, including by doing any of the following:</w:t>
      </w:r>
    </w:p>
    <w:p w:rsidR="00634F0D" w:rsidRPr="00243ED2" w:rsidRDefault="00634F0D" w:rsidP="00331BA8">
      <w:pPr>
        <w:pStyle w:val="paragraphsub"/>
      </w:pPr>
      <w:r w:rsidRPr="00243ED2">
        <w:tab/>
        <w:t>(i)</w:t>
      </w:r>
      <w:r w:rsidRPr="00243ED2">
        <w:tab/>
        <w:t>obtaining from the customer the minimum amount of information that is reasonably necessary to identify the customer;</w:t>
      </w:r>
    </w:p>
    <w:p w:rsidR="00634F0D" w:rsidRPr="00243ED2" w:rsidRDefault="00634F0D" w:rsidP="00331BA8">
      <w:pPr>
        <w:pStyle w:val="paragraphsub"/>
      </w:pPr>
      <w:r w:rsidRPr="00243ED2">
        <w:tab/>
        <w:t>(ii)</w:t>
      </w:r>
      <w:r w:rsidRPr="00243ED2">
        <w:tab/>
        <w:t xml:space="preserve">using the national Document Verification Service, or a similar service, to check whether a document produced </w:t>
      </w:r>
      <w:r w:rsidRPr="00243ED2">
        <w:lastRenderedPageBreak/>
        <w:t>by the customer as evidence of identity is authentic, accurate and up</w:t>
      </w:r>
      <w:r w:rsidR="00243ED2">
        <w:noBreakHyphen/>
      </w:r>
      <w:r w:rsidRPr="00243ED2">
        <w:t>to</w:t>
      </w:r>
      <w:r w:rsidR="00243ED2">
        <w:noBreakHyphen/>
      </w:r>
      <w:r w:rsidRPr="00243ED2">
        <w:t>date;</w:t>
      </w:r>
    </w:p>
    <w:p w:rsidR="00634F0D" w:rsidRPr="00243ED2" w:rsidRDefault="00634F0D" w:rsidP="00331BA8">
      <w:pPr>
        <w:pStyle w:val="paragraphsub"/>
      </w:pPr>
      <w:r w:rsidRPr="00243ED2">
        <w:tab/>
        <w:t>(iii)</w:t>
      </w:r>
      <w:r w:rsidRPr="00243ED2">
        <w:tab/>
        <w:t>finding out what other carriage services (if any) the customer has;</w:t>
      </w:r>
    </w:p>
    <w:p w:rsidR="00634F0D" w:rsidRPr="00243ED2" w:rsidRDefault="00634F0D" w:rsidP="00331BA8">
      <w:pPr>
        <w:pStyle w:val="paragraph"/>
      </w:pPr>
      <w:r w:rsidRPr="00243ED2">
        <w:tab/>
        <w:t>(b)</w:t>
      </w:r>
      <w:r w:rsidRPr="00243ED2">
        <w:tab/>
        <w:t>obtaining from the customer information about what the customer proposes to use the carriage service for (such as residential, business, government or charitable use);</w:t>
      </w:r>
    </w:p>
    <w:p w:rsidR="00634F0D" w:rsidRPr="00243ED2" w:rsidRDefault="00634F0D" w:rsidP="00331BA8">
      <w:pPr>
        <w:pStyle w:val="paragraph"/>
      </w:pPr>
      <w:r w:rsidRPr="00243ED2">
        <w:tab/>
        <w:t>(c)</w:t>
      </w:r>
      <w:r w:rsidRPr="00243ED2">
        <w:tab/>
        <w:t>recording and keeping:</w:t>
      </w:r>
    </w:p>
    <w:p w:rsidR="00634F0D" w:rsidRPr="00243ED2" w:rsidRDefault="00634F0D" w:rsidP="00331BA8">
      <w:pPr>
        <w:pStyle w:val="paragraphsub"/>
      </w:pPr>
      <w:r w:rsidRPr="00243ED2">
        <w:tab/>
        <w:t>(i)</w:t>
      </w:r>
      <w:r w:rsidRPr="00243ED2">
        <w:tab/>
        <w:t xml:space="preserve">information that is obtained under </w:t>
      </w:r>
      <w:r w:rsidR="00243ED2">
        <w:t>paragraph (</w:t>
      </w:r>
      <w:r w:rsidRPr="00243ED2">
        <w:t>a), including the type of document produced as evidence of identity, but not including the identifying number of a government document; and</w:t>
      </w:r>
    </w:p>
    <w:p w:rsidR="00634F0D" w:rsidRPr="00243ED2" w:rsidRDefault="00634F0D" w:rsidP="00331BA8">
      <w:pPr>
        <w:pStyle w:val="paragraphsub"/>
      </w:pPr>
      <w:r w:rsidRPr="00243ED2">
        <w:tab/>
        <w:t>(ii)</w:t>
      </w:r>
      <w:r w:rsidRPr="00243ED2">
        <w:tab/>
        <w:t xml:space="preserve">information that is obtained under </w:t>
      </w:r>
      <w:r w:rsidR="00243ED2">
        <w:t>paragraph (</w:t>
      </w:r>
      <w:r w:rsidRPr="00243ED2">
        <w:t>b); and</w:t>
      </w:r>
    </w:p>
    <w:p w:rsidR="00634F0D" w:rsidRPr="00243ED2" w:rsidRDefault="00634F0D" w:rsidP="00331BA8">
      <w:pPr>
        <w:pStyle w:val="paragraphsub"/>
      </w:pPr>
      <w:r w:rsidRPr="00243ED2">
        <w:tab/>
        <w:t>(iii)</w:t>
      </w:r>
      <w:r w:rsidRPr="00243ED2">
        <w:tab/>
        <w:t xml:space="preserve">information that the carriage service provider possesses about the supply of the carriage service to the customer (such as any public number issued in connection with the carriage service and the name of the carriage service provider); </w:t>
      </w:r>
    </w:p>
    <w:p w:rsidR="00634F0D" w:rsidRPr="00243ED2" w:rsidRDefault="00634F0D" w:rsidP="00331BA8">
      <w:pPr>
        <w:pStyle w:val="paragraph"/>
      </w:pPr>
      <w:r w:rsidRPr="00243ED2">
        <w:tab/>
        <w:t>(d)</w:t>
      </w:r>
      <w:r w:rsidRPr="00243ED2">
        <w:tab/>
        <w:t xml:space="preserve">destroying information that is recorded under </w:t>
      </w:r>
      <w:r w:rsidR="00243ED2">
        <w:t>paragraph (</w:t>
      </w:r>
      <w:r w:rsidRPr="00243ED2">
        <w:t>c) if the destruction is reasonable, including destruction when the information is no longer required by the carriage service provider;</w:t>
      </w:r>
    </w:p>
    <w:p w:rsidR="00634F0D" w:rsidRPr="00243ED2" w:rsidRDefault="00634F0D" w:rsidP="00331BA8">
      <w:pPr>
        <w:pStyle w:val="paragraph"/>
      </w:pPr>
      <w:r w:rsidRPr="00243ED2">
        <w:tab/>
        <w:t>(e)</w:t>
      </w:r>
      <w:r w:rsidRPr="00243ED2">
        <w:tab/>
        <w:t>preventing the use of a carriage service if:</w:t>
      </w:r>
    </w:p>
    <w:p w:rsidR="00634F0D" w:rsidRPr="00243ED2" w:rsidRDefault="00634F0D" w:rsidP="00331BA8">
      <w:pPr>
        <w:pStyle w:val="paragraphsub"/>
      </w:pPr>
      <w:r w:rsidRPr="00243ED2">
        <w:tab/>
        <w:t>(i)</w:t>
      </w:r>
      <w:r w:rsidRPr="00243ED2">
        <w:tab/>
        <w:t>a customer fails to verify his or her identity, including by giving false or misleading information; or</w:t>
      </w:r>
    </w:p>
    <w:p w:rsidR="00634F0D" w:rsidRPr="00243ED2" w:rsidRDefault="00634F0D" w:rsidP="00331BA8">
      <w:pPr>
        <w:pStyle w:val="paragraphsub"/>
      </w:pPr>
      <w:r w:rsidRPr="00243ED2">
        <w:tab/>
        <w:t>(ii)</w:t>
      </w:r>
      <w:r w:rsidRPr="00243ED2">
        <w:tab/>
        <w:t>an authorised law enforcement officer gives the carriage service provider a written request to prevent a person using a carriage service that states that action is necessary for a purpose mentioned in subsection</w:t>
      </w:r>
      <w:r w:rsidR="00243ED2">
        <w:t> </w:t>
      </w:r>
      <w:r w:rsidRPr="00243ED2">
        <w:t>313 (3) or (4) of the Act;</w:t>
      </w:r>
    </w:p>
    <w:p w:rsidR="00634F0D" w:rsidRPr="00243ED2" w:rsidRDefault="00634F0D" w:rsidP="00331BA8">
      <w:pPr>
        <w:pStyle w:val="paragraph"/>
      </w:pPr>
      <w:r w:rsidRPr="00243ED2">
        <w:tab/>
        <w:t>(f)</w:t>
      </w:r>
      <w:r w:rsidRPr="00243ED2">
        <w:tab/>
        <w:t>advising customers of the effect of the determination.</w:t>
      </w:r>
    </w:p>
    <w:p w:rsidR="00634F0D" w:rsidRPr="00243ED2" w:rsidRDefault="00634F0D" w:rsidP="00331BA8">
      <w:pPr>
        <w:pStyle w:val="notetext"/>
      </w:pPr>
      <w:r w:rsidRPr="00243ED2">
        <w:rPr>
          <w:i/>
        </w:rPr>
        <w:t>Examples for subregulation</w:t>
      </w:r>
      <w:r w:rsidR="0082647E" w:rsidRPr="00243ED2">
        <w:rPr>
          <w:i/>
        </w:rPr>
        <w:t> </w:t>
      </w:r>
      <w:r w:rsidRPr="00243ED2">
        <w:rPr>
          <w:i/>
        </w:rPr>
        <w:t>(3)</w:t>
      </w:r>
    </w:p>
    <w:p w:rsidR="00634F0D" w:rsidRPr="00243ED2" w:rsidRDefault="00634F0D" w:rsidP="00FA6228">
      <w:pPr>
        <w:pStyle w:val="notedraft"/>
        <w:keepNext/>
      </w:pPr>
      <w:r w:rsidRPr="00243ED2">
        <w:rPr>
          <w:i w:val="0"/>
        </w:rPr>
        <w:t>A determination may be made about any of the following:</w:t>
      </w:r>
    </w:p>
    <w:p w:rsidR="00634F0D" w:rsidRPr="00243ED2" w:rsidRDefault="00634F0D" w:rsidP="00331BA8">
      <w:pPr>
        <w:pStyle w:val="notetext"/>
      </w:pPr>
      <w:r w:rsidRPr="00243ED2">
        <w:t>(a)</w:t>
      </w:r>
      <w:r w:rsidRPr="00243ED2">
        <w:tab/>
        <w:t>the ways in which a customer’s identity may be verified, such as using the national Document Verification Service or a similar service;</w:t>
      </w:r>
    </w:p>
    <w:p w:rsidR="00634F0D" w:rsidRPr="00243ED2" w:rsidRDefault="00634F0D" w:rsidP="00331BA8">
      <w:pPr>
        <w:pStyle w:val="notetext"/>
      </w:pPr>
      <w:r w:rsidRPr="00243ED2">
        <w:lastRenderedPageBreak/>
        <w:t>(b)</w:t>
      </w:r>
      <w:r w:rsidRPr="00243ED2">
        <w:tab/>
        <w:t>the procedures to be followed when verifying a customer’s identity;</w:t>
      </w:r>
    </w:p>
    <w:p w:rsidR="00634F0D" w:rsidRPr="00243ED2" w:rsidRDefault="00634F0D" w:rsidP="00331BA8">
      <w:pPr>
        <w:pStyle w:val="notetext"/>
      </w:pPr>
      <w:r w:rsidRPr="00243ED2">
        <w:t>(c)</w:t>
      </w:r>
      <w:r w:rsidRPr="00243ED2">
        <w:tab/>
        <w:t>the forms of identification that are acceptable;</w:t>
      </w:r>
    </w:p>
    <w:p w:rsidR="00634F0D" w:rsidRPr="00243ED2" w:rsidRDefault="00634F0D" w:rsidP="00331BA8">
      <w:pPr>
        <w:pStyle w:val="notetext"/>
      </w:pPr>
      <w:r w:rsidRPr="00243ED2">
        <w:t>(d)</w:t>
      </w:r>
      <w:r w:rsidRPr="00243ED2">
        <w:tab/>
        <w:t>when a customer’s identity is to be verified;</w:t>
      </w:r>
    </w:p>
    <w:p w:rsidR="00634F0D" w:rsidRPr="00243ED2" w:rsidRDefault="00634F0D" w:rsidP="00331BA8">
      <w:pPr>
        <w:pStyle w:val="notetext"/>
      </w:pPr>
      <w:r w:rsidRPr="00243ED2">
        <w:t>(e)</w:t>
      </w:r>
      <w:r w:rsidRPr="00243ED2">
        <w:tab/>
        <w:t>the information that is to be recorded, such as the customer’s date of birth;</w:t>
      </w:r>
    </w:p>
    <w:p w:rsidR="00634F0D" w:rsidRPr="00243ED2" w:rsidRDefault="00634F0D" w:rsidP="00331BA8">
      <w:pPr>
        <w:pStyle w:val="notetext"/>
      </w:pPr>
      <w:r w:rsidRPr="00243ED2">
        <w:t>(f)</w:t>
      </w:r>
      <w:r w:rsidRPr="00243ED2">
        <w:tab/>
        <w:t>how and when the information is to be recorded;</w:t>
      </w:r>
    </w:p>
    <w:p w:rsidR="00634F0D" w:rsidRPr="00243ED2" w:rsidRDefault="00634F0D" w:rsidP="00331BA8">
      <w:pPr>
        <w:pStyle w:val="notetext"/>
      </w:pPr>
      <w:r w:rsidRPr="00243ED2">
        <w:t>(g)</w:t>
      </w:r>
      <w:r w:rsidRPr="00243ED2">
        <w:tab/>
        <w:t>how long the recorded information is to be kept for.</w:t>
      </w:r>
    </w:p>
    <w:p w:rsidR="00634F0D" w:rsidRPr="00243ED2" w:rsidRDefault="00634F0D" w:rsidP="00331BA8">
      <w:pPr>
        <w:pStyle w:val="subsection"/>
      </w:pPr>
      <w:r w:rsidRPr="00243ED2">
        <w:tab/>
        <w:t>(4)</w:t>
      </w:r>
      <w:r w:rsidRPr="00243ED2">
        <w:tab/>
        <w:t>In this regulation:</w:t>
      </w:r>
    </w:p>
    <w:p w:rsidR="00634F0D" w:rsidRPr="00243ED2" w:rsidRDefault="00634F0D" w:rsidP="00331BA8">
      <w:pPr>
        <w:pStyle w:val="Definition"/>
      </w:pPr>
      <w:r w:rsidRPr="00243ED2">
        <w:rPr>
          <w:b/>
          <w:i/>
        </w:rPr>
        <w:t xml:space="preserve">authorised law enforcement officer </w:t>
      </w:r>
      <w:r w:rsidRPr="00243ED2">
        <w:t xml:space="preserve">means an authorised officer of a </w:t>
      </w:r>
      <w:r w:rsidRPr="00243ED2">
        <w:rPr>
          <w:bCs/>
          <w:iCs/>
        </w:rPr>
        <w:t>criminal law</w:t>
      </w:r>
      <w:r w:rsidR="00243ED2">
        <w:rPr>
          <w:bCs/>
          <w:iCs/>
        </w:rPr>
        <w:noBreakHyphen/>
      </w:r>
      <w:r w:rsidRPr="00243ED2">
        <w:rPr>
          <w:bCs/>
          <w:iCs/>
        </w:rPr>
        <w:t xml:space="preserve">enforcement agency </w:t>
      </w:r>
      <w:r w:rsidRPr="00243ED2">
        <w:t xml:space="preserve">within the meaning of the </w:t>
      </w:r>
      <w:r w:rsidRPr="00243ED2">
        <w:rPr>
          <w:i/>
        </w:rPr>
        <w:t>Telecommunications (Interception and Access) Act 1979</w:t>
      </w:r>
      <w:r w:rsidRPr="00243ED2">
        <w:t>.</w:t>
      </w:r>
    </w:p>
    <w:p w:rsidR="00634F0D" w:rsidRPr="00243ED2" w:rsidRDefault="00634F0D" w:rsidP="00331BA8">
      <w:pPr>
        <w:pStyle w:val="Definition"/>
      </w:pPr>
      <w:r w:rsidRPr="00243ED2">
        <w:rPr>
          <w:b/>
          <w:i/>
        </w:rPr>
        <w:t>fixed</w:t>
      </w:r>
      <w:r w:rsidR="00243ED2">
        <w:rPr>
          <w:b/>
          <w:i/>
        </w:rPr>
        <w:noBreakHyphen/>
      </w:r>
      <w:r w:rsidRPr="00243ED2">
        <w:rPr>
          <w:b/>
          <w:i/>
        </w:rPr>
        <w:t xml:space="preserve">line carriage service </w:t>
      </w:r>
      <w:r w:rsidRPr="00243ED2">
        <w:t>means:</w:t>
      </w:r>
    </w:p>
    <w:p w:rsidR="00634F0D" w:rsidRPr="00243ED2" w:rsidRDefault="00634F0D" w:rsidP="00331BA8">
      <w:pPr>
        <w:pStyle w:val="paragraph"/>
      </w:pPr>
      <w:r w:rsidRPr="00243ED2">
        <w:tab/>
        <w:t>(a)</w:t>
      </w:r>
      <w:r w:rsidRPr="00243ED2">
        <w:tab/>
        <w:t>a carriage service that is supplied using a line to premises occupied or used by an end</w:t>
      </w:r>
      <w:r w:rsidR="00243ED2">
        <w:noBreakHyphen/>
      </w:r>
      <w:r w:rsidRPr="00243ED2">
        <w:t>user; or</w:t>
      </w:r>
    </w:p>
    <w:p w:rsidR="00634F0D" w:rsidRPr="00243ED2" w:rsidRDefault="00634F0D" w:rsidP="00331BA8">
      <w:pPr>
        <w:pStyle w:val="paragraph"/>
      </w:pPr>
      <w:r w:rsidRPr="00243ED2">
        <w:tab/>
        <w:t>(b)</w:t>
      </w:r>
      <w:r w:rsidRPr="00243ED2">
        <w:tab/>
        <w:t xml:space="preserve">a service that facilitates the supply of a carriage service covered by </w:t>
      </w:r>
      <w:r w:rsidR="00243ED2">
        <w:t>paragraph (</w:t>
      </w:r>
      <w:r w:rsidRPr="00243ED2">
        <w:t>a).</w:t>
      </w:r>
    </w:p>
    <w:p w:rsidR="00634F0D" w:rsidRPr="00243ED2" w:rsidRDefault="00634F0D" w:rsidP="00331BA8">
      <w:pPr>
        <w:pStyle w:val="Definition"/>
      </w:pPr>
      <w:r w:rsidRPr="00243ED2">
        <w:rPr>
          <w:b/>
          <w:i/>
        </w:rPr>
        <w:t>identifying number of a government document</w:t>
      </w:r>
      <w:r w:rsidRPr="00243ED2">
        <w:t>:</w:t>
      </w:r>
    </w:p>
    <w:p w:rsidR="00634F0D" w:rsidRPr="00243ED2" w:rsidRDefault="00634F0D" w:rsidP="00331BA8">
      <w:pPr>
        <w:pStyle w:val="paragraph"/>
      </w:pPr>
      <w:r w:rsidRPr="00243ED2">
        <w:tab/>
        <w:t>(a)</w:t>
      </w:r>
      <w:r w:rsidRPr="00243ED2">
        <w:tab/>
        <w:t>means the unique identifying number of a document that is issued by the Commonwealth or a State or Territory (such as a driver licence, Medicare card or passport); but</w:t>
      </w:r>
    </w:p>
    <w:p w:rsidR="00634F0D" w:rsidRPr="00243ED2" w:rsidRDefault="00634F0D" w:rsidP="00331BA8">
      <w:pPr>
        <w:pStyle w:val="paragraph"/>
      </w:pPr>
      <w:r w:rsidRPr="00243ED2">
        <w:tab/>
        <w:t>(b)</w:t>
      </w:r>
      <w:r w:rsidRPr="00243ED2">
        <w:tab/>
        <w:t>does not include:</w:t>
      </w:r>
    </w:p>
    <w:p w:rsidR="00634F0D" w:rsidRPr="00243ED2" w:rsidRDefault="00634F0D" w:rsidP="00331BA8">
      <w:pPr>
        <w:pStyle w:val="paragraphsub"/>
      </w:pPr>
      <w:r w:rsidRPr="00243ED2">
        <w:tab/>
        <w:t>(i)</w:t>
      </w:r>
      <w:r w:rsidRPr="00243ED2">
        <w:tab/>
        <w:t>a receipt number or transaction number (such as a transaction number issued by the national Document Verification Service); or</w:t>
      </w:r>
    </w:p>
    <w:p w:rsidR="00634F0D" w:rsidRPr="00243ED2" w:rsidRDefault="00634F0D" w:rsidP="00331BA8">
      <w:pPr>
        <w:pStyle w:val="paragraphsub"/>
      </w:pPr>
      <w:r w:rsidRPr="00243ED2">
        <w:tab/>
        <w:t>(ii)</w:t>
      </w:r>
      <w:r w:rsidRPr="00243ED2">
        <w:tab/>
        <w:t>an Australian Business Number, Australian Company Number or Australian Registered Body Number.</w:t>
      </w:r>
    </w:p>
    <w:p w:rsidR="00CE2B1D" w:rsidRPr="00243ED2" w:rsidRDefault="00CE2B1D" w:rsidP="00331BA8">
      <w:pPr>
        <w:pStyle w:val="ActHead3"/>
        <w:pageBreakBefore/>
      </w:pPr>
      <w:bookmarkStart w:id="12" w:name="_Toc429131005"/>
      <w:r w:rsidRPr="003A4363">
        <w:rPr>
          <w:rStyle w:val="CharDivNo"/>
        </w:rPr>
        <w:lastRenderedPageBreak/>
        <w:t>Division</w:t>
      </w:r>
      <w:r w:rsidR="00243ED2" w:rsidRPr="003A4363">
        <w:rPr>
          <w:rStyle w:val="CharDivNo"/>
        </w:rPr>
        <w:t> </w:t>
      </w:r>
      <w:r w:rsidRPr="003A4363">
        <w:rPr>
          <w:rStyle w:val="CharDivNo"/>
        </w:rPr>
        <w:t>3.3</w:t>
      </w:r>
      <w:r w:rsidR="00331BA8" w:rsidRPr="00243ED2">
        <w:t>—</w:t>
      </w:r>
      <w:r w:rsidRPr="003A4363">
        <w:rPr>
          <w:rStyle w:val="CharDivText"/>
        </w:rPr>
        <w:t>Premium services</w:t>
      </w:r>
      <w:bookmarkEnd w:id="12"/>
    </w:p>
    <w:p w:rsidR="00CE2B1D" w:rsidRPr="00243ED2" w:rsidRDefault="00CE2B1D" w:rsidP="00331BA8">
      <w:pPr>
        <w:pStyle w:val="ActHead5"/>
      </w:pPr>
      <w:bookmarkStart w:id="13" w:name="_Toc429131006"/>
      <w:r w:rsidRPr="003A4363">
        <w:rPr>
          <w:rStyle w:val="CharSectno"/>
        </w:rPr>
        <w:t>3.12</w:t>
      </w:r>
      <w:r w:rsidR="00331BA8" w:rsidRPr="00243ED2">
        <w:t xml:space="preserve">  </w:t>
      </w:r>
      <w:r w:rsidRPr="00243ED2">
        <w:t>Service provider determination for premium services</w:t>
      </w:r>
      <w:bookmarkEnd w:id="13"/>
    </w:p>
    <w:p w:rsidR="00CE2B1D" w:rsidRPr="00243ED2" w:rsidRDefault="00CE2B1D" w:rsidP="00331BA8">
      <w:pPr>
        <w:pStyle w:val="subsection"/>
      </w:pPr>
      <w:r w:rsidRPr="00243ED2">
        <w:tab/>
        <w:t>(1)</w:t>
      </w:r>
      <w:r w:rsidRPr="00243ED2">
        <w:tab/>
        <w:t xml:space="preserve">The ACA may make a determination setting out rules that apply to service providers in relation to the supply of any of the following services (a </w:t>
      </w:r>
      <w:r w:rsidRPr="00243ED2">
        <w:rPr>
          <w:b/>
          <w:i/>
        </w:rPr>
        <w:t>premium service</w:t>
      </w:r>
      <w:r w:rsidRPr="00243ED2">
        <w:t>):</w:t>
      </w:r>
    </w:p>
    <w:p w:rsidR="00CE2B1D" w:rsidRPr="00243ED2" w:rsidRDefault="00CE2B1D" w:rsidP="00331BA8">
      <w:pPr>
        <w:pStyle w:val="paragraph"/>
      </w:pPr>
      <w:r w:rsidRPr="00243ED2">
        <w:tab/>
        <w:t>(a)</w:t>
      </w:r>
      <w:r w:rsidRPr="00243ED2">
        <w:tab/>
        <w:t xml:space="preserve">a carriage service or content service using a number with a prefix starting with ‘190’; </w:t>
      </w:r>
    </w:p>
    <w:p w:rsidR="00CE2B1D" w:rsidRPr="00243ED2" w:rsidRDefault="00CE2B1D" w:rsidP="00331BA8">
      <w:pPr>
        <w:pStyle w:val="paragraph"/>
      </w:pPr>
      <w:r w:rsidRPr="00243ED2">
        <w:tab/>
        <w:t>(b)</w:t>
      </w:r>
      <w:r w:rsidRPr="00243ED2">
        <w:tab/>
        <w:t>a carriage service used to supply:</w:t>
      </w:r>
    </w:p>
    <w:p w:rsidR="00CE2B1D" w:rsidRPr="00243ED2" w:rsidRDefault="00CE2B1D" w:rsidP="00331BA8">
      <w:pPr>
        <w:pStyle w:val="paragraphsub"/>
      </w:pPr>
      <w:r w:rsidRPr="00243ED2">
        <w:tab/>
        <w:t>(i)</w:t>
      </w:r>
      <w:r w:rsidRPr="00243ED2">
        <w:tab/>
        <w:t>a content service; or</w:t>
      </w:r>
    </w:p>
    <w:p w:rsidR="00CE2B1D" w:rsidRPr="00243ED2" w:rsidRDefault="00CE2B1D" w:rsidP="00331BA8">
      <w:pPr>
        <w:pStyle w:val="paragraphsub"/>
      </w:pPr>
      <w:r w:rsidRPr="00243ED2">
        <w:tab/>
        <w:t>(ii)</w:t>
      </w:r>
      <w:r w:rsidRPr="00243ED2">
        <w:tab/>
        <w:t>another service by way of a voice call (including a call that involves a recorded or synthetic voice);</w:t>
      </w:r>
    </w:p>
    <w:p w:rsidR="00CE2B1D" w:rsidRPr="00243ED2" w:rsidRDefault="00CE2B1D" w:rsidP="00331BA8">
      <w:pPr>
        <w:pStyle w:val="paragraph"/>
      </w:pPr>
      <w:r w:rsidRPr="00243ED2">
        <w:tab/>
      </w:r>
      <w:r w:rsidRPr="00243ED2">
        <w:tab/>
        <w:t xml:space="preserve">using a number that includes an international access code; </w:t>
      </w:r>
    </w:p>
    <w:p w:rsidR="00CE2B1D" w:rsidRPr="00243ED2" w:rsidRDefault="00CE2B1D" w:rsidP="00331BA8">
      <w:pPr>
        <w:pStyle w:val="paragraph"/>
      </w:pPr>
      <w:r w:rsidRPr="00243ED2">
        <w:tab/>
        <w:t>(c)</w:t>
      </w:r>
      <w:r w:rsidRPr="00243ED2">
        <w:tab/>
        <w:t>another carriage service or content service determined in writing by the Minister for this paragraph.</w:t>
      </w:r>
    </w:p>
    <w:p w:rsidR="00CE2B1D" w:rsidRPr="00243ED2" w:rsidRDefault="00CE2B1D" w:rsidP="00331BA8">
      <w:pPr>
        <w:pStyle w:val="subsection"/>
      </w:pPr>
      <w:r w:rsidRPr="00243ED2">
        <w:tab/>
        <w:t>(2)</w:t>
      </w:r>
      <w:r w:rsidRPr="00243ED2">
        <w:tab/>
        <w:t xml:space="preserve">A determination mentioned in </w:t>
      </w:r>
      <w:r w:rsidR="00243ED2">
        <w:t>paragraph (</w:t>
      </w:r>
      <w:r w:rsidRPr="00243ED2">
        <w:t>1) (c) is a disallowable instrument for section</w:t>
      </w:r>
      <w:r w:rsidR="00243ED2">
        <w:t> </w:t>
      </w:r>
      <w:r w:rsidRPr="00243ED2">
        <w:t xml:space="preserve">46A of the </w:t>
      </w:r>
      <w:r w:rsidRPr="00243ED2">
        <w:rPr>
          <w:i/>
        </w:rPr>
        <w:t>Acts Interpretation Act 1901</w:t>
      </w:r>
      <w:r w:rsidRPr="00243ED2">
        <w:t>.</w:t>
      </w:r>
    </w:p>
    <w:p w:rsidR="00CE2B1D" w:rsidRPr="00243ED2" w:rsidRDefault="00CE2B1D" w:rsidP="00331BA8">
      <w:pPr>
        <w:pStyle w:val="subsection"/>
      </w:pPr>
      <w:r w:rsidRPr="00243ED2">
        <w:tab/>
        <w:t>(3)</w:t>
      </w:r>
      <w:r w:rsidRPr="00243ED2">
        <w:tab/>
        <w:t>The ACA’s determination may deal with any of the following matters:</w:t>
      </w:r>
    </w:p>
    <w:p w:rsidR="00CE2B1D" w:rsidRPr="00243ED2" w:rsidRDefault="00CE2B1D" w:rsidP="00331BA8">
      <w:pPr>
        <w:pStyle w:val="paragraph"/>
      </w:pPr>
      <w:r w:rsidRPr="00243ED2">
        <w:tab/>
        <w:t>(a)</w:t>
      </w:r>
      <w:r w:rsidRPr="00243ED2">
        <w:tab/>
        <w:t>the terms and conditions on which premium services are offered or supplied;</w:t>
      </w:r>
    </w:p>
    <w:p w:rsidR="00CE2B1D" w:rsidRPr="00243ED2" w:rsidRDefault="00CE2B1D" w:rsidP="00331BA8">
      <w:pPr>
        <w:pStyle w:val="paragraph"/>
      </w:pPr>
      <w:r w:rsidRPr="00243ED2">
        <w:tab/>
        <w:t>(b)</w:t>
      </w:r>
      <w:r w:rsidRPr="00243ED2">
        <w:tab/>
        <w:t>the liability of a customer in respect of the supply of premium services;</w:t>
      </w:r>
    </w:p>
    <w:p w:rsidR="00CE2B1D" w:rsidRPr="00243ED2" w:rsidRDefault="00CE2B1D" w:rsidP="00331BA8">
      <w:pPr>
        <w:pStyle w:val="paragraph"/>
      </w:pPr>
      <w:r w:rsidRPr="00243ED2">
        <w:tab/>
        <w:t>(c)</w:t>
      </w:r>
      <w:r w:rsidRPr="00243ED2">
        <w:tab/>
        <w:t>the limitation of the liability of a customer in respect of the supply of premium services;</w:t>
      </w:r>
    </w:p>
    <w:p w:rsidR="00CE2B1D" w:rsidRPr="00243ED2" w:rsidRDefault="00CE2B1D" w:rsidP="00331BA8">
      <w:pPr>
        <w:pStyle w:val="paragraph"/>
      </w:pPr>
      <w:r w:rsidRPr="00243ED2">
        <w:tab/>
        <w:t>(d)</w:t>
      </w:r>
      <w:r w:rsidRPr="00243ED2">
        <w:tab/>
        <w:t>the obligation of a service provider to notify customers about matters relating to premium services;</w:t>
      </w:r>
    </w:p>
    <w:p w:rsidR="00CE2B1D" w:rsidRPr="00243ED2" w:rsidRDefault="00CE2B1D" w:rsidP="00331BA8">
      <w:pPr>
        <w:pStyle w:val="paragraph"/>
      </w:pPr>
      <w:r w:rsidRPr="00243ED2">
        <w:tab/>
        <w:t>(e)</w:t>
      </w:r>
      <w:r w:rsidRPr="00243ED2">
        <w:tab/>
        <w:t>the advertising of premium services;</w:t>
      </w:r>
    </w:p>
    <w:p w:rsidR="00CE2B1D" w:rsidRPr="00243ED2" w:rsidRDefault="00CE2B1D" w:rsidP="00331BA8">
      <w:pPr>
        <w:pStyle w:val="paragraph"/>
      </w:pPr>
      <w:r w:rsidRPr="00243ED2">
        <w:tab/>
        <w:t>(f)</w:t>
      </w:r>
      <w:r w:rsidRPr="00243ED2">
        <w:tab/>
        <w:t>restrictions on access to premium services, or on access to a particular number used in the supply of premium services supplied using the carriage service provider’s service;</w:t>
      </w:r>
    </w:p>
    <w:p w:rsidR="00CE2B1D" w:rsidRPr="00243ED2" w:rsidRDefault="00CE2B1D" w:rsidP="00331BA8">
      <w:pPr>
        <w:pStyle w:val="paragraph"/>
      </w:pPr>
      <w:r w:rsidRPr="00243ED2">
        <w:lastRenderedPageBreak/>
        <w:tab/>
        <w:t>(g)</w:t>
      </w:r>
      <w:r w:rsidRPr="00243ED2">
        <w:tab/>
        <w:t>the barring of calls to premium services, or of calls to a particular number used in the supply of premium services supplied using the carriage service provider’s service;</w:t>
      </w:r>
    </w:p>
    <w:p w:rsidR="00CE2B1D" w:rsidRPr="00243ED2" w:rsidRDefault="00CE2B1D" w:rsidP="00331BA8">
      <w:pPr>
        <w:pStyle w:val="paragraph"/>
      </w:pPr>
      <w:r w:rsidRPr="00243ED2">
        <w:tab/>
        <w:t>(h)</w:t>
      </w:r>
      <w:r w:rsidRPr="00243ED2">
        <w:tab/>
        <w:t xml:space="preserve">the establishment of a registration scheme for service providers that are involved in the supply of premium services; </w:t>
      </w:r>
    </w:p>
    <w:p w:rsidR="00CE2B1D" w:rsidRPr="00243ED2" w:rsidRDefault="00CE2B1D" w:rsidP="00331BA8">
      <w:pPr>
        <w:pStyle w:val="paragraph"/>
      </w:pPr>
      <w:r w:rsidRPr="00243ED2">
        <w:tab/>
        <w:t>(i)</w:t>
      </w:r>
      <w:r w:rsidRPr="00243ED2">
        <w:tab/>
        <w:t xml:space="preserve">the obligations of a carriage service provider in respect of premium services supplied using the carriage service provider’s service; </w:t>
      </w:r>
    </w:p>
    <w:p w:rsidR="00CE2B1D" w:rsidRPr="00243ED2" w:rsidRDefault="00CE2B1D" w:rsidP="00331BA8">
      <w:pPr>
        <w:pStyle w:val="paragraph"/>
      </w:pPr>
      <w:r w:rsidRPr="00243ED2">
        <w:tab/>
        <w:t>(j)</w:t>
      </w:r>
      <w:r w:rsidRPr="00243ED2">
        <w:tab/>
        <w:t>the prohibition or restriction of the imposition or collection of charges relating to the supply of carriage services or other services used in the supply of premium services;</w:t>
      </w:r>
    </w:p>
    <w:p w:rsidR="00CE2B1D" w:rsidRPr="00243ED2" w:rsidRDefault="00CE2B1D" w:rsidP="00331BA8">
      <w:pPr>
        <w:pStyle w:val="paragraph"/>
      </w:pPr>
      <w:r w:rsidRPr="00243ED2">
        <w:tab/>
        <w:t>(k)</w:t>
      </w:r>
      <w:r w:rsidRPr="00243ED2">
        <w:tab/>
        <w:t>the issue of bills or accounts relating to the supply of carriage services or other services used in the supply of premium services;</w:t>
      </w:r>
    </w:p>
    <w:p w:rsidR="00CE2B1D" w:rsidRPr="00243ED2" w:rsidRDefault="00CE2B1D" w:rsidP="00331BA8">
      <w:pPr>
        <w:pStyle w:val="paragraph"/>
      </w:pPr>
      <w:r w:rsidRPr="00243ED2">
        <w:tab/>
        <w:t>(l)</w:t>
      </w:r>
      <w:r w:rsidRPr="00243ED2">
        <w:tab/>
        <w:t>a matter relating to the supply of premium services used to access an Internet service;</w:t>
      </w:r>
    </w:p>
    <w:p w:rsidR="00CE2B1D" w:rsidRPr="00243ED2" w:rsidRDefault="00CE2B1D" w:rsidP="00331BA8">
      <w:pPr>
        <w:pStyle w:val="paragraph"/>
      </w:pPr>
      <w:r w:rsidRPr="00243ED2">
        <w:tab/>
        <w:t>(m)</w:t>
      </w:r>
      <w:r w:rsidRPr="00243ED2">
        <w:tab/>
        <w:t>any other matter that the ACA considers necessary or convenient to:</w:t>
      </w:r>
    </w:p>
    <w:p w:rsidR="00CE2B1D" w:rsidRPr="00243ED2" w:rsidRDefault="00CE2B1D" w:rsidP="00331BA8">
      <w:pPr>
        <w:pStyle w:val="paragraphsub"/>
      </w:pPr>
      <w:r w:rsidRPr="00243ED2">
        <w:tab/>
        <w:t>(i)</w:t>
      </w:r>
      <w:r w:rsidRPr="00243ED2">
        <w:tab/>
        <w:t>protect the interests of customers and other consumers in relation to the supply of premium services; or</w:t>
      </w:r>
    </w:p>
    <w:p w:rsidR="00CE2B1D" w:rsidRPr="00243ED2" w:rsidRDefault="00CE2B1D" w:rsidP="00331BA8">
      <w:pPr>
        <w:pStyle w:val="paragraphsub"/>
      </w:pPr>
      <w:r w:rsidRPr="00243ED2">
        <w:tab/>
        <w:t>(ii)</w:t>
      </w:r>
      <w:r w:rsidRPr="00243ED2">
        <w:tab/>
        <w:t xml:space="preserve">give effect to a matter specified in </w:t>
      </w:r>
      <w:r w:rsidR="00243ED2">
        <w:t>paragraphs (</w:t>
      </w:r>
      <w:r w:rsidRPr="00243ED2">
        <w:t>a) to (l).</w:t>
      </w:r>
    </w:p>
    <w:p w:rsidR="00CE2B1D" w:rsidRPr="00243ED2" w:rsidRDefault="00CE2B1D" w:rsidP="00331BA8">
      <w:pPr>
        <w:pStyle w:val="subsection"/>
        <w:rPr>
          <w:snapToGrid w:val="0"/>
        </w:rPr>
      </w:pPr>
      <w:r w:rsidRPr="00243ED2">
        <w:rPr>
          <w:color w:val="000000"/>
        </w:rPr>
        <w:tab/>
        <w:t>(4)</w:t>
      </w:r>
      <w:r w:rsidRPr="00243ED2">
        <w:rPr>
          <w:color w:val="000000"/>
        </w:rPr>
        <w:tab/>
        <w:t>The ACA’s determination may provide that</w:t>
      </w:r>
      <w:r w:rsidRPr="00243ED2">
        <w:rPr>
          <w:snapToGrid w:val="0"/>
          <w:color w:val="000000"/>
        </w:rPr>
        <w:t xml:space="preserve"> a requirement in the determination does not apply to a carriage service provider if the carriage service provider establishes: </w:t>
      </w:r>
    </w:p>
    <w:p w:rsidR="00CE2B1D" w:rsidRPr="00243ED2" w:rsidRDefault="00CE2B1D" w:rsidP="00331BA8">
      <w:pPr>
        <w:pStyle w:val="paragraph"/>
      </w:pPr>
      <w:r w:rsidRPr="00243ED2">
        <w:tab/>
        <w:t>(a)</w:t>
      </w:r>
      <w:r w:rsidRPr="00243ED2">
        <w:tab/>
        <w:t xml:space="preserve">that it did not know that it was contravening the requirement; and </w:t>
      </w:r>
    </w:p>
    <w:p w:rsidR="00CE2B1D" w:rsidRPr="00243ED2" w:rsidRDefault="00CE2B1D" w:rsidP="00331BA8">
      <w:pPr>
        <w:pStyle w:val="paragraph"/>
      </w:pPr>
      <w:r w:rsidRPr="00243ED2">
        <w:tab/>
        <w:t>(b)</w:t>
      </w:r>
      <w:r w:rsidRPr="00243ED2">
        <w:tab/>
        <w:t>that it could not, with reasonable diligence, have ascertained that it was contravening the requirement.</w:t>
      </w:r>
    </w:p>
    <w:p w:rsidR="007B41BF" w:rsidRPr="00243ED2" w:rsidRDefault="007B41BF" w:rsidP="0082647E">
      <w:pPr>
        <w:pStyle w:val="ActHead3"/>
        <w:pageBreakBefore/>
      </w:pPr>
      <w:bookmarkStart w:id="14" w:name="_Toc429131007"/>
      <w:r w:rsidRPr="003A4363">
        <w:rPr>
          <w:rStyle w:val="CharDivNo"/>
        </w:rPr>
        <w:lastRenderedPageBreak/>
        <w:t>Division</w:t>
      </w:r>
      <w:r w:rsidR="00243ED2" w:rsidRPr="003A4363">
        <w:rPr>
          <w:rStyle w:val="CharDivNo"/>
        </w:rPr>
        <w:t> </w:t>
      </w:r>
      <w:r w:rsidRPr="003A4363">
        <w:rPr>
          <w:rStyle w:val="CharDivNo"/>
        </w:rPr>
        <w:t>3.4</w:t>
      </w:r>
      <w:r w:rsidR="00331BA8" w:rsidRPr="00243ED2">
        <w:t>—</w:t>
      </w:r>
      <w:r w:rsidRPr="003A4363">
        <w:rPr>
          <w:rStyle w:val="CharDivText"/>
        </w:rPr>
        <w:t>Fixed or mobile voice or data carriage services</w:t>
      </w:r>
      <w:bookmarkEnd w:id="14"/>
    </w:p>
    <w:p w:rsidR="007B41BF" w:rsidRPr="00243ED2" w:rsidRDefault="007B41BF" w:rsidP="00331BA8">
      <w:pPr>
        <w:pStyle w:val="ActHead5"/>
      </w:pPr>
      <w:bookmarkStart w:id="15" w:name="_Toc429131008"/>
      <w:r w:rsidRPr="003A4363">
        <w:rPr>
          <w:rStyle w:val="CharSectno"/>
        </w:rPr>
        <w:t>3.13</w:t>
      </w:r>
      <w:r w:rsidR="00331BA8" w:rsidRPr="00243ED2">
        <w:t xml:space="preserve">  </w:t>
      </w:r>
      <w:r w:rsidRPr="00243ED2">
        <w:t>Fixed or mobile voice or data carriage services</w:t>
      </w:r>
      <w:bookmarkEnd w:id="15"/>
    </w:p>
    <w:p w:rsidR="007B41BF" w:rsidRPr="00243ED2" w:rsidRDefault="007B41BF" w:rsidP="00331BA8">
      <w:pPr>
        <w:pStyle w:val="subsection"/>
      </w:pPr>
      <w:r w:rsidRPr="00243ED2">
        <w:tab/>
        <w:t>(1)</w:t>
      </w:r>
      <w:r w:rsidRPr="00243ED2">
        <w:tab/>
        <w:t>This regulation applies to the supply of the following carriage services:</w:t>
      </w:r>
    </w:p>
    <w:p w:rsidR="007B41BF" w:rsidRPr="00243ED2" w:rsidRDefault="007B41BF" w:rsidP="00331BA8">
      <w:pPr>
        <w:pStyle w:val="paragraph"/>
      </w:pPr>
      <w:r w:rsidRPr="00243ED2">
        <w:tab/>
        <w:t>(a)</w:t>
      </w:r>
      <w:r w:rsidRPr="00243ED2">
        <w:tab/>
        <w:t>a standard telephone service;</w:t>
      </w:r>
    </w:p>
    <w:p w:rsidR="007B41BF" w:rsidRPr="00243ED2" w:rsidRDefault="007B41BF" w:rsidP="00331BA8">
      <w:pPr>
        <w:pStyle w:val="paragraph"/>
      </w:pPr>
      <w:r w:rsidRPr="00243ED2">
        <w:tab/>
        <w:t>(b)</w:t>
      </w:r>
      <w:r w:rsidRPr="00243ED2">
        <w:tab/>
        <w:t>a public mobile telecommunications service;</w:t>
      </w:r>
    </w:p>
    <w:p w:rsidR="007B41BF" w:rsidRPr="00243ED2" w:rsidRDefault="007B41BF" w:rsidP="00331BA8">
      <w:pPr>
        <w:pStyle w:val="paragraph"/>
      </w:pPr>
      <w:r w:rsidRPr="00243ED2">
        <w:tab/>
        <w:t>(c)</w:t>
      </w:r>
      <w:r w:rsidRPr="00243ED2">
        <w:tab/>
        <w:t>a carriage service that enables customers to access the internet.</w:t>
      </w:r>
    </w:p>
    <w:p w:rsidR="007B41BF" w:rsidRPr="00243ED2" w:rsidRDefault="007B41BF" w:rsidP="00331BA8">
      <w:pPr>
        <w:pStyle w:val="subsection"/>
      </w:pPr>
      <w:r w:rsidRPr="00243ED2">
        <w:tab/>
        <w:t>(2)</w:t>
      </w:r>
      <w:r w:rsidRPr="00243ED2">
        <w:tab/>
        <w:t>The ACMA may make a service provider determination setting out rules that apply to service providers in relation to a customer’s interests as regards the supply of the services.</w:t>
      </w:r>
    </w:p>
    <w:p w:rsidR="007B41BF" w:rsidRPr="00243ED2" w:rsidRDefault="007B41BF" w:rsidP="00331BA8">
      <w:pPr>
        <w:pStyle w:val="notetext"/>
      </w:pPr>
      <w:r w:rsidRPr="00243ED2">
        <w:rPr>
          <w:i/>
        </w:rPr>
        <w:t>Examples</w:t>
      </w:r>
    </w:p>
    <w:p w:rsidR="007B41BF" w:rsidRPr="00243ED2" w:rsidRDefault="007B41BF" w:rsidP="00331BA8">
      <w:pPr>
        <w:pStyle w:val="notetext"/>
      </w:pPr>
      <w:r w:rsidRPr="00243ED2">
        <w:t>1   Rules about advertising, marketing or promoting services.</w:t>
      </w:r>
    </w:p>
    <w:p w:rsidR="007B41BF" w:rsidRPr="00243ED2" w:rsidRDefault="007B41BF" w:rsidP="00331BA8">
      <w:pPr>
        <w:pStyle w:val="notedraft"/>
      </w:pPr>
      <w:r w:rsidRPr="00243ED2">
        <w:rPr>
          <w:i w:val="0"/>
        </w:rPr>
        <w:t>2   Rules about notifying a potential or existing customer about:</w:t>
      </w:r>
    </w:p>
    <w:p w:rsidR="007B41BF" w:rsidRPr="00243ED2" w:rsidRDefault="007B41BF" w:rsidP="00881357">
      <w:pPr>
        <w:pStyle w:val="notedraft"/>
        <w:ind w:left="709" w:hanging="709"/>
      </w:pPr>
      <w:r w:rsidRPr="00243ED2">
        <w:rPr>
          <w:i w:val="0"/>
        </w:rPr>
        <w:t>(a)</w:t>
      </w:r>
      <w:r w:rsidRPr="00243ED2">
        <w:tab/>
      </w:r>
      <w:r w:rsidRPr="00243ED2">
        <w:rPr>
          <w:i w:val="0"/>
        </w:rPr>
        <w:t>the types of services that are available; or</w:t>
      </w:r>
    </w:p>
    <w:p w:rsidR="007B41BF" w:rsidRPr="00243ED2" w:rsidRDefault="007B41BF" w:rsidP="00331BA8">
      <w:pPr>
        <w:pStyle w:val="notedraft"/>
      </w:pPr>
      <w:r w:rsidRPr="00243ED2">
        <w:rPr>
          <w:i w:val="0"/>
        </w:rPr>
        <w:t>(b)</w:t>
      </w:r>
      <w:r w:rsidRPr="00243ED2">
        <w:tab/>
      </w:r>
      <w:r w:rsidRPr="00243ED2">
        <w:rPr>
          <w:i w:val="0"/>
        </w:rPr>
        <w:t>the terms on which the services are available, including the price of the services.</w:t>
      </w:r>
    </w:p>
    <w:p w:rsidR="007B41BF" w:rsidRPr="00243ED2" w:rsidRDefault="007B41BF" w:rsidP="00331BA8">
      <w:pPr>
        <w:pStyle w:val="notetext"/>
      </w:pPr>
      <w:r w:rsidRPr="00243ED2">
        <w:t>3   Rules about enabling a customer to monitor the amount of charges that the customer is accumulating for the services provided.</w:t>
      </w:r>
    </w:p>
    <w:p w:rsidR="007B41BF" w:rsidRPr="00243ED2" w:rsidRDefault="007B41BF" w:rsidP="00331BA8">
      <w:pPr>
        <w:pStyle w:val="notetext"/>
      </w:pPr>
      <w:r w:rsidRPr="00243ED2">
        <w:t>4   Rules about disconnecting a customer’s services.</w:t>
      </w:r>
    </w:p>
    <w:p w:rsidR="007B41BF" w:rsidRPr="00243ED2" w:rsidRDefault="007B41BF" w:rsidP="00331BA8">
      <w:pPr>
        <w:pStyle w:val="notetext"/>
      </w:pPr>
      <w:r w:rsidRPr="00243ED2">
        <w:t>5   Rules about dealing with a customer’s complaint about services.</w:t>
      </w:r>
    </w:p>
    <w:p w:rsidR="00634F0D" w:rsidRPr="00243ED2" w:rsidRDefault="00634F0D" w:rsidP="00331BA8">
      <w:pPr>
        <w:pStyle w:val="ActHead3"/>
        <w:pageBreakBefore/>
      </w:pPr>
      <w:bookmarkStart w:id="16" w:name="_Toc429131009"/>
      <w:r w:rsidRPr="003A4363">
        <w:rPr>
          <w:rStyle w:val="CharDivNo"/>
        </w:rPr>
        <w:lastRenderedPageBreak/>
        <w:t>Division</w:t>
      </w:r>
      <w:r w:rsidR="00243ED2" w:rsidRPr="003A4363">
        <w:rPr>
          <w:rStyle w:val="CharDivNo"/>
        </w:rPr>
        <w:t> </w:t>
      </w:r>
      <w:r w:rsidRPr="003A4363">
        <w:rPr>
          <w:rStyle w:val="CharDivNo"/>
        </w:rPr>
        <w:t>3.5</w:t>
      </w:r>
      <w:r w:rsidR="00331BA8" w:rsidRPr="00243ED2">
        <w:t>—</w:t>
      </w:r>
      <w:r w:rsidRPr="003A4363">
        <w:rPr>
          <w:rStyle w:val="CharDivText"/>
        </w:rPr>
        <w:t>Telecommunications industry</w:t>
      </w:r>
      <w:bookmarkEnd w:id="16"/>
    </w:p>
    <w:p w:rsidR="00634F0D" w:rsidRPr="00243ED2" w:rsidRDefault="00634F0D" w:rsidP="00331BA8">
      <w:pPr>
        <w:pStyle w:val="ActHead5"/>
      </w:pPr>
      <w:bookmarkStart w:id="17" w:name="_Toc429131010"/>
      <w:r w:rsidRPr="003A4363">
        <w:rPr>
          <w:rStyle w:val="CharSectno"/>
        </w:rPr>
        <w:t>3.14</w:t>
      </w:r>
      <w:r w:rsidR="00331BA8" w:rsidRPr="00243ED2">
        <w:t xml:space="preserve">  </w:t>
      </w:r>
      <w:r w:rsidRPr="00243ED2">
        <w:t>Information relating to telecommunications industry</w:t>
      </w:r>
      <w:bookmarkEnd w:id="17"/>
    </w:p>
    <w:p w:rsidR="00634F0D" w:rsidRPr="00243ED2" w:rsidRDefault="00634F0D" w:rsidP="00331BA8">
      <w:pPr>
        <w:pStyle w:val="subsection"/>
      </w:pPr>
      <w:r w:rsidRPr="00243ED2">
        <w:tab/>
      </w:r>
      <w:r w:rsidRPr="00243ED2">
        <w:tab/>
        <w:t>The ACMA may make a determination that specifies:</w:t>
      </w:r>
    </w:p>
    <w:p w:rsidR="00634F0D" w:rsidRPr="00243ED2" w:rsidRDefault="00634F0D" w:rsidP="00331BA8">
      <w:pPr>
        <w:pStyle w:val="paragraph"/>
      </w:pPr>
      <w:r w:rsidRPr="00243ED2">
        <w:tab/>
        <w:t>(a)</w:t>
      </w:r>
      <w:r w:rsidRPr="00243ED2">
        <w:tab/>
        <w:t>information in relation to the telecommunications industry that a carriage service provider must publish or distribute; and</w:t>
      </w:r>
    </w:p>
    <w:p w:rsidR="00634F0D" w:rsidRPr="00243ED2" w:rsidRDefault="00634F0D" w:rsidP="00331BA8">
      <w:pPr>
        <w:pStyle w:val="paragraph"/>
      </w:pPr>
      <w:r w:rsidRPr="00243ED2">
        <w:tab/>
        <w:t>(b)</w:t>
      </w:r>
      <w:r w:rsidRPr="00243ED2">
        <w:tab/>
        <w:t>the way in which the carriage service provider must distribute or publish that information.</w:t>
      </w:r>
    </w:p>
    <w:p w:rsidR="00CE2B1D" w:rsidRPr="00243ED2" w:rsidRDefault="00CE2B1D" w:rsidP="00331BA8">
      <w:pPr>
        <w:pStyle w:val="ActHead2"/>
        <w:pageBreakBefore/>
      </w:pPr>
      <w:bookmarkStart w:id="18" w:name="_Toc429131011"/>
      <w:r w:rsidRPr="003A4363">
        <w:rPr>
          <w:rStyle w:val="CharPartNo"/>
        </w:rPr>
        <w:lastRenderedPageBreak/>
        <w:t>Part</w:t>
      </w:r>
      <w:r w:rsidR="00243ED2" w:rsidRPr="003A4363">
        <w:rPr>
          <w:rStyle w:val="CharPartNo"/>
        </w:rPr>
        <w:t> </w:t>
      </w:r>
      <w:r w:rsidRPr="003A4363">
        <w:rPr>
          <w:rStyle w:val="CharPartNo"/>
        </w:rPr>
        <w:t>4</w:t>
      </w:r>
      <w:r w:rsidR="00331BA8" w:rsidRPr="00243ED2">
        <w:t>—</w:t>
      </w:r>
      <w:r w:rsidRPr="003A4363">
        <w:rPr>
          <w:rStyle w:val="CharPartText"/>
        </w:rPr>
        <w:t>Industry codes and industry standards</w:t>
      </w:r>
      <w:bookmarkEnd w:id="18"/>
    </w:p>
    <w:p w:rsidR="00CE2B1D" w:rsidRPr="003A4363" w:rsidRDefault="00331BA8" w:rsidP="00CE2B1D">
      <w:pPr>
        <w:pStyle w:val="Header"/>
      </w:pPr>
      <w:r w:rsidRPr="003A4363">
        <w:rPr>
          <w:rStyle w:val="CharDivNo"/>
        </w:rPr>
        <w:t xml:space="preserve"> </w:t>
      </w:r>
      <w:r w:rsidRPr="003A4363">
        <w:rPr>
          <w:rStyle w:val="CharDivText"/>
        </w:rPr>
        <w:t xml:space="preserve"> </w:t>
      </w:r>
    </w:p>
    <w:p w:rsidR="00CE2B1D" w:rsidRPr="00243ED2" w:rsidRDefault="00CE2B1D" w:rsidP="00331BA8">
      <w:pPr>
        <w:pStyle w:val="ActHead5"/>
      </w:pPr>
      <w:bookmarkStart w:id="19" w:name="_Toc429131012"/>
      <w:r w:rsidRPr="003A4363">
        <w:rPr>
          <w:rStyle w:val="CharSectno"/>
        </w:rPr>
        <w:t>4.1</w:t>
      </w:r>
      <w:r w:rsidR="00331BA8" w:rsidRPr="00243ED2">
        <w:t xml:space="preserve">  </w:t>
      </w:r>
      <w:r w:rsidRPr="00243ED2">
        <w:t>ACIF industry codes</w:t>
      </w:r>
      <w:r w:rsidR="00331BA8" w:rsidRPr="00243ED2">
        <w:t>—</w:t>
      </w:r>
      <w:r w:rsidRPr="00243ED2">
        <w:t>application of s 115</w:t>
      </w:r>
      <w:bookmarkEnd w:id="19"/>
    </w:p>
    <w:p w:rsidR="00CE2B1D" w:rsidRPr="00243ED2" w:rsidRDefault="00CE2B1D" w:rsidP="00331BA8">
      <w:pPr>
        <w:pStyle w:val="subsection"/>
      </w:pPr>
      <w:r w:rsidRPr="00243ED2">
        <w:tab/>
        <w:t>(1)</w:t>
      </w:r>
      <w:r w:rsidRPr="00243ED2">
        <w:tab/>
        <w:t>The rule in subsection</w:t>
      </w:r>
      <w:r w:rsidR="00243ED2">
        <w:t> </w:t>
      </w:r>
      <w:r w:rsidRPr="00243ED2">
        <w:t>115 (1) of the Act does not apply to an industry code developed by the Australian Communications Industry Forum to the extent to which compliance with the code is likely:</w:t>
      </w:r>
    </w:p>
    <w:p w:rsidR="00CE2B1D" w:rsidRPr="00243ED2" w:rsidRDefault="00CE2B1D" w:rsidP="00331BA8">
      <w:pPr>
        <w:pStyle w:val="paragraph"/>
      </w:pPr>
      <w:r w:rsidRPr="00243ED2">
        <w:tab/>
        <w:t>(a)</w:t>
      </w:r>
      <w:r w:rsidRPr="00243ED2">
        <w:tab/>
        <w:t>to have the indirect effect of requiring a telecommunications network or a facility to have particular design features that relate to:</w:t>
      </w:r>
    </w:p>
    <w:p w:rsidR="00CE2B1D" w:rsidRPr="00243ED2" w:rsidRDefault="00CE2B1D" w:rsidP="00331BA8">
      <w:pPr>
        <w:pStyle w:val="paragraphsub"/>
      </w:pPr>
      <w:r w:rsidRPr="00243ED2">
        <w:tab/>
        <w:t>(i)</w:t>
      </w:r>
      <w:r w:rsidRPr="00243ED2">
        <w:tab/>
        <w:t>interference between telecommunications systems that are operated using the unconditioned local loop service; or</w:t>
      </w:r>
    </w:p>
    <w:p w:rsidR="00CE2B1D" w:rsidRPr="00243ED2" w:rsidRDefault="00CE2B1D" w:rsidP="00331BA8">
      <w:pPr>
        <w:pStyle w:val="paragraphsub"/>
      </w:pPr>
      <w:r w:rsidRPr="00243ED2">
        <w:tab/>
        <w:t>(ii)</w:t>
      </w:r>
      <w:r w:rsidRPr="00243ED2">
        <w:tab/>
        <w:t>the health and safety of a person operating or working on a telecommunications network or a facility that incorporates, or is used with, the unconditioned local loop service; or</w:t>
      </w:r>
    </w:p>
    <w:p w:rsidR="00CE2B1D" w:rsidRPr="00243ED2" w:rsidRDefault="00CE2B1D" w:rsidP="00331BA8">
      <w:pPr>
        <w:pStyle w:val="paragraphsub"/>
      </w:pPr>
      <w:r w:rsidRPr="00243ED2">
        <w:tab/>
        <w:t>(iii)</w:t>
      </w:r>
      <w:r w:rsidRPr="00243ED2">
        <w:tab/>
        <w:t>the integrity of a telecommunications network or a facility that incorporates, or is used with, the unconditioned local loop service; or</w:t>
      </w:r>
    </w:p>
    <w:p w:rsidR="00CE2B1D" w:rsidRPr="00243ED2" w:rsidRDefault="00CE2B1D" w:rsidP="00331BA8">
      <w:pPr>
        <w:pStyle w:val="paragraph"/>
      </w:pPr>
      <w:r w:rsidRPr="00243ED2">
        <w:tab/>
        <w:t>(b)</w:t>
      </w:r>
      <w:r w:rsidRPr="00243ED2">
        <w:tab/>
        <w:t>to have the direct or indirect effect of requiring a telecommunications network or a facility to meet performance requirements that relate to:</w:t>
      </w:r>
    </w:p>
    <w:p w:rsidR="00CE2B1D" w:rsidRPr="00243ED2" w:rsidRDefault="00CE2B1D" w:rsidP="00331BA8">
      <w:pPr>
        <w:pStyle w:val="paragraphsub"/>
      </w:pPr>
      <w:r w:rsidRPr="00243ED2">
        <w:tab/>
        <w:t>(i)</w:t>
      </w:r>
      <w:r w:rsidRPr="00243ED2">
        <w:tab/>
        <w:t>interference between telecommunications systems that are operated using the unconditioned local loop service; or</w:t>
      </w:r>
    </w:p>
    <w:p w:rsidR="00CE2B1D" w:rsidRPr="00243ED2" w:rsidRDefault="00CE2B1D" w:rsidP="00331BA8">
      <w:pPr>
        <w:pStyle w:val="paragraphsub"/>
      </w:pPr>
      <w:r w:rsidRPr="00243ED2">
        <w:tab/>
        <w:t>(ii)</w:t>
      </w:r>
      <w:r w:rsidRPr="00243ED2">
        <w:tab/>
        <w:t>the health and safety of a person operating or working on a telecommunications network or a facility that incorporates, or is used with, the unconditioned local loop service; or</w:t>
      </w:r>
    </w:p>
    <w:p w:rsidR="00CE2B1D" w:rsidRPr="00243ED2" w:rsidRDefault="00CE2B1D" w:rsidP="00331BA8">
      <w:pPr>
        <w:pStyle w:val="paragraphsub"/>
      </w:pPr>
      <w:r w:rsidRPr="00243ED2">
        <w:tab/>
        <w:t>(iii)</w:t>
      </w:r>
      <w:r w:rsidRPr="00243ED2">
        <w:tab/>
        <w:t>the integrity of a telecommunications network or a facility that incorporates, or is used with, the unconditioned local loop service.</w:t>
      </w:r>
    </w:p>
    <w:p w:rsidR="00CE2B1D" w:rsidRPr="00243ED2" w:rsidRDefault="00CE2B1D" w:rsidP="00331BA8">
      <w:pPr>
        <w:pStyle w:val="subsection"/>
      </w:pPr>
      <w:r w:rsidRPr="00243ED2">
        <w:lastRenderedPageBreak/>
        <w:tab/>
        <w:t>(2)</w:t>
      </w:r>
      <w:r w:rsidRPr="00243ED2">
        <w:tab/>
        <w:t>In subregulation (1):</w:t>
      </w:r>
    </w:p>
    <w:p w:rsidR="00CE2B1D" w:rsidRPr="00243ED2" w:rsidRDefault="00CE2B1D" w:rsidP="00331BA8">
      <w:pPr>
        <w:pStyle w:val="Definition"/>
      </w:pPr>
      <w:r w:rsidRPr="00243ED2">
        <w:rPr>
          <w:b/>
          <w:i/>
        </w:rPr>
        <w:t xml:space="preserve">unconditioned local loop service </w:t>
      </w:r>
      <w:r w:rsidRPr="00243ED2">
        <w:t>means the service declared by the ACCC, on 4</w:t>
      </w:r>
      <w:r w:rsidR="00243ED2">
        <w:t> </w:t>
      </w:r>
      <w:r w:rsidRPr="00243ED2">
        <w:t>August 1999 under subsection</w:t>
      </w:r>
      <w:r w:rsidR="00243ED2">
        <w:t> </w:t>
      </w:r>
      <w:r w:rsidRPr="00243ED2">
        <w:t xml:space="preserve">152AL (3) of the </w:t>
      </w:r>
      <w:r w:rsidRPr="00243ED2">
        <w:rPr>
          <w:i/>
        </w:rPr>
        <w:t>Trade Practices Act 1974</w:t>
      </w:r>
      <w:r w:rsidRPr="00243ED2">
        <w:t>, to be a declared service for the purposes of Part XIC of that Act.</w:t>
      </w:r>
    </w:p>
    <w:p w:rsidR="00CE2B1D" w:rsidRPr="00243ED2" w:rsidRDefault="00CE2B1D" w:rsidP="0082647E">
      <w:pPr>
        <w:pStyle w:val="ActHead2"/>
        <w:pageBreakBefore/>
      </w:pPr>
      <w:bookmarkStart w:id="20" w:name="_Toc429131013"/>
      <w:r w:rsidRPr="003A4363">
        <w:rPr>
          <w:rStyle w:val="CharPartNo"/>
        </w:rPr>
        <w:lastRenderedPageBreak/>
        <w:t>Part</w:t>
      </w:r>
      <w:r w:rsidR="00243ED2" w:rsidRPr="003A4363">
        <w:rPr>
          <w:rStyle w:val="CharPartNo"/>
        </w:rPr>
        <w:t> </w:t>
      </w:r>
      <w:r w:rsidRPr="003A4363">
        <w:rPr>
          <w:rStyle w:val="CharPartNo"/>
        </w:rPr>
        <w:t>5</w:t>
      </w:r>
      <w:r w:rsidR="00331BA8" w:rsidRPr="00243ED2">
        <w:t>—</w:t>
      </w:r>
      <w:r w:rsidRPr="003A4363">
        <w:rPr>
          <w:rStyle w:val="CharPartText"/>
        </w:rPr>
        <w:t>Protection of communications</w:t>
      </w:r>
      <w:bookmarkEnd w:id="20"/>
    </w:p>
    <w:p w:rsidR="00CE2B1D" w:rsidRPr="003A4363" w:rsidRDefault="00331BA8" w:rsidP="00CE2B1D">
      <w:pPr>
        <w:pStyle w:val="Header"/>
      </w:pPr>
      <w:r w:rsidRPr="003A4363">
        <w:rPr>
          <w:rStyle w:val="CharDivNo"/>
        </w:rPr>
        <w:t xml:space="preserve"> </w:t>
      </w:r>
      <w:r w:rsidRPr="003A4363">
        <w:rPr>
          <w:rStyle w:val="CharDivText"/>
        </w:rPr>
        <w:t xml:space="preserve"> </w:t>
      </w:r>
    </w:p>
    <w:p w:rsidR="00CE2B1D" w:rsidRPr="00243ED2" w:rsidRDefault="00CE2B1D" w:rsidP="00331BA8">
      <w:pPr>
        <w:pStyle w:val="ActHead5"/>
      </w:pPr>
      <w:bookmarkStart w:id="21" w:name="_Toc429131014"/>
      <w:r w:rsidRPr="003A4363">
        <w:rPr>
          <w:rStyle w:val="CharSectno"/>
        </w:rPr>
        <w:t>5.1A</w:t>
      </w:r>
      <w:r w:rsidR="00331BA8" w:rsidRPr="00243ED2">
        <w:t xml:space="preserve">  </w:t>
      </w:r>
      <w:r w:rsidRPr="00243ED2">
        <w:t>Disclosure of information to National Relay Service provider (Act s 292 (1))</w:t>
      </w:r>
      <w:bookmarkEnd w:id="21"/>
    </w:p>
    <w:p w:rsidR="00CE2B1D" w:rsidRPr="00243ED2" w:rsidRDefault="00CE2B1D" w:rsidP="00331BA8">
      <w:pPr>
        <w:pStyle w:val="subsection"/>
      </w:pPr>
      <w:r w:rsidRPr="00243ED2">
        <w:tab/>
        <w:t>(1)</w:t>
      </w:r>
      <w:r w:rsidRPr="00243ED2">
        <w:tab/>
        <w:t>For subsection</w:t>
      </w:r>
      <w:r w:rsidR="00243ED2">
        <w:t> </w:t>
      </w:r>
      <w:r w:rsidRPr="00243ED2">
        <w:t>292 (1) of the Act, the following circumstances apply to a disclosure or use of information or a document:</w:t>
      </w:r>
    </w:p>
    <w:p w:rsidR="00CE2B1D" w:rsidRPr="00243ED2" w:rsidRDefault="00CE2B1D" w:rsidP="00331BA8">
      <w:pPr>
        <w:pStyle w:val="paragraph"/>
      </w:pPr>
      <w:r w:rsidRPr="00243ED2">
        <w:tab/>
        <w:t>(a)</w:t>
      </w:r>
      <w:r w:rsidRPr="00243ED2">
        <w:tab/>
        <w:t>the disclosure must be made by or on behalf of a carrier or carriage service provider;</w:t>
      </w:r>
    </w:p>
    <w:p w:rsidR="00CE2B1D" w:rsidRPr="00243ED2" w:rsidRDefault="00CE2B1D" w:rsidP="00331BA8">
      <w:pPr>
        <w:pStyle w:val="paragraph"/>
      </w:pPr>
      <w:r w:rsidRPr="00243ED2">
        <w:tab/>
        <w:t>(b)</w:t>
      </w:r>
      <w:r w:rsidRPr="00243ED2">
        <w:tab/>
        <w:t>the disclosure must be made to the NRS provider;</w:t>
      </w:r>
    </w:p>
    <w:p w:rsidR="00CE2B1D" w:rsidRPr="00243ED2" w:rsidRDefault="00CE2B1D" w:rsidP="00331BA8">
      <w:pPr>
        <w:pStyle w:val="paragraph"/>
      </w:pPr>
      <w:r w:rsidRPr="00243ED2">
        <w:tab/>
        <w:t>(c)</w:t>
      </w:r>
      <w:r w:rsidRPr="00243ED2">
        <w:tab/>
        <w:t xml:space="preserve">the information or document must relate the use of the National Relay Service by a person (the </w:t>
      </w:r>
      <w:r w:rsidRPr="00243ED2">
        <w:rPr>
          <w:b/>
          <w:i/>
        </w:rPr>
        <w:t>third person</w:t>
      </w:r>
      <w:r w:rsidRPr="00243ED2">
        <w:t>);</w:t>
      </w:r>
    </w:p>
    <w:p w:rsidR="00CE2B1D" w:rsidRPr="00243ED2" w:rsidRDefault="00CE2B1D" w:rsidP="00331BA8">
      <w:pPr>
        <w:pStyle w:val="paragraph"/>
      </w:pPr>
      <w:r w:rsidRPr="00243ED2">
        <w:tab/>
        <w:t>(d)</w:t>
      </w:r>
      <w:r w:rsidRPr="00243ED2">
        <w:tab/>
        <w:t>the disclosure must be made for a purpose of, or must be connected with, the supply, or proposed supply, of the National Relay Service to the third person by the NRS provider.</w:t>
      </w:r>
    </w:p>
    <w:p w:rsidR="00CE2B1D" w:rsidRPr="00243ED2" w:rsidRDefault="00CE2B1D" w:rsidP="00331BA8">
      <w:pPr>
        <w:pStyle w:val="subsection"/>
      </w:pPr>
      <w:r w:rsidRPr="00243ED2">
        <w:tab/>
        <w:t>(2)</w:t>
      </w:r>
      <w:r w:rsidRPr="00243ED2">
        <w:tab/>
        <w:t>In this regulation:</w:t>
      </w:r>
    </w:p>
    <w:p w:rsidR="00CE2B1D" w:rsidRPr="00243ED2" w:rsidRDefault="00CE2B1D" w:rsidP="00331BA8">
      <w:pPr>
        <w:pStyle w:val="Definition"/>
      </w:pPr>
      <w:r w:rsidRPr="00243ED2">
        <w:rPr>
          <w:b/>
          <w:i/>
        </w:rPr>
        <w:t xml:space="preserve">National Relay Service </w:t>
      </w:r>
      <w:r w:rsidRPr="00243ED2">
        <w:t>has the meaning given by section</w:t>
      </w:r>
      <w:r w:rsidR="00243ED2">
        <w:t> </w:t>
      </w:r>
      <w:r w:rsidRPr="00243ED2">
        <w:t xml:space="preserve">94 of the </w:t>
      </w:r>
      <w:r w:rsidRPr="00243ED2">
        <w:rPr>
          <w:i/>
        </w:rPr>
        <w:t>Telecommunications (Consumer Protection and Service Standards) Act 1999</w:t>
      </w:r>
      <w:r w:rsidRPr="00243ED2">
        <w:t>.</w:t>
      </w:r>
    </w:p>
    <w:p w:rsidR="00CE2B1D" w:rsidRPr="00243ED2" w:rsidRDefault="00CE2B1D" w:rsidP="00331BA8">
      <w:pPr>
        <w:pStyle w:val="Definition"/>
      </w:pPr>
      <w:r w:rsidRPr="00243ED2">
        <w:rPr>
          <w:b/>
          <w:i/>
        </w:rPr>
        <w:t xml:space="preserve">NRS provider </w:t>
      </w:r>
      <w:r w:rsidRPr="00243ED2">
        <w:t>has the meaning given by section</w:t>
      </w:r>
      <w:r w:rsidR="00243ED2">
        <w:t> </w:t>
      </w:r>
      <w:r w:rsidRPr="00243ED2">
        <w:t xml:space="preserve">94 of the </w:t>
      </w:r>
      <w:r w:rsidRPr="00243ED2">
        <w:rPr>
          <w:i/>
        </w:rPr>
        <w:t>Telecommunications (Consumer Protection and Service Standards) Act 1999</w:t>
      </w:r>
      <w:r w:rsidRPr="00243ED2">
        <w:t>.</w:t>
      </w:r>
    </w:p>
    <w:p w:rsidR="00CE2B1D" w:rsidRPr="00243ED2" w:rsidRDefault="00CE2B1D" w:rsidP="00331BA8">
      <w:pPr>
        <w:pStyle w:val="ActHead5"/>
      </w:pPr>
      <w:bookmarkStart w:id="22" w:name="_Toc429131015"/>
      <w:r w:rsidRPr="003A4363">
        <w:rPr>
          <w:rStyle w:val="CharSectno"/>
        </w:rPr>
        <w:t>5.2</w:t>
      </w:r>
      <w:r w:rsidR="00331BA8" w:rsidRPr="00243ED2">
        <w:t xml:space="preserve">  </w:t>
      </w:r>
      <w:r w:rsidRPr="00243ED2">
        <w:t>Disclosure of information by emergency call persons</w:t>
      </w:r>
      <w:r w:rsidR="00331BA8" w:rsidRPr="00243ED2">
        <w:t>—</w:t>
      </w:r>
      <w:r w:rsidRPr="00243ED2">
        <w:t>research about emergency service numbers (Act s 292 (3))</w:t>
      </w:r>
      <w:bookmarkEnd w:id="22"/>
    </w:p>
    <w:p w:rsidR="00CE2B1D" w:rsidRPr="00243ED2" w:rsidRDefault="00CE2B1D" w:rsidP="00331BA8">
      <w:pPr>
        <w:pStyle w:val="subsection"/>
      </w:pPr>
      <w:r w:rsidRPr="00243ED2">
        <w:tab/>
        <w:t>(1)</w:t>
      </w:r>
      <w:r w:rsidRPr="00243ED2">
        <w:tab/>
        <w:t>For subsection</w:t>
      </w:r>
      <w:r w:rsidR="00243ED2">
        <w:t> </w:t>
      </w:r>
      <w:r w:rsidRPr="00243ED2">
        <w:t>292 (3) of the Act, the following circumstances apply to a disclosure or use of information or a document:</w:t>
      </w:r>
    </w:p>
    <w:p w:rsidR="00CE2B1D" w:rsidRPr="00243ED2" w:rsidRDefault="00CE2B1D" w:rsidP="00331BA8">
      <w:pPr>
        <w:pStyle w:val="paragraph"/>
      </w:pPr>
      <w:r w:rsidRPr="00243ED2">
        <w:tab/>
        <w:t>(a)</w:t>
      </w:r>
      <w:r w:rsidRPr="00243ED2">
        <w:tab/>
        <w:t xml:space="preserve">the disclosure must be made by an emergency call person; </w:t>
      </w:r>
    </w:p>
    <w:p w:rsidR="00CE2B1D" w:rsidRPr="00243ED2" w:rsidRDefault="00CE2B1D" w:rsidP="00331BA8">
      <w:pPr>
        <w:pStyle w:val="paragraph"/>
      </w:pPr>
      <w:r w:rsidRPr="00243ED2">
        <w:tab/>
        <w:t>(b)</w:t>
      </w:r>
      <w:r w:rsidRPr="00243ED2">
        <w:tab/>
        <w:t xml:space="preserve">the disclosure must be made to a person (the </w:t>
      </w:r>
      <w:r w:rsidRPr="00243ED2">
        <w:rPr>
          <w:b/>
          <w:i/>
        </w:rPr>
        <w:t>researcher</w:t>
      </w:r>
      <w:r w:rsidRPr="00243ED2">
        <w:t xml:space="preserve">) who is engaged by the ACA to conduct research, of a kind </w:t>
      </w:r>
      <w:r w:rsidRPr="00243ED2">
        <w:lastRenderedPageBreak/>
        <w:t>specified by the ACA, into the way in which emergency service numbers are dialled or used;</w:t>
      </w:r>
    </w:p>
    <w:p w:rsidR="00CE2B1D" w:rsidRPr="00243ED2" w:rsidRDefault="00CE2B1D" w:rsidP="00331BA8">
      <w:pPr>
        <w:pStyle w:val="paragraph"/>
      </w:pPr>
      <w:r w:rsidRPr="00243ED2">
        <w:tab/>
        <w:t>(c)</w:t>
      </w:r>
      <w:r w:rsidRPr="00243ED2">
        <w:tab/>
        <w:t>the disclosure must be made solely for the purpose of allowing the researcher to conduct the research;</w:t>
      </w:r>
    </w:p>
    <w:p w:rsidR="00CE2B1D" w:rsidRPr="00243ED2" w:rsidRDefault="00CE2B1D" w:rsidP="00331BA8">
      <w:pPr>
        <w:pStyle w:val="paragraph"/>
      </w:pPr>
      <w:r w:rsidRPr="00243ED2">
        <w:tab/>
        <w:t>(d)</w:t>
      </w:r>
      <w:r w:rsidRPr="00243ED2">
        <w:tab/>
        <w:t>the ACA and the researcher must have agreed that:</w:t>
      </w:r>
    </w:p>
    <w:p w:rsidR="00CE2B1D" w:rsidRPr="00243ED2" w:rsidRDefault="00CE2B1D" w:rsidP="00331BA8">
      <w:pPr>
        <w:pStyle w:val="paragraphsub"/>
      </w:pPr>
      <w:r w:rsidRPr="00243ED2">
        <w:tab/>
        <w:t>(i)</w:t>
      </w:r>
      <w:r w:rsidRPr="00243ED2">
        <w:tab/>
        <w:t>the research for which the researcher is engaged is to be finished not later than 12 months after the researcher starts the research; and</w:t>
      </w:r>
    </w:p>
    <w:p w:rsidR="00CE2B1D" w:rsidRPr="00243ED2" w:rsidRDefault="00CE2B1D" w:rsidP="00331BA8">
      <w:pPr>
        <w:pStyle w:val="paragraphsub"/>
      </w:pPr>
      <w:r w:rsidRPr="00243ED2">
        <w:tab/>
        <w:t>(ii)</w:t>
      </w:r>
      <w:r w:rsidRPr="00243ED2">
        <w:tab/>
        <w:t>the researcher will not disclose or use any information or document that is disclosed to the researcher except for the purpose of conducting the research.</w:t>
      </w:r>
    </w:p>
    <w:p w:rsidR="00CE2B1D" w:rsidRPr="00243ED2" w:rsidRDefault="00CE2B1D" w:rsidP="00331BA8">
      <w:pPr>
        <w:pStyle w:val="subsection"/>
      </w:pPr>
      <w:r w:rsidRPr="00243ED2">
        <w:tab/>
        <w:t>(2)</w:t>
      </w:r>
      <w:r w:rsidRPr="00243ED2">
        <w:tab/>
        <w:t>Subregulation (1) does not authorise the disclosure or use of information or a document more than 12 months after the researcher starts the research.</w:t>
      </w:r>
    </w:p>
    <w:p w:rsidR="00CE2B1D" w:rsidRPr="00243ED2" w:rsidRDefault="00331BA8" w:rsidP="00331BA8">
      <w:pPr>
        <w:pStyle w:val="notetext"/>
      </w:pPr>
      <w:r w:rsidRPr="00243ED2">
        <w:t>Note:</w:t>
      </w:r>
      <w:r w:rsidRPr="00243ED2">
        <w:tab/>
      </w:r>
      <w:r w:rsidR="00CE2B1D" w:rsidRPr="00243ED2">
        <w:t>The effect of this regulation is that section</w:t>
      </w:r>
      <w:r w:rsidR="00243ED2">
        <w:t> </w:t>
      </w:r>
      <w:r w:rsidR="00CE2B1D" w:rsidRPr="00243ED2">
        <w:t>278 of the Act will not prohibit a disclosure or use of information or a document in the circumstances specified in the regulation.</w:t>
      </w:r>
    </w:p>
    <w:p w:rsidR="00CE2B1D" w:rsidRPr="00243ED2" w:rsidRDefault="00CE2B1D" w:rsidP="00331BA8">
      <w:pPr>
        <w:pStyle w:val="ActHead5"/>
      </w:pPr>
      <w:bookmarkStart w:id="23" w:name="_Toc429131016"/>
      <w:r w:rsidRPr="003A4363">
        <w:rPr>
          <w:rStyle w:val="CharSectno"/>
        </w:rPr>
        <w:t>5.3</w:t>
      </w:r>
      <w:r w:rsidR="00331BA8" w:rsidRPr="00243ED2">
        <w:t xml:space="preserve">  </w:t>
      </w:r>
      <w:r w:rsidRPr="00243ED2">
        <w:t>Disclosure of information</w:t>
      </w:r>
      <w:r w:rsidR="00331BA8" w:rsidRPr="00243ED2">
        <w:t>—</w:t>
      </w:r>
      <w:r w:rsidRPr="00243ED2">
        <w:t>assistance to Royal Commission into Building and Construction Industry (Act s 292)</w:t>
      </w:r>
      <w:bookmarkEnd w:id="23"/>
    </w:p>
    <w:p w:rsidR="00CE2B1D" w:rsidRPr="00243ED2" w:rsidRDefault="00CE2B1D" w:rsidP="00331BA8">
      <w:pPr>
        <w:pStyle w:val="subsection"/>
      </w:pPr>
      <w:r w:rsidRPr="00243ED2">
        <w:tab/>
        <w:t>(1)</w:t>
      </w:r>
      <w:r w:rsidRPr="00243ED2">
        <w:tab/>
        <w:t>For subsection</w:t>
      </w:r>
      <w:r w:rsidR="00243ED2">
        <w:t> </w:t>
      </w:r>
      <w:r w:rsidRPr="00243ED2">
        <w:t>292 (1) of the Act, the following circumstances apply to a disclosure or use of information or a document:</w:t>
      </w:r>
    </w:p>
    <w:p w:rsidR="00CE2B1D" w:rsidRPr="00243ED2" w:rsidRDefault="00CE2B1D" w:rsidP="00331BA8">
      <w:pPr>
        <w:pStyle w:val="paragraph"/>
      </w:pPr>
      <w:r w:rsidRPr="00243ED2">
        <w:tab/>
        <w:t>(a)</w:t>
      </w:r>
      <w:r w:rsidRPr="00243ED2">
        <w:tab/>
        <w:t xml:space="preserve">the disclosure is made by an eligible person; </w:t>
      </w:r>
    </w:p>
    <w:p w:rsidR="00CE2B1D" w:rsidRPr="00243ED2" w:rsidRDefault="00CE2B1D" w:rsidP="00331BA8">
      <w:pPr>
        <w:pStyle w:val="paragraph"/>
      </w:pPr>
      <w:r w:rsidRPr="00243ED2">
        <w:tab/>
        <w:t>(b)</w:t>
      </w:r>
      <w:r w:rsidRPr="00243ED2">
        <w:tab/>
        <w:t>the disclosure is made to the Royal Commission into the Building and Construction Industry, created by Letters Patent dated 29</w:t>
      </w:r>
      <w:r w:rsidR="00243ED2">
        <w:t> </w:t>
      </w:r>
      <w:r w:rsidRPr="00243ED2">
        <w:t>August 2001;</w:t>
      </w:r>
    </w:p>
    <w:p w:rsidR="00CE2B1D" w:rsidRPr="00243ED2" w:rsidRDefault="00CE2B1D" w:rsidP="00331BA8">
      <w:pPr>
        <w:pStyle w:val="paragraph"/>
      </w:pPr>
      <w:r w:rsidRPr="00243ED2">
        <w:tab/>
        <w:t>(c)</w:t>
      </w:r>
      <w:r w:rsidRPr="00243ED2">
        <w:tab/>
        <w:t>the disclosure is made solely for the purposes of the Royal Commission.</w:t>
      </w:r>
    </w:p>
    <w:p w:rsidR="00CE2B1D" w:rsidRPr="00243ED2" w:rsidRDefault="00331BA8" w:rsidP="00331BA8">
      <w:pPr>
        <w:pStyle w:val="notetext"/>
      </w:pPr>
      <w:r w:rsidRPr="00243ED2">
        <w:t>Note:</w:t>
      </w:r>
      <w:r w:rsidRPr="00243ED2">
        <w:tab/>
      </w:r>
      <w:r w:rsidR="00CE2B1D" w:rsidRPr="00243ED2">
        <w:t>The effect of this subregulation</w:t>
      </w:r>
      <w:r w:rsidR="0082647E" w:rsidRPr="00243ED2">
        <w:t> </w:t>
      </w:r>
      <w:r w:rsidR="00CE2B1D" w:rsidRPr="00243ED2">
        <w:t>is that section</w:t>
      </w:r>
      <w:r w:rsidR="00243ED2">
        <w:t> </w:t>
      </w:r>
      <w:r w:rsidR="00CE2B1D" w:rsidRPr="00243ED2">
        <w:t>276 of the Act will not prohibit a disclosure or use of information or a document in the circumstances specified in the subregulation.</w:t>
      </w:r>
    </w:p>
    <w:p w:rsidR="00CE2B1D" w:rsidRPr="00243ED2" w:rsidRDefault="00CE2B1D" w:rsidP="00331BA8">
      <w:pPr>
        <w:pStyle w:val="subsection"/>
      </w:pPr>
      <w:r w:rsidRPr="00243ED2">
        <w:tab/>
        <w:t>(2)</w:t>
      </w:r>
      <w:r w:rsidRPr="00243ED2">
        <w:tab/>
        <w:t>For subsection</w:t>
      </w:r>
      <w:r w:rsidR="00243ED2">
        <w:t> </w:t>
      </w:r>
      <w:r w:rsidRPr="00243ED2">
        <w:t>292 (2) of the Act, the following circumstances apply to a disclosure or use of information or a document:</w:t>
      </w:r>
    </w:p>
    <w:p w:rsidR="00CE2B1D" w:rsidRPr="00243ED2" w:rsidRDefault="00CE2B1D" w:rsidP="00331BA8">
      <w:pPr>
        <w:pStyle w:val="paragraph"/>
      </w:pPr>
      <w:r w:rsidRPr="00243ED2">
        <w:lastRenderedPageBreak/>
        <w:tab/>
        <w:t>(a)</w:t>
      </w:r>
      <w:r w:rsidRPr="00243ED2">
        <w:tab/>
        <w:t>the disclosure is made by an eligible number</w:t>
      </w:r>
      <w:r w:rsidR="00243ED2">
        <w:noBreakHyphen/>
      </w:r>
      <w:r w:rsidRPr="00243ED2">
        <w:t xml:space="preserve">database person; </w:t>
      </w:r>
    </w:p>
    <w:p w:rsidR="00CE2B1D" w:rsidRPr="00243ED2" w:rsidRDefault="00CE2B1D" w:rsidP="00331BA8">
      <w:pPr>
        <w:pStyle w:val="paragraph"/>
      </w:pPr>
      <w:r w:rsidRPr="00243ED2">
        <w:tab/>
        <w:t>(b)</w:t>
      </w:r>
      <w:r w:rsidRPr="00243ED2">
        <w:tab/>
        <w:t>the disclosure is made to the Royal Commission into the Building and Construction Industry, created by Letters Patent dated 29</w:t>
      </w:r>
      <w:r w:rsidR="00243ED2">
        <w:t> </w:t>
      </w:r>
      <w:r w:rsidRPr="00243ED2">
        <w:t>August 2001;</w:t>
      </w:r>
    </w:p>
    <w:p w:rsidR="00CE2B1D" w:rsidRPr="00243ED2" w:rsidRDefault="00CE2B1D" w:rsidP="00331BA8">
      <w:pPr>
        <w:pStyle w:val="paragraph"/>
      </w:pPr>
      <w:r w:rsidRPr="00243ED2">
        <w:tab/>
        <w:t>(c)</w:t>
      </w:r>
      <w:r w:rsidRPr="00243ED2">
        <w:tab/>
        <w:t>the disclosure is made solely for the purposes of the Royal Commission.</w:t>
      </w:r>
    </w:p>
    <w:p w:rsidR="00CE2B1D" w:rsidRPr="00243ED2" w:rsidRDefault="00331BA8" w:rsidP="00331BA8">
      <w:pPr>
        <w:pStyle w:val="notetext"/>
      </w:pPr>
      <w:r w:rsidRPr="00243ED2">
        <w:t>Note:</w:t>
      </w:r>
      <w:r w:rsidRPr="00243ED2">
        <w:tab/>
      </w:r>
      <w:r w:rsidR="00CE2B1D" w:rsidRPr="00243ED2">
        <w:t>The effect of this subregulation</w:t>
      </w:r>
      <w:r w:rsidR="0082647E" w:rsidRPr="00243ED2">
        <w:t> </w:t>
      </w:r>
      <w:r w:rsidR="00CE2B1D" w:rsidRPr="00243ED2">
        <w:t>is that section</w:t>
      </w:r>
      <w:r w:rsidR="00243ED2">
        <w:t> </w:t>
      </w:r>
      <w:r w:rsidR="00CE2B1D" w:rsidRPr="00243ED2">
        <w:t>277 of the Act will not prohibit a disclosure or use of information or a document in the circumstances specified in the subregulation.</w:t>
      </w:r>
    </w:p>
    <w:p w:rsidR="00CE2B1D" w:rsidRPr="00243ED2" w:rsidRDefault="00CE2B1D" w:rsidP="00331BA8">
      <w:pPr>
        <w:pStyle w:val="subsection"/>
      </w:pPr>
      <w:r w:rsidRPr="00243ED2">
        <w:tab/>
        <w:t>(3)</w:t>
      </w:r>
      <w:r w:rsidRPr="00243ED2">
        <w:tab/>
        <w:t>For subsection</w:t>
      </w:r>
      <w:r w:rsidR="00243ED2">
        <w:t> </w:t>
      </w:r>
      <w:r w:rsidRPr="00243ED2">
        <w:t>292 (3) of the Act, the following circumstances apply to a disclosure or use of information or a document:</w:t>
      </w:r>
    </w:p>
    <w:p w:rsidR="00CE2B1D" w:rsidRPr="00243ED2" w:rsidRDefault="00CE2B1D" w:rsidP="00331BA8">
      <w:pPr>
        <w:pStyle w:val="paragraph"/>
      </w:pPr>
      <w:r w:rsidRPr="00243ED2">
        <w:tab/>
        <w:t>(a)</w:t>
      </w:r>
      <w:r w:rsidRPr="00243ED2">
        <w:tab/>
        <w:t xml:space="preserve">the disclosure is made by an emergency call person; </w:t>
      </w:r>
    </w:p>
    <w:p w:rsidR="00CE2B1D" w:rsidRPr="00243ED2" w:rsidRDefault="00CE2B1D" w:rsidP="00331BA8">
      <w:pPr>
        <w:pStyle w:val="paragraph"/>
      </w:pPr>
      <w:r w:rsidRPr="00243ED2">
        <w:tab/>
        <w:t>(b)</w:t>
      </w:r>
      <w:r w:rsidRPr="00243ED2">
        <w:tab/>
        <w:t>the disclosure is made to the Royal Commission into the Building and Construction Industry, created by Letters Patent dated 29</w:t>
      </w:r>
      <w:r w:rsidR="00243ED2">
        <w:t> </w:t>
      </w:r>
      <w:r w:rsidRPr="00243ED2">
        <w:t>August 2001;</w:t>
      </w:r>
    </w:p>
    <w:p w:rsidR="00CE2B1D" w:rsidRPr="00243ED2" w:rsidRDefault="00CE2B1D" w:rsidP="00331BA8">
      <w:pPr>
        <w:pStyle w:val="paragraph"/>
      </w:pPr>
      <w:r w:rsidRPr="00243ED2">
        <w:tab/>
        <w:t>(c)</w:t>
      </w:r>
      <w:r w:rsidRPr="00243ED2">
        <w:tab/>
        <w:t>the disclosure is made solely for the purposes of the Royal Commission.</w:t>
      </w:r>
    </w:p>
    <w:p w:rsidR="00CE2B1D" w:rsidRPr="00243ED2" w:rsidRDefault="00331BA8" w:rsidP="00331BA8">
      <w:pPr>
        <w:pStyle w:val="notetext"/>
      </w:pPr>
      <w:r w:rsidRPr="00243ED2">
        <w:t>Note:</w:t>
      </w:r>
      <w:r w:rsidRPr="00243ED2">
        <w:tab/>
      </w:r>
      <w:r w:rsidR="00CE2B1D" w:rsidRPr="00243ED2">
        <w:t>The effect of this subregulation</w:t>
      </w:r>
      <w:r w:rsidR="0082647E" w:rsidRPr="00243ED2">
        <w:t> </w:t>
      </w:r>
      <w:r w:rsidR="00CE2B1D" w:rsidRPr="00243ED2">
        <w:t>is that section</w:t>
      </w:r>
      <w:r w:rsidR="00243ED2">
        <w:t> </w:t>
      </w:r>
      <w:r w:rsidR="00CE2B1D" w:rsidRPr="00243ED2">
        <w:t>278 of the Act will not prohibit a disclosure or use of information or a document in the circumstances specified in the subregulation.</w:t>
      </w:r>
    </w:p>
    <w:p w:rsidR="00CE2B1D" w:rsidRPr="00243ED2" w:rsidRDefault="00CE2B1D" w:rsidP="00331BA8">
      <w:pPr>
        <w:pStyle w:val="ActHead5"/>
      </w:pPr>
      <w:bookmarkStart w:id="24" w:name="_Toc429131017"/>
      <w:r w:rsidRPr="003A4363">
        <w:rPr>
          <w:rStyle w:val="CharSectno"/>
        </w:rPr>
        <w:t>5.4</w:t>
      </w:r>
      <w:r w:rsidR="00331BA8" w:rsidRPr="00243ED2">
        <w:t xml:space="preserve">  </w:t>
      </w:r>
      <w:r w:rsidRPr="00243ED2">
        <w:t>Disclosure of information</w:t>
      </w:r>
      <w:r w:rsidR="00331BA8" w:rsidRPr="00243ED2">
        <w:t>—</w:t>
      </w:r>
      <w:r w:rsidRPr="00243ED2">
        <w:t>assistance to Royal Commission into whether there has been any corrupt or criminal conduct by Western Australian police officers</w:t>
      </w:r>
      <w:bookmarkEnd w:id="24"/>
    </w:p>
    <w:p w:rsidR="00CE2B1D" w:rsidRPr="00243ED2" w:rsidRDefault="00CE2B1D" w:rsidP="00331BA8">
      <w:pPr>
        <w:pStyle w:val="subsection"/>
      </w:pPr>
      <w:r w:rsidRPr="00243ED2">
        <w:tab/>
        <w:t>(1)</w:t>
      </w:r>
      <w:r w:rsidRPr="00243ED2">
        <w:tab/>
        <w:t>For subsection</w:t>
      </w:r>
      <w:r w:rsidR="00243ED2">
        <w:t> </w:t>
      </w:r>
      <w:r w:rsidRPr="00243ED2">
        <w:t>292 (1) of the Act, the following circumstances apply to a disclosure or use of information or a document:</w:t>
      </w:r>
    </w:p>
    <w:p w:rsidR="00CE2B1D" w:rsidRPr="00243ED2" w:rsidRDefault="00CE2B1D" w:rsidP="00331BA8">
      <w:pPr>
        <w:pStyle w:val="paragraph"/>
      </w:pPr>
      <w:r w:rsidRPr="00243ED2">
        <w:tab/>
        <w:t>(a)</w:t>
      </w:r>
      <w:r w:rsidRPr="00243ED2">
        <w:tab/>
        <w:t>the disclosure is made by an eligible person;</w:t>
      </w:r>
    </w:p>
    <w:p w:rsidR="00CE2B1D" w:rsidRPr="00243ED2" w:rsidRDefault="00CE2B1D" w:rsidP="00331BA8">
      <w:pPr>
        <w:pStyle w:val="paragraph"/>
      </w:pPr>
      <w:r w:rsidRPr="00243ED2">
        <w:tab/>
        <w:t>(b)</w:t>
      </w:r>
      <w:r w:rsidRPr="00243ED2">
        <w:tab/>
        <w:t>the disclosure is made to the Royal Commission created under section</w:t>
      </w:r>
      <w:r w:rsidR="00243ED2">
        <w:t> </w:t>
      </w:r>
      <w:r w:rsidRPr="00243ED2">
        <w:t xml:space="preserve">5 of the </w:t>
      </w:r>
      <w:r w:rsidRPr="00243ED2">
        <w:rPr>
          <w:i/>
        </w:rPr>
        <w:t xml:space="preserve">Royal Commissions Act 1968 </w:t>
      </w:r>
      <w:r w:rsidRPr="00243ED2">
        <w:t>(WA) by instrument of Commission dated 12</w:t>
      </w:r>
      <w:r w:rsidR="00243ED2">
        <w:t> </w:t>
      </w:r>
      <w:r w:rsidRPr="00243ED2">
        <w:t>December 2001;</w:t>
      </w:r>
    </w:p>
    <w:p w:rsidR="00CE2B1D" w:rsidRPr="00243ED2" w:rsidRDefault="00CE2B1D" w:rsidP="00331BA8">
      <w:pPr>
        <w:pStyle w:val="paragraph"/>
      </w:pPr>
      <w:r w:rsidRPr="00243ED2">
        <w:tab/>
        <w:t>(c)</w:t>
      </w:r>
      <w:r w:rsidRPr="00243ED2">
        <w:tab/>
        <w:t>the disclosure is made solely for the purposes of the Royal Commission.</w:t>
      </w:r>
    </w:p>
    <w:p w:rsidR="00CE2B1D" w:rsidRPr="00243ED2" w:rsidRDefault="00331BA8" w:rsidP="00CE2B1D">
      <w:pPr>
        <w:pStyle w:val="AN"/>
      </w:pPr>
      <w:r w:rsidRPr="00243ED2">
        <w:lastRenderedPageBreak/>
        <w:t>Note:</w:t>
      </w:r>
      <w:r w:rsidRPr="00243ED2">
        <w:tab/>
      </w:r>
      <w:r w:rsidR="00CE2B1D" w:rsidRPr="00243ED2">
        <w:t>The effect of this subregulation</w:t>
      </w:r>
      <w:r w:rsidR="0082647E" w:rsidRPr="00243ED2">
        <w:t> </w:t>
      </w:r>
      <w:r w:rsidR="00CE2B1D" w:rsidRPr="00243ED2">
        <w:t>is that section</w:t>
      </w:r>
      <w:r w:rsidR="00243ED2">
        <w:t> </w:t>
      </w:r>
      <w:r w:rsidR="00CE2B1D" w:rsidRPr="00243ED2">
        <w:t>276 of the Act will not prohibit a disclosure or use of information or a document in the circumstances specified in the subregulation.</w:t>
      </w:r>
    </w:p>
    <w:p w:rsidR="00CE2B1D" w:rsidRPr="00243ED2" w:rsidRDefault="00CE2B1D" w:rsidP="00331BA8">
      <w:pPr>
        <w:pStyle w:val="subsection"/>
      </w:pPr>
      <w:r w:rsidRPr="00243ED2">
        <w:tab/>
        <w:t>(2)</w:t>
      </w:r>
      <w:r w:rsidRPr="00243ED2">
        <w:tab/>
        <w:t>For subsection</w:t>
      </w:r>
      <w:r w:rsidR="00243ED2">
        <w:t> </w:t>
      </w:r>
      <w:r w:rsidRPr="00243ED2">
        <w:t>292 (2) of the Act, the following circumstances apply to a disclosure or use of information or a document:</w:t>
      </w:r>
    </w:p>
    <w:p w:rsidR="00CE2B1D" w:rsidRPr="00243ED2" w:rsidRDefault="00CE2B1D" w:rsidP="00331BA8">
      <w:pPr>
        <w:pStyle w:val="paragraph"/>
      </w:pPr>
      <w:r w:rsidRPr="00243ED2">
        <w:tab/>
        <w:t>(a)</w:t>
      </w:r>
      <w:r w:rsidRPr="00243ED2">
        <w:tab/>
        <w:t>the disclosure is made by an eligible number</w:t>
      </w:r>
      <w:r w:rsidR="00243ED2">
        <w:noBreakHyphen/>
      </w:r>
      <w:r w:rsidRPr="00243ED2">
        <w:t>database person;</w:t>
      </w:r>
    </w:p>
    <w:p w:rsidR="00CE2B1D" w:rsidRPr="00243ED2" w:rsidRDefault="00CE2B1D" w:rsidP="00331BA8">
      <w:pPr>
        <w:pStyle w:val="paragraph"/>
      </w:pPr>
      <w:r w:rsidRPr="00243ED2">
        <w:tab/>
        <w:t>(b)</w:t>
      </w:r>
      <w:r w:rsidRPr="00243ED2">
        <w:tab/>
        <w:t>the disclosure is made to the Royal Commission created under section</w:t>
      </w:r>
      <w:r w:rsidR="00243ED2">
        <w:t> </w:t>
      </w:r>
      <w:r w:rsidRPr="00243ED2">
        <w:t xml:space="preserve">5 of the </w:t>
      </w:r>
      <w:r w:rsidRPr="00243ED2">
        <w:rPr>
          <w:i/>
        </w:rPr>
        <w:t xml:space="preserve">Royal Commissions Act 1968 </w:t>
      </w:r>
      <w:r w:rsidRPr="00243ED2">
        <w:t>(WA) by instrument of Commission dated 12</w:t>
      </w:r>
      <w:r w:rsidR="00243ED2">
        <w:t> </w:t>
      </w:r>
      <w:r w:rsidRPr="00243ED2">
        <w:t>December 2001;</w:t>
      </w:r>
    </w:p>
    <w:p w:rsidR="00CE2B1D" w:rsidRPr="00243ED2" w:rsidRDefault="00CE2B1D" w:rsidP="00331BA8">
      <w:pPr>
        <w:pStyle w:val="paragraph"/>
      </w:pPr>
      <w:r w:rsidRPr="00243ED2">
        <w:tab/>
        <w:t>(c)</w:t>
      </w:r>
      <w:r w:rsidRPr="00243ED2">
        <w:tab/>
        <w:t>the disclosure is made solely for the purposes of the Royal Commission.</w:t>
      </w:r>
    </w:p>
    <w:p w:rsidR="00CE2B1D" w:rsidRPr="00243ED2" w:rsidRDefault="00331BA8" w:rsidP="00CE2B1D">
      <w:pPr>
        <w:pStyle w:val="AN"/>
      </w:pPr>
      <w:r w:rsidRPr="00243ED2">
        <w:t>Note:</w:t>
      </w:r>
      <w:r w:rsidRPr="00243ED2">
        <w:tab/>
      </w:r>
      <w:r w:rsidR="00CE2B1D" w:rsidRPr="00243ED2">
        <w:t>The effect of this subregulation</w:t>
      </w:r>
      <w:r w:rsidR="0082647E" w:rsidRPr="00243ED2">
        <w:t> </w:t>
      </w:r>
      <w:r w:rsidR="00CE2B1D" w:rsidRPr="00243ED2">
        <w:t>is that section</w:t>
      </w:r>
      <w:r w:rsidR="00243ED2">
        <w:t> </w:t>
      </w:r>
      <w:r w:rsidR="00CE2B1D" w:rsidRPr="00243ED2">
        <w:t>277 of the Act will not prohibit a disclosure or use of information or a document in the circumstances specified in the subregulation.</w:t>
      </w:r>
    </w:p>
    <w:p w:rsidR="00CE2B1D" w:rsidRPr="00243ED2" w:rsidRDefault="00CE2B1D" w:rsidP="00331BA8">
      <w:pPr>
        <w:pStyle w:val="subsection"/>
      </w:pPr>
      <w:r w:rsidRPr="00243ED2">
        <w:tab/>
        <w:t>(3)</w:t>
      </w:r>
      <w:r w:rsidRPr="00243ED2">
        <w:tab/>
        <w:t>For subsection</w:t>
      </w:r>
      <w:r w:rsidR="00243ED2">
        <w:t> </w:t>
      </w:r>
      <w:r w:rsidRPr="00243ED2">
        <w:t>292 (3) of the Act, the following circumstances apply to a disclosure or use of information or a document:</w:t>
      </w:r>
    </w:p>
    <w:p w:rsidR="00CE2B1D" w:rsidRPr="00243ED2" w:rsidRDefault="00CE2B1D" w:rsidP="00331BA8">
      <w:pPr>
        <w:pStyle w:val="paragraph"/>
      </w:pPr>
      <w:r w:rsidRPr="00243ED2">
        <w:tab/>
        <w:t>(a)</w:t>
      </w:r>
      <w:r w:rsidRPr="00243ED2">
        <w:tab/>
        <w:t>the disclosure is made by an emergency call person;</w:t>
      </w:r>
    </w:p>
    <w:p w:rsidR="00CE2B1D" w:rsidRPr="00243ED2" w:rsidRDefault="00CE2B1D" w:rsidP="00331BA8">
      <w:pPr>
        <w:pStyle w:val="paragraph"/>
      </w:pPr>
      <w:r w:rsidRPr="00243ED2">
        <w:tab/>
        <w:t>(b)</w:t>
      </w:r>
      <w:r w:rsidRPr="00243ED2">
        <w:tab/>
        <w:t>the disclosure is made to the Royal Commission created under section</w:t>
      </w:r>
      <w:r w:rsidR="00243ED2">
        <w:t> </w:t>
      </w:r>
      <w:r w:rsidRPr="00243ED2">
        <w:t xml:space="preserve">5 of the </w:t>
      </w:r>
      <w:r w:rsidRPr="00243ED2">
        <w:rPr>
          <w:i/>
        </w:rPr>
        <w:t xml:space="preserve">Royal Commissions Act 1968 </w:t>
      </w:r>
      <w:r w:rsidRPr="00243ED2">
        <w:t>(WA) by instrument of Commission dated 12</w:t>
      </w:r>
      <w:r w:rsidR="00243ED2">
        <w:t> </w:t>
      </w:r>
      <w:r w:rsidRPr="00243ED2">
        <w:t>December 2001;</w:t>
      </w:r>
    </w:p>
    <w:p w:rsidR="00CE2B1D" w:rsidRPr="00243ED2" w:rsidRDefault="00CE2B1D" w:rsidP="00331BA8">
      <w:pPr>
        <w:pStyle w:val="paragraph"/>
      </w:pPr>
      <w:r w:rsidRPr="00243ED2">
        <w:tab/>
        <w:t>(c)</w:t>
      </w:r>
      <w:r w:rsidRPr="00243ED2">
        <w:tab/>
        <w:t>the disclosure is made solely for the purposes of the Royal Commission.</w:t>
      </w:r>
    </w:p>
    <w:p w:rsidR="00CE2B1D" w:rsidRPr="00243ED2" w:rsidRDefault="00331BA8" w:rsidP="00CE2B1D">
      <w:pPr>
        <w:pStyle w:val="AN"/>
      </w:pPr>
      <w:r w:rsidRPr="00243ED2">
        <w:t>Note:</w:t>
      </w:r>
      <w:r w:rsidRPr="00243ED2">
        <w:tab/>
      </w:r>
      <w:r w:rsidR="00CE2B1D" w:rsidRPr="00243ED2">
        <w:t>The effect of this subregulation</w:t>
      </w:r>
      <w:r w:rsidR="0082647E" w:rsidRPr="00243ED2">
        <w:t> </w:t>
      </w:r>
      <w:r w:rsidR="00CE2B1D" w:rsidRPr="00243ED2">
        <w:t>is that section</w:t>
      </w:r>
      <w:r w:rsidR="00243ED2">
        <w:t> </w:t>
      </w:r>
      <w:r w:rsidR="00CE2B1D" w:rsidRPr="00243ED2">
        <w:t>278 of the Act will not prohibit the disclosure or use of information or a document in the circumstances specified in the subregulation.</w:t>
      </w:r>
    </w:p>
    <w:p w:rsidR="00CE2B1D" w:rsidRPr="00243ED2" w:rsidRDefault="00CE2B1D" w:rsidP="0082647E">
      <w:pPr>
        <w:pStyle w:val="ActHead2"/>
        <w:pageBreakBefore/>
      </w:pPr>
      <w:bookmarkStart w:id="25" w:name="_Toc429131018"/>
      <w:r w:rsidRPr="003A4363">
        <w:rPr>
          <w:rStyle w:val="CharPartNo"/>
        </w:rPr>
        <w:lastRenderedPageBreak/>
        <w:t>Part</w:t>
      </w:r>
      <w:r w:rsidR="00243ED2" w:rsidRPr="003A4363">
        <w:rPr>
          <w:rStyle w:val="CharPartNo"/>
        </w:rPr>
        <w:t> </w:t>
      </w:r>
      <w:r w:rsidRPr="003A4363">
        <w:rPr>
          <w:rStyle w:val="CharPartNo"/>
        </w:rPr>
        <w:t>6</w:t>
      </w:r>
      <w:r w:rsidR="00331BA8" w:rsidRPr="00243ED2">
        <w:t>—</w:t>
      </w:r>
      <w:r w:rsidRPr="003A4363">
        <w:rPr>
          <w:rStyle w:val="CharPartText"/>
        </w:rPr>
        <w:t>Technical regulation</w:t>
      </w:r>
      <w:bookmarkEnd w:id="25"/>
    </w:p>
    <w:p w:rsidR="00CE2B1D" w:rsidRPr="003A4363" w:rsidRDefault="00331BA8" w:rsidP="00CE2B1D">
      <w:pPr>
        <w:pStyle w:val="Header"/>
      </w:pPr>
      <w:r w:rsidRPr="003A4363">
        <w:rPr>
          <w:rStyle w:val="CharDivNo"/>
        </w:rPr>
        <w:t xml:space="preserve"> </w:t>
      </w:r>
      <w:r w:rsidRPr="003A4363">
        <w:rPr>
          <w:rStyle w:val="CharDivText"/>
        </w:rPr>
        <w:t xml:space="preserve"> </w:t>
      </w:r>
    </w:p>
    <w:p w:rsidR="00CE2B1D" w:rsidRPr="00243ED2" w:rsidRDefault="00CE2B1D" w:rsidP="00331BA8">
      <w:pPr>
        <w:pStyle w:val="ActHead5"/>
      </w:pPr>
      <w:bookmarkStart w:id="26" w:name="_Toc429131019"/>
      <w:r w:rsidRPr="003A4363">
        <w:rPr>
          <w:rStyle w:val="CharSectno"/>
        </w:rPr>
        <w:t>6.1</w:t>
      </w:r>
      <w:r w:rsidR="00331BA8" w:rsidRPr="00243ED2">
        <w:t xml:space="preserve">  </w:t>
      </w:r>
      <w:r w:rsidRPr="00243ED2">
        <w:t>Purpose of Part</w:t>
      </w:r>
      <w:bookmarkEnd w:id="26"/>
    </w:p>
    <w:p w:rsidR="00CE2B1D" w:rsidRPr="00243ED2" w:rsidRDefault="00CE2B1D" w:rsidP="00331BA8">
      <w:pPr>
        <w:pStyle w:val="subsection"/>
      </w:pPr>
      <w:r w:rsidRPr="00243ED2">
        <w:tab/>
      </w:r>
      <w:r w:rsidRPr="00243ED2">
        <w:tab/>
        <w:t>This Part provides a procedure under which a person who is alleged to have committed an offence against a provision mentioned in section</w:t>
      </w:r>
      <w:r w:rsidR="00243ED2">
        <w:t> </w:t>
      </w:r>
      <w:r w:rsidRPr="00243ED2">
        <w:t xml:space="preserve">453A of the Act may, as an alternative to having the matter dealt with by a court, dispose of the matter by paying a monetary penalty (an </w:t>
      </w:r>
      <w:r w:rsidRPr="00243ED2">
        <w:rPr>
          <w:b/>
          <w:i/>
        </w:rPr>
        <w:t>infringement notice penalty</w:t>
      </w:r>
      <w:r w:rsidRPr="00243ED2">
        <w:t xml:space="preserve">) specified in a notice (an </w:t>
      </w:r>
      <w:r w:rsidRPr="00243ED2">
        <w:rPr>
          <w:b/>
          <w:i/>
        </w:rPr>
        <w:t>infringement notice</w:t>
      </w:r>
      <w:r w:rsidRPr="00243ED2">
        <w:t>) served on the person.</w:t>
      </w:r>
    </w:p>
    <w:p w:rsidR="00CE2B1D" w:rsidRPr="00243ED2" w:rsidRDefault="00CE2B1D" w:rsidP="00331BA8">
      <w:pPr>
        <w:pStyle w:val="ActHead5"/>
      </w:pPr>
      <w:bookmarkStart w:id="27" w:name="_Toc429131020"/>
      <w:r w:rsidRPr="003A4363">
        <w:rPr>
          <w:rStyle w:val="CharSectno"/>
        </w:rPr>
        <w:t>6.2</w:t>
      </w:r>
      <w:r w:rsidR="00331BA8" w:rsidRPr="00243ED2">
        <w:t xml:space="preserve">  </w:t>
      </w:r>
      <w:r w:rsidRPr="00243ED2">
        <w:t>Use of infringement notices</w:t>
      </w:r>
      <w:bookmarkEnd w:id="27"/>
    </w:p>
    <w:p w:rsidR="00CE2B1D" w:rsidRPr="00243ED2" w:rsidRDefault="00CE2B1D" w:rsidP="00331BA8">
      <w:pPr>
        <w:pStyle w:val="subsection"/>
      </w:pPr>
      <w:r w:rsidRPr="00243ED2">
        <w:tab/>
      </w:r>
      <w:r w:rsidRPr="00243ED2">
        <w:tab/>
        <w:t>If there are reasonable grounds for believing that a person has committed an offence against a provision mentioned in section</w:t>
      </w:r>
      <w:r w:rsidR="00243ED2">
        <w:t> </w:t>
      </w:r>
      <w:r w:rsidRPr="00243ED2">
        <w:t>453A of the Act, an authorised person may issue an infringement notice for that person.</w:t>
      </w:r>
    </w:p>
    <w:p w:rsidR="00CE2B1D" w:rsidRPr="00243ED2" w:rsidRDefault="00CE2B1D" w:rsidP="00331BA8">
      <w:pPr>
        <w:pStyle w:val="ActHead5"/>
      </w:pPr>
      <w:bookmarkStart w:id="28" w:name="_Toc429131021"/>
      <w:r w:rsidRPr="003A4363">
        <w:rPr>
          <w:rStyle w:val="CharSectno"/>
        </w:rPr>
        <w:t>6.3</w:t>
      </w:r>
      <w:r w:rsidR="00331BA8" w:rsidRPr="00243ED2">
        <w:t xml:space="preserve">  </w:t>
      </w:r>
      <w:r w:rsidRPr="00243ED2">
        <w:t>Contents of infringement notice</w:t>
      </w:r>
      <w:bookmarkEnd w:id="28"/>
    </w:p>
    <w:p w:rsidR="00CE2B1D" w:rsidRPr="00243ED2" w:rsidRDefault="00CE2B1D" w:rsidP="00331BA8">
      <w:pPr>
        <w:pStyle w:val="subsection"/>
      </w:pPr>
      <w:r w:rsidRPr="00243ED2">
        <w:rPr>
          <w:b/>
          <w:bCs/>
        </w:rPr>
        <w:tab/>
      </w:r>
      <w:r w:rsidRPr="00243ED2">
        <w:t>(1)</w:t>
      </w:r>
      <w:r w:rsidRPr="00243ED2">
        <w:rPr>
          <w:b/>
          <w:bCs/>
        </w:rPr>
        <w:tab/>
      </w:r>
      <w:r w:rsidRPr="00243ED2">
        <w:t>An infringement notice must be signed by the authorised person who issues it and set out the following information:</w:t>
      </w:r>
    </w:p>
    <w:p w:rsidR="00CE2B1D" w:rsidRPr="00243ED2" w:rsidRDefault="00CE2B1D" w:rsidP="00331BA8">
      <w:pPr>
        <w:pStyle w:val="paragraph"/>
      </w:pPr>
      <w:r w:rsidRPr="00243ED2">
        <w:tab/>
        <w:t>(a)</w:t>
      </w:r>
      <w:r w:rsidRPr="00243ED2">
        <w:tab/>
        <w:t>the name of the authorised person who issues it;</w:t>
      </w:r>
    </w:p>
    <w:p w:rsidR="00CE2B1D" w:rsidRPr="00243ED2" w:rsidRDefault="00CE2B1D" w:rsidP="00331BA8">
      <w:pPr>
        <w:pStyle w:val="paragraph"/>
      </w:pPr>
      <w:r w:rsidRPr="00243ED2">
        <w:tab/>
        <w:t>(b)</w:t>
      </w:r>
      <w:r w:rsidRPr="00243ED2">
        <w:tab/>
        <w:t>the nature of the offence, the provision of the Act containing the offence and when and where the offence is alleged to have been committed;</w:t>
      </w:r>
    </w:p>
    <w:p w:rsidR="00CE2B1D" w:rsidRPr="00243ED2" w:rsidRDefault="00CE2B1D" w:rsidP="00331BA8">
      <w:pPr>
        <w:pStyle w:val="paragraph"/>
      </w:pPr>
      <w:r w:rsidRPr="00243ED2">
        <w:tab/>
        <w:t>(c)</w:t>
      </w:r>
      <w:r w:rsidRPr="00243ED2">
        <w:tab/>
        <w:t>a statement to the effect that, if the person on whom the notice is served does not wish the matter to be dealt with by a court, he or she may pay a penalty of the amount mentioned in section</w:t>
      </w:r>
      <w:r w:rsidR="00243ED2">
        <w:t> </w:t>
      </w:r>
      <w:r w:rsidRPr="00243ED2">
        <w:t>453A of the Act for the alleged offence within 28 days after service of the notice unless the notice is sooner withdrawn;</w:t>
      </w:r>
    </w:p>
    <w:p w:rsidR="00CE2B1D" w:rsidRPr="00243ED2" w:rsidRDefault="00CE2B1D" w:rsidP="00331BA8">
      <w:pPr>
        <w:pStyle w:val="paragraph"/>
      </w:pPr>
      <w:r w:rsidRPr="00243ED2">
        <w:tab/>
        <w:t>(d)</w:t>
      </w:r>
      <w:r w:rsidRPr="00243ED2">
        <w:tab/>
        <w:t>the maximum penalty that a court could impose for the offence;</w:t>
      </w:r>
    </w:p>
    <w:p w:rsidR="00CE2B1D" w:rsidRPr="00243ED2" w:rsidRDefault="00CE2B1D" w:rsidP="00331BA8">
      <w:pPr>
        <w:pStyle w:val="paragraph"/>
      </w:pPr>
      <w:r w:rsidRPr="00243ED2">
        <w:tab/>
        <w:t>(e)</w:t>
      </w:r>
      <w:r w:rsidRPr="00243ED2">
        <w:tab/>
        <w:t>the amount payable as the infringement notice penalty;</w:t>
      </w:r>
    </w:p>
    <w:p w:rsidR="00CE2B1D" w:rsidRPr="00243ED2" w:rsidRDefault="00CE2B1D" w:rsidP="00331BA8">
      <w:pPr>
        <w:pStyle w:val="paragraph"/>
      </w:pPr>
      <w:r w:rsidRPr="00243ED2">
        <w:lastRenderedPageBreak/>
        <w:tab/>
        <w:t>(f)</w:t>
      </w:r>
      <w:r w:rsidRPr="00243ED2">
        <w:tab/>
        <w:t>where and how the infringement notice penalty may be paid;</w:t>
      </w:r>
    </w:p>
    <w:p w:rsidR="00CE2B1D" w:rsidRPr="00243ED2" w:rsidRDefault="00CE2B1D" w:rsidP="00331BA8">
      <w:pPr>
        <w:pStyle w:val="paragraph"/>
      </w:pPr>
      <w:r w:rsidRPr="00243ED2">
        <w:tab/>
        <w:t>(g)</w:t>
      </w:r>
      <w:r w:rsidRPr="00243ED2">
        <w:tab/>
        <w:t>a statement setting out the procedures under these Regulations for the withdrawal of notices and the consequences of the withdrawal of a notice;</w:t>
      </w:r>
    </w:p>
    <w:p w:rsidR="00CE2B1D" w:rsidRPr="00243ED2" w:rsidRDefault="00CE2B1D" w:rsidP="00331BA8">
      <w:pPr>
        <w:pStyle w:val="paragraph"/>
      </w:pPr>
      <w:r w:rsidRPr="00243ED2">
        <w:tab/>
        <w:t>(h)</w:t>
      </w:r>
      <w:r w:rsidRPr="00243ED2">
        <w:tab/>
        <w:t>a statement setting out the procedures under these Regulations for extending the period within which the penalty must be paid;</w:t>
      </w:r>
    </w:p>
    <w:p w:rsidR="00CE2B1D" w:rsidRPr="00243ED2" w:rsidRDefault="00CE2B1D" w:rsidP="00331BA8">
      <w:pPr>
        <w:pStyle w:val="paragraph"/>
      </w:pPr>
      <w:r w:rsidRPr="00243ED2">
        <w:tab/>
        <w:t>(i)</w:t>
      </w:r>
      <w:r w:rsidRPr="00243ED2">
        <w:tab/>
        <w:t>a statement that, if the person pays the penalty within the period mentioned in the notice or any further period allowed under regulation</w:t>
      </w:r>
      <w:r w:rsidR="00243ED2">
        <w:t> </w:t>
      </w:r>
      <w:r w:rsidRPr="00243ED2">
        <w:t>6.5 or subregulation</w:t>
      </w:r>
      <w:r w:rsidR="00243ED2">
        <w:t> </w:t>
      </w:r>
      <w:r w:rsidRPr="00243ED2">
        <w:t>6.6 (3), or if the notice is withdrawn after the person has paid the penalty:</w:t>
      </w:r>
    </w:p>
    <w:p w:rsidR="00CE2B1D" w:rsidRPr="00243ED2" w:rsidRDefault="00CE2B1D" w:rsidP="00331BA8">
      <w:pPr>
        <w:pStyle w:val="paragraphsub"/>
      </w:pPr>
      <w:r w:rsidRPr="00243ED2">
        <w:tab/>
        <w:t>(i)</w:t>
      </w:r>
      <w:r w:rsidRPr="00243ED2">
        <w:tab/>
        <w:t>any liability of the person for the alleged offence is regarded as being discharged; and</w:t>
      </w:r>
    </w:p>
    <w:p w:rsidR="00CE2B1D" w:rsidRPr="00243ED2" w:rsidRDefault="00CE2B1D" w:rsidP="00331BA8">
      <w:pPr>
        <w:pStyle w:val="paragraphsub"/>
      </w:pPr>
      <w:r w:rsidRPr="00243ED2">
        <w:tab/>
        <w:t>(ii)</w:t>
      </w:r>
      <w:r w:rsidRPr="00243ED2">
        <w:tab/>
        <w:t>no further proceedings may be taken for the alleged offence; and</w:t>
      </w:r>
    </w:p>
    <w:p w:rsidR="00CE2B1D" w:rsidRPr="00243ED2" w:rsidRDefault="00CE2B1D" w:rsidP="00331BA8">
      <w:pPr>
        <w:pStyle w:val="paragraphsub"/>
      </w:pPr>
      <w:r w:rsidRPr="00243ED2">
        <w:tab/>
        <w:t>(iii)</w:t>
      </w:r>
      <w:r w:rsidRPr="00243ED2">
        <w:tab/>
        <w:t>the person is not to be regarded as having been convicted of the alleged offence.</w:t>
      </w:r>
    </w:p>
    <w:p w:rsidR="00CE2B1D" w:rsidRPr="00243ED2" w:rsidRDefault="00CE2B1D" w:rsidP="00331BA8">
      <w:pPr>
        <w:pStyle w:val="subsection"/>
      </w:pPr>
      <w:r w:rsidRPr="00243ED2">
        <w:rPr>
          <w:b/>
          <w:bCs/>
        </w:rPr>
        <w:tab/>
      </w:r>
      <w:r w:rsidRPr="00243ED2">
        <w:t>(2)</w:t>
      </w:r>
      <w:r w:rsidRPr="00243ED2">
        <w:rPr>
          <w:b/>
          <w:bCs/>
        </w:rPr>
        <w:tab/>
      </w:r>
      <w:r w:rsidRPr="00243ED2">
        <w:t>An infringement notice may contain any other matters that the ACA considers relevant.</w:t>
      </w:r>
    </w:p>
    <w:p w:rsidR="00CE2B1D" w:rsidRPr="00243ED2" w:rsidRDefault="00CE2B1D" w:rsidP="00331BA8">
      <w:pPr>
        <w:pStyle w:val="ActHead5"/>
      </w:pPr>
      <w:bookmarkStart w:id="29" w:name="_Toc429131022"/>
      <w:r w:rsidRPr="003A4363">
        <w:rPr>
          <w:rStyle w:val="CharSectno"/>
        </w:rPr>
        <w:t>6.4</w:t>
      </w:r>
      <w:r w:rsidR="00331BA8" w:rsidRPr="00243ED2">
        <w:t xml:space="preserve">  </w:t>
      </w:r>
      <w:r w:rsidRPr="00243ED2">
        <w:t>Service of an infringement notice</w:t>
      </w:r>
      <w:bookmarkEnd w:id="29"/>
    </w:p>
    <w:p w:rsidR="00CE2B1D" w:rsidRPr="00243ED2" w:rsidRDefault="00CE2B1D" w:rsidP="00331BA8">
      <w:pPr>
        <w:pStyle w:val="subsection"/>
      </w:pPr>
      <w:r w:rsidRPr="00243ED2">
        <w:rPr>
          <w:b/>
          <w:bCs/>
        </w:rPr>
        <w:tab/>
      </w:r>
      <w:r w:rsidRPr="00243ED2">
        <w:t>(1)</w:t>
      </w:r>
      <w:r w:rsidRPr="00243ED2">
        <w:rPr>
          <w:b/>
          <w:bCs/>
        </w:rPr>
        <w:tab/>
      </w:r>
      <w:r w:rsidRPr="00243ED2">
        <w:t>An authorised person may serve an infringement notice on an individual:</w:t>
      </w:r>
    </w:p>
    <w:p w:rsidR="00CE2B1D" w:rsidRPr="00243ED2" w:rsidRDefault="00CE2B1D" w:rsidP="00331BA8">
      <w:pPr>
        <w:pStyle w:val="paragraph"/>
      </w:pPr>
      <w:r w:rsidRPr="00243ED2">
        <w:tab/>
        <w:t>(a)</w:t>
      </w:r>
      <w:r w:rsidRPr="00243ED2">
        <w:tab/>
        <w:t>by giving it to the individual personally; or</w:t>
      </w:r>
    </w:p>
    <w:p w:rsidR="00CE2B1D" w:rsidRPr="00243ED2" w:rsidRDefault="00CE2B1D" w:rsidP="00331BA8">
      <w:pPr>
        <w:pStyle w:val="paragraph"/>
      </w:pPr>
      <w:r w:rsidRPr="00243ED2">
        <w:tab/>
        <w:t>(b)</w:t>
      </w:r>
      <w:r w:rsidRPr="00243ED2">
        <w:tab/>
        <w:t>by leaving it at, or sending it by post to, the residential or business address of the individual that is last known to the authorised person; or</w:t>
      </w:r>
    </w:p>
    <w:p w:rsidR="00CE2B1D" w:rsidRPr="00243ED2" w:rsidRDefault="00CE2B1D" w:rsidP="00331BA8">
      <w:pPr>
        <w:pStyle w:val="paragraph"/>
      </w:pPr>
      <w:r w:rsidRPr="00243ED2">
        <w:tab/>
        <w:t>(c)</w:t>
      </w:r>
      <w:r w:rsidRPr="00243ED2">
        <w:tab/>
        <w:t>by giving it, at the place of residence or business that is last known to the authorised person, to a person who the authorised person reasonably believes:</w:t>
      </w:r>
    </w:p>
    <w:p w:rsidR="00CE2B1D" w:rsidRPr="00243ED2" w:rsidRDefault="00CE2B1D" w:rsidP="00331BA8">
      <w:pPr>
        <w:pStyle w:val="paragraphsub"/>
      </w:pPr>
      <w:r w:rsidRPr="00243ED2">
        <w:tab/>
        <w:t>(i)</w:t>
      </w:r>
      <w:r w:rsidRPr="00243ED2">
        <w:tab/>
        <w:t>is over the age of 16 years; and</w:t>
      </w:r>
    </w:p>
    <w:p w:rsidR="00CE2B1D" w:rsidRPr="00243ED2" w:rsidRDefault="00CE2B1D" w:rsidP="00331BA8">
      <w:pPr>
        <w:pStyle w:val="paragraphsub"/>
      </w:pPr>
      <w:r w:rsidRPr="00243ED2">
        <w:tab/>
        <w:t>(ii)</w:t>
      </w:r>
      <w:r w:rsidRPr="00243ED2">
        <w:tab/>
        <w:t>lives or works at the place.</w:t>
      </w:r>
    </w:p>
    <w:p w:rsidR="00CE2B1D" w:rsidRPr="00243ED2" w:rsidRDefault="00CE2B1D" w:rsidP="00331BA8">
      <w:pPr>
        <w:pStyle w:val="subsection"/>
      </w:pPr>
      <w:r w:rsidRPr="00243ED2">
        <w:rPr>
          <w:b/>
          <w:bCs/>
        </w:rPr>
        <w:tab/>
      </w:r>
      <w:r w:rsidRPr="00243ED2">
        <w:t>(2)</w:t>
      </w:r>
      <w:r w:rsidRPr="00243ED2">
        <w:rPr>
          <w:b/>
          <w:bCs/>
        </w:rPr>
        <w:tab/>
      </w:r>
      <w:r w:rsidRPr="00243ED2">
        <w:t>An authorised person may serve an infringement notice on a body corporate:</w:t>
      </w:r>
    </w:p>
    <w:p w:rsidR="00CE2B1D" w:rsidRPr="00243ED2" w:rsidRDefault="00CE2B1D" w:rsidP="00331BA8">
      <w:pPr>
        <w:pStyle w:val="paragraph"/>
      </w:pPr>
      <w:r w:rsidRPr="00243ED2">
        <w:lastRenderedPageBreak/>
        <w:tab/>
        <w:t>(a)</w:t>
      </w:r>
      <w:r w:rsidRPr="00243ED2">
        <w:tab/>
        <w:t>by sending it by post to the head office, registered office, principal office or other postal address of the body corporate; or</w:t>
      </w:r>
    </w:p>
    <w:p w:rsidR="00CE2B1D" w:rsidRPr="00243ED2" w:rsidRDefault="00CE2B1D" w:rsidP="00331BA8">
      <w:pPr>
        <w:pStyle w:val="paragraph"/>
      </w:pPr>
      <w:r w:rsidRPr="00243ED2">
        <w:tab/>
        <w:t>(b)</w:t>
      </w:r>
      <w:r w:rsidRPr="00243ED2">
        <w:tab/>
        <w:t>by giving it, at the head office, registered office, principal office or other place of business of the body corporate, to a person who the authorised person reasonably believes is:</w:t>
      </w:r>
    </w:p>
    <w:p w:rsidR="00CE2B1D" w:rsidRPr="00243ED2" w:rsidRDefault="00CE2B1D" w:rsidP="00331BA8">
      <w:pPr>
        <w:pStyle w:val="paragraphsub"/>
      </w:pPr>
      <w:r w:rsidRPr="00243ED2">
        <w:tab/>
        <w:t>(i)</w:t>
      </w:r>
      <w:r w:rsidRPr="00243ED2">
        <w:tab/>
        <w:t>over the age of 16 years; and</w:t>
      </w:r>
    </w:p>
    <w:p w:rsidR="00CE2B1D" w:rsidRPr="00243ED2" w:rsidRDefault="00CE2B1D" w:rsidP="00331BA8">
      <w:pPr>
        <w:pStyle w:val="paragraphsub"/>
      </w:pPr>
      <w:r w:rsidRPr="00243ED2">
        <w:tab/>
        <w:t>(ii)</w:t>
      </w:r>
      <w:r w:rsidRPr="00243ED2">
        <w:tab/>
        <w:t>an officer of, or in the service of, the body corporate.</w:t>
      </w:r>
    </w:p>
    <w:p w:rsidR="00CE2B1D" w:rsidRPr="00243ED2" w:rsidRDefault="00CE2B1D" w:rsidP="00331BA8">
      <w:pPr>
        <w:pStyle w:val="subsection"/>
      </w:pPr>
      <w:r w:rsidRPr="00243ED2">
        <w:rPr>
          <w:b/>
          <w:bCs/>
        </w:rPr>
        <w:tab/>
      </w:r>
      <w:r w:rsidRPr="00243ED2">
        <w:t>(3)</w:t>
      </w:r>
      <w:r w:rsidRPr="00243ED2">
        <w:rPr>
          <w:b/>
          <w:bCs/>
        </w:rPr>
        <w:tab/>
      </w:r>
      <w:r w:rsidRPr="00243ED2">
        <w:t>An infringement notice may also be served:</w:t>
      </w:r>
    </w:p>
    <w:p w:rsidR="00CE2B1D" w:rsidRPr="00243ED2" w:rsidRDefault="00CE2B1D" w:rsidP="00331BA8">
      <w:pPr>
        <w:pStyle w:val="paragraph"/>
      </w:pPr>
      <w:r w:rsidRPr="00243ED2">
        <w:tab/>
        <w:t>(a)</w:t>
      </w:r>
      <w:r w:rsidRPr="00243ED2">
        <w:tab/>
        <w:t>by another person acting for an authorised person in the manner mentioned in subregulation</w:t>
      </w:r>
      <w:r w:rsidR="0082647E" w:rsidRPr="00243ED2">
        <w:t> </w:t>
      </w:r>
      <w:r w:rsidRPr="00243ED2">
        <w:t>(1) or (2); or</w:t>
      </w:r>
    </w:p>
    <w:p w:rsidR="00CE2B1D" w:rsidRPr="00243ED2" w:rsidRDefault="00CE2B1D" w:rsidP="00331BA8">
      <w:pPr>
        <w:pStyle w:val="paragraph"/>
      </w:pPr>
      <w:r w:rsidRPr="00243ED2">
        <w:tab/>
        <w:t>(b)</w:t>
      </w:r>
      <w:r w:rsidRPr="00243ED2">
        <w:tab/>
        <w:t>by an authorised person, or by another person acting for an authorised person, by fax to the fax number last known to the person sending the fax as the number at which the person being served receives fax transmissions.</w:t>
      </w:r>
    </w:p>
    <w:p w:rsidR="00CE2B1D" w:rsidRPr="00243ED2" w:rsidRDefault="00CE2B1D" w:rsidP="00331BA8">
      <w:pPr>
        <w:pStyle w:val="subsection"/>
      </w:pPr>
      <w:r w:rsidRPr="00243ED2">
        <w:rPr>
          <w:b/>
          <w:bCs/>
        </w:rPr>
        <w:tab/>
      </w:r>
      <w:r w:rsidRPr="00243ED2">
        <w:t>(4)</w:t>
      </w:r>
      <w:r w:rsidRPr="00243ED2">
        <w:rPr>
          <w:b/>
          <w:bCs/>
        </w:rPr>
        <w:tab/>
      </w:r>
      <w:r w:rsidRPr="00243ED2">
        <w:t xml:space="preserve">In the absence of evidence to the contrary, a fax transmission is taken to have been given to a person when the transmission is sent to the number mentioned in </w:t>
      </w:r>
      <w:r w:rsidR="00243ED2">
        <w:t>paragraph (</w:t>
      </w:r>
      <w:r w:rsidRPr="00243ED2">
        <w:t>3) (b).</w:t>
      </w:r>
    </w:p>
    <w:p w:rsidR="00CE2B1D" w:rsidRPr="00243ED2" w:rsidRDefault="00CE2B1D" w:rsidP="00331BA8">
      <w:pPr>
        <w:pStyle w:val="subsection"/>
      </w:pPr>
      <w:r w:rsidRPr="00243ED2">
        <w:tab/>
        <w:t>(5)</w:t>
      </w:r>
      <w:r w:rsidRPr="00243ED2">
        <w:tab/>
        <w:t>An infringement notice must be served not later than 10 months after the alleged commission of the offence.</w:t>
      </w:r>
    </w:p>
    <w:p w:rsidR="00CE2B1D" w:rsidRPr="00243ED2" w:rsidRDefault="00CE2B1D" w:rsidP="00331BA8">
      <w:pPr>
        <w:pStyle w:val="ActHead5"/>
      </w:pPr>
      <w:bookmarkStart w:id="30" w:name="_Toc429131023"/>
      <w:r w:rsidRPr="003A4363">
        <w:rPr>
          <w:rStyle w:val="CharSectno"/>
        </w:rPr>
        <w:t>6.5</w:t>
      </w:r>
      <w:r w:rsidR="00331BA8" w:rsidRPr="00243ED2">
        <w:t xml:space="preserve">  </w:t>
      </w:r>
      <w:r w:rsidRPr="00243ED2">
        <w:t>Extension of time to pay</w:t>
      </w:r>
      <w:bookmarkEnd w:id="30"/>
    </w:p>
    <w:p w:rsidR="00CE2B1D" w:rsidRPr="00243ED2" w:rsidRDefault="00CE2B1D" w:rsidP="00331BA8">
      <w:pPr>
        <w:pStyle w:val="subsection"/>
      </w:pPr>
      <w:r w:rsidRPr="00243ED2">
        <w:tab/>
        <w:t>(1)</w:t>
      </w:r>
      <w:r w:rsidRPr="00243ED2">
        <w:tab/>
        <w:t>On written application by a person within 28 days after service of an infringement notice on the person, an authorised person may grant, if satisfied that in all the circumstances it is reasonable to do so, a further period of up to 14 days for payment of the infringement notice penalty.</w:t>
      </w:r>
    </w:p>
    <w:p w:rsidR="00CE2B1D" w:rsidRPr="00243ED2" w:rsidRDefault="00CE2B1D" w:rsidP="00331BA8">
      <w:pPr>
        <w:pStyle w:val="subsection"/>
      </w:pPr>
      <w:r w:rsidRPr="00243ED2">
        <w:tab/>
        <w:t>(2)</w:t>
      </w:r>
      <w:r w:rsidRPr="00243ED2">
        <w:tab/>
        <w:t>The authorised person must:</w:t>
      </w:r>
    </w:p>
    <w:p w:rsidR="00CE2B1D" w:rsidRPr="00243ED2" w:rsidRDefault="00CE2B1D" w:rsidP="00331BA8">
      <w:pPr>
        <w:pStyle w:val="paragraph"/>
      </w:pPr>
      <w:r w:rsidRPr="00243ED2">
        <w:tab/>
        <w:t>(a)</w:t>
      </w:r>
      <w:r w:rsidRPr="00243ED2">
        <w:tab/>
        <w:t>grant or refuse a further period; and</w:t>
      </w:r>
    </w:p>
    <w:p w:rsidR="00CE2B1D" w:rsidRPr="00243ED2" w:rsidRDefault="00CE2B1D" w:rsidP="00331BA8">
      <w:pPr>
        <w:pStyle w:val="paragraph"/>
      </w:pPr>
      <w:r w:rsidRPr="00243ED2">
        <w:tab/>
        <w:t>(b)</w:t>
      </w:r>
      <w:r w:rsidRPr="00243ED2">
        <w:tab/>
        <w:t>give the applicant written notice of the decision; and</w:t>
      </w:r>
    </w:p>
    <w:p w:rsidR="00CE2B1D" w:rsidRPr="00243ED2" w:rsidRDefault="00CE2B1D" w:rsidP="00331BA8">
      <w:pPr>
        <w:pStyle w:val="paragraph"/>
      </w:pPr>
      <w:r w:rsidRPr="00243ED2">
        <w:tab/>
        <w:t>(c)</w:t>
      </w:r>
      <w:r w:rsidRPr="00243ED2">
        <w:tab/>
        <w:t>if the decision is a refusal</w:t>
      </w:r>
      <w:r w:rsidR="00331BA8" w:rsidRPr="00243ED2">
        <w:t>—</w:t>
      </w:r>
      <w:r w:rsidRPr="00243ED2">
        <w:t>mention in the notice the reasons for refusal and the period within which the infringement notice penalty must be paid.</w:t>
      </w:r>
    </w:p>
    <w:p w:rsidR="00CE2B1D" w:rsidRPr="00243ED2" w:rsidRDefault="00CE2B1D" w:rsidP="00331BA8">
      <w:pPr>
        <w:pStyle w:val="subsection"/>
      </w:pPr>
      <w:r w:rsidRPr="00243ED2">
        <w:lastRenderedPageBreak/>
        <w:tab/>
        <w:t>(3)</w:t>
      </w:r>
      <w:r w:rsidRPr="00243ED2">
        <w:tab/>
        <w:t>The time for payment of the infringement notice penalty is:</w:t>
      </w:r>
    </w:p>
    <w:p w:rsidR="00CE2B1D" w:rsidRPr="00243ED2" w:rsidRDefault="00CE2B1D" w:rsidP="00331BA8">
      <w:pPr>
        <w:pStyle w:val="paragraph"/>
      </w:pPr>
      <w:r w:rsidRPr="00243ED2">
        <w:tab/>
        <w:t>(a)</w:t>
      </w:r>
      <w:r w:rsidRPr="00243ED2">
        <w:tab/>
        <w:t>if a further period is granted</w:t>
      </w:r>
      <w:r w:rsidR="00331BA8" w:rsidRPr="00243ED2">
        <w:t>—</w:t>
      </w:r>
      <w:r w:rsidRPr="00243ED2">
        <w:t>before the end of that period; or</w:t>
      </w:r>
    </w:p>
    <w:p w:rsidR="00CE2B1D" w:rsidRPr="00243ED2" w:rsidRDefault="00CE2B1D" w:rsidP="00331BA8">
      <w:pPr>
        <w:pStyle w:val="paragraph"/>
      </w:pPr>
      <w:r w:rsidRPr="00243ED2">
        <w:tab/>
        <w:t>(b)</w:t>
      </w:r>
      <w:r w:rsidRPr="00243ED2">
        <w:tab/>
        <w:t>if the decision is a refusal</w:t>
      </w:r>
      <w:r w:rsidR="00331BA8" w:rsidRPr="00243ED2">
        <w:t>—</w:t>
      </w:r>
      <w:r w:rsidRPr="00243ED2">
        <w:t>before the later of:</w:t>
      </w:r>
    </w:p>
    <w:p w:rsidR="00CE2B1D" w:rsidRPr="00243ED2" w:rsidRDefault="00CE2B1D" w:rsidP="00331BA8">
      <w:pPr>
        <w:pStyle w:val="paragraphsub"/>
      </w:pPr>
      <w:r w:rsidRPr="00243ED2">
        <w:tab/>
        <w:t>(i)</w:t>
      </w:r>
      <w:r w:rsidRPr="00243ED2">
        <w:tab/>
        <w:t>the end of 7 days after receiving notice of the refusal; or</w:t>
      </w:r>
    </w:p>
    <w:p w:rsidR="00CE2B1D" w:rsidRPr="00243ED2" w:rsidRDefault="00CE2B1D" w:rsidP="00331BA8">
      <w:pPr>
        <w:pStyle w:val="paragraphsub"/>
      </w:pPr>
      <w:r w:rsidRPr="00243ED2">
        <w:tab/>
        <w:t>(ii)</w:t>
      </w:r>
      <w:r w:rsidRPr="00243ED2">
        <w:tab/>
        <w:t>the end of the 28</w:t>
      </w:r>
      <w:r w:rsidR="00243ED2">
        <w:noBreakHyphen/>
      </w:r>
      <w:r w:rsidRPr="00243ED2">
        <w:t>day period; or</w:t>
      </w:r>
    </w:p>
    <w:p w:rsidR="00CE2B1D" w:rsidRPr="00243ED2" w:rsidRDefault="00CE2B1D" w:rsidP="00331BA8">
      <w:pPr>
        <w:pStyle w:val="paragraph"/>
      </w:pPr>
      <w:r w:rsidRPr="00243ED2">
        <w:tab/>
        <w:t>(c)</w:t>
      </w:r>
      <w:r w:rsidRPr="00243ED2">
        <w:tab/>
        <w:t>in either case, if time for payment is extended under subregulation</w:t>
      </w:r>
      <w:r w:rsidR="00243ED2">
        <w:t> </w:t>
      </w:r>
      <w:r w:rsidRPr="00243ED2">
        <w:t>6.6 (3)</w:t>
      </w:r>
      <w:r w:rsidR="00331BA8" w:rsidRPr="00243ED2">
        <w:t>—</w:t>
      </w:r>
      <w:r w:rsidRPr="00243ED2">
        <w:t>the end of the extended time.</w:t>
      </w:r>
    </w:p>
    <w:p w:rsidR="00CE2B1D" w:rsidRPr="00243ED2" w:rsidRDefault="00CE2B1D" w:rsidP="00331BA8">
      <w:pPr>
        <w:pStyle w:val="ActHead5"/>
      </w:pPr>
      <w:bookmarkStart w:id="31" w:name="_Toc429131024"/>
      <w:r w:rsidRPr="003A4363">
        <w:rPr>
          <w:rStyle w:val="CharSectno"/>
        </w:rPr>
        <w:t>6.6</w:t>
      </w:r>
      <w:r w:rsidR="00331BA8" w:rsidRPr="00243ED2">
        <w:t xml:space="preserve">  </w:t>
      </w:r>
      <w:r w:rsidRPr="00243ED2">
        <w:t>Infringement notice may be withdrawn</w:t>
      </w:r>
      <w:bookmarkEnd w:id="31"/>
    </w:p>
    <w:p w:rsidR="00CE2B1D" w:rsidRPr="00243ED2" w:rsidRDefault="00CE2B1D" w:rsidP="00331BA8">
      <w:pPr>
        <w:pStyle w:val="subsection"/>
      </w:pPr>
      <w:r w:rsidRPr="00243ED2">
        <w:rPr>
          <w:b/>
          <w:bCs/>
        </w:rPr>
        <w:tab/>
      </w:r>
      <w:r w:rsidRPr="00243ED2">
        <w:t>(1)</w:t>
      </w:r>
      <w:r w:rsidRPr="00243ED2">
        <w:rPr>
          <w:b/>
          <w:bCs/>
        </w:rPr>
        <w:tab/>
      </w:r>
      <w:r w:rsidRPr="00243ED2">
        <w:t>If an infringement notice has been served on a person, an authorised person may at any time before the end of 28 days after the service of the notice, or any further period granted under regulation</w:t>
      </w:r>
      <w:r w:rsidR="00243ED2">
        <w:t> </w:t>
      </w:r>
      <w:r w:rsidRPr="00243ED2">
        <w:t>6.5 or subregulation</w:t>
      </w:r>
      <w:r w:rsidR="0082647E" w:rsidRPr="00243ED2">
        <w:t> </w:t>
      </w:r>
      <w:r w:rsidRPr="00243ED2">
        <w:t>(3), by notice in writing served on the person, withdraw the infringement notice.</w:t>
      </w:r>
    </w:p>
    <w:p w:rsidR="00CE2B1D" w:rsidRPr="00243ED2" w:rsidRDefault="00CE2B1D" w:rsidP="00331BA8">
      <w:pPr>
        <w:pStyle w:val="subsection"/>
      </w:pPr>
      <w:r w:rsidRPr="00243ED2">
        <w:tab/>
        <w:t>(2)</w:t>
      </w:r>
      <w:r w:rsidRPr="00243ED2">
        <w:tab/>
        <w:t>Before the end of 28 days after service of an infringement notice on a person, the person may give the authorised person, in the manner set out in the infringement notice, material that the person believes ought to be taken into account in relation to the alleged offence.</w:t>
      </w:r>
    </w:p>
    <w:p w:rsidR="00CE2B1D" w:rsidRPr="00243ED2" w:rsidRDefault="00CE2B1D" w:rsidP="00331BA8">
      <w:pPr>
        <w:pStyle w:val="subsection"/>
      </w:pPr>
      <w:r w:rsidRPr="00243ED2">
        <w:tab/>
        <w:t>(3)</w:t>
      </w:r>
      <w:r w:rsidRPr="00243ED2">
        <w:tab/>
        <w:t>If a person gives the authorised person material under subregulation</w:t>
      </w:r>
      <w:r w:rsidR="0082647E" w:rsidRPr="00243ED2">
        <w:t> </w:t>
      </w:r>
      <w:r w:rsidRPr="00243ED2">
        <w:rPr>
          <w:noProof/>
        </w:rPr>
        <w:t>(2),</w:t>
      </w:r>
      <w:r w:rsidRPr="00243ED2">
        <w:t xml:space="preserve"> the authorised person must:</w:t>
      </w:r>
    </w:p>
    <w:p w:rsidR="00CE2B1D" w:rsidRPr="00243ED2" w:rsidRDefault="00CE2B1D" w:rsidP="00331BA8">
      <w:pPr>
        <w:pStyle w:val="paragraph"/>
      </w:pPr>
      <w:r w:rsidRPr="00243ED2">
        <w:tab/>
        <w:t>(a)</w:t>
      </w:r>
      <w:r w:rsidRPr="00243ED2">
        <w:tab/>
        <w:t xml:space="preserve">extend the time for payment of the penalty to any extent necessary for a decision to be made under </w:t>
      </w:r>
      <w:r w:rsidR="00243ED2">
        <w:t>paragraph (</w:t>
      </w:r>
      <w:r w:rsidRPr="00243ED2">
        <w:t>b); and</w:t>
      </w:r>
    </w:p>
    <w:p w:rsidR="00CE2B1D" w:rsidRPr="00243ED2" w:rsidRDefault="00CE2B1D" w:rsidP="00331BA8">
      <w:pPr>
        <w:pStyle w:val="paragraph"/>
      </w:pPr>
      <w:r w:rsidRPr="00243ED2">
        <w:tab/>
        <w:t>(b)</w:t>
      </w:r>
      <w:r w:rsidRPr="00243ED2">
        <w:tab/>
        <w:t>decide whether to withdraw, or refuse to withdraw, the infringement notice; and</w:t>
      </w:r>
    </w:p>
    <w:p w:rsidR="00CE2B1D" w:rsidRPr="00243ED2" w:rsidRDefault="00CE2B1D" w:rsidP="00331BA8">
      <w:pPr>
        <w:pStyle w:val="paragraph"/>
      </w:pPr>
      <w:r w:rsidRPr="00243ED2">
        <w:tab/>
        <w:t>(c)</w:t>
      </w:r>
      <w:r w:rsidRPr="00243ED2">
        <w:tab/>
        <w:t>give the person written notice of the decision; and</w:t>
      </w:r>
    </w:p>
    <w:p w:rsidR="00CE2B1D" w:rsidRPr="00243ED2" w:rsidRDefault="00CE2B1D" w:rsidP="00331BA8">
      <w:pPr>
        <w:pStyle w:val="paragraph"/>
      </w:pPr>
      <w:r w:rsidRPr="00243ED2">
        <w:tab/>
        <w:t>(d)</w:t>
      </w:r>
      <w:r w:rsidRPr="00243ED2">
        <w:tab/>
        <w:t>if the decision is a refusal</w:t>
      </w:r>
      <w:r w:rsidR="00331BA8" w:rsidRPr="00243ED2">
        <w:t>—</w:t>
      </w:r>
      <w:r w:rsidRPr="00243ED2">
        <w:t>mention in the notice the reasons for refusal.</w:t>
      </w:r>
    </w:p>
    <w:p w:rsidR="00CE2B1D" w:rsidRPr="00243ED2" w:rsidRDefault="00CE2B1D" w:rsidP="00331BA8">
      <w:pPr>
        <w:pStyle w:val="subsection"/>
      </w:pPr>
      <w:r w:rsidRPr="00243ED2">
        <w:tab/>
        <w:t>(4)</w:t>
      </w:r>
      <w:r w:rsidRPr="00243ED2">
        <w:tab/>
        <w:t>If the authorised person decides to refuse to withdraw the infringement notice, notice of that decision must state that:</w:t>
      </w:r>
    </w:p>
    <w:p w:rsidR="00CE2B1D" w:rsidRPr="00243ED2" w:rsidRDefault="00CE2B1D" w:rsidP="00331BA8">
      <w:pPr>
        <w:pStyle w:val="paragraph"/>
      </w:pPr>
      <w:r w:rsidRPr="00243ED2">
        <w:lastRenderedPageBreak/>
        <w:tab/>
        <w:t>(a)</w:t>
      </w:r>
      <w:r w:rsidRPr="00243ED2">
        <w:tab/>
        <w:t>the person will not be prosecuted for the alleged offence if the amount of the infringement notice penalty is paid before the later of:</w:t>
      </w:r>
    </w:p>
    <w:p w:rsidR="00CE2B1D" w:rsidRPr="00243ED2" w:rsidRDefault="00CE2B1D" w:rsidP="00331BA8">
      <w:pPr>
        <w:pStyle w:val="paragraphsub"/>
      </w:pPr>
      <w:r w:rsidRPr="00243ED2">
        <w:tab/>
        <w:t>(i)</w:t>
      </w:r>
      <w:r w:rsidRPr="00243ED2">
        <w:tab/>
        <w:t>28 days after service of the infringement notice; or</w:t>
      </w:r>
    </w:p>
    <w:p w:rsidR="00CE2B1D" w:rsidRPr="00243ED2" w:rsidRDefault="00CE2B1D" w:rsidP="00331BA8">
      <w:pPr>
        <w:pStyle w:val="paragraphsub"/>
      </w:pPr>
      <w:r w:rsidRPr="00243ED2">
        <w:tab/>
        <w:t>(ii)</w:t>
      </w:r>
      <w:r w:rsidRPr="00243ED2">
        <w:tab/>
        <w:t>7 days after notice of the decision is given to the person; and</w:t>
      </w:r>
    </w:p>
    <w:p w:rsidR="00CE2B1D" w:rsidRPr="00243ED2" w:rsidRDefault="00CE2B1D" w:rsidP="00331BA8">
      <w:pPr>
        <w:pStyle w:val="paragraph"/>
      </w:pPr>
      <w:r w:rsidRPr="00243ED2">
        <w:tab/>
        <w:t>(b)</w:t>
      </w:r>
      <w:r w:rsidRPr="00243ED2">
        <w:tab/>
        <w:t>if that amount is not so paid, the person may be prosecuted for the alleged offence.</w:t>
      </w:r>
    </w:p>
    <w:p w:rsidR="00CE2B1D" w:rsidRPr="00243ED2" w:rsidRDefault="00CE2B1D" w:rsidP="00331BA8">
      <w:pPr>
        <w:pStyle w:val="subsection"/>
      </w:pPr>
      <w:r w:rsidRPr="00243ED2">
        <w:tab/>
        <w:t>(5)</w:t>
      </w:r>
      <w:r w:rsidRPr="00243ED2">
        <w:tab/>
        <w:t>In making a decision, the authorised person must consider:</w:t>
      </w:r>
    </w:p>
    <w:p w:rsidR="00CE2B1D" w:rsidRPr="00243ED2" w:rsidRDefault="00CE2B1D" w:rsidP="00331BA8">
      <w:pPr>
        <w:pStyle w:val="paragraph"/>
      </w:pPr>
      <w:r w:rsidRPr="00243ED2">
        <w:tab/>
        <w:t>(a)</w:t>
      </w:r>
      <w:r w:rsidRPr="00243ED2">
        <w:tab/>
        <w:t>the material given under subregulation</w:t>
      </w:r>
      <w:r w:rsidR="0082647E" w:rsidRPr="00243ED2">
        <w:t> </w:t>
      </w:r>
      <w:r w:rsidRPr="00243ED2">
        <w:rPr>
          <w:noProof/>
        </w:rPr>
        <w:t>(2</w:t>
      </w:r>
      <w:r w:rsidRPr="00243ED2">
        <w:t>), unless the authorised person thinks that the material does not include any grounds for deciding whether or not to withdraw the infringement notice; and</w:t>
      </w:r>
    </w:p>
    <w:p w:rsidR="00CE2B1D" w:rsidRPr="00243ED2" w:rsidRDefault="00CE2B1D" w:rsidP="00331BA8">
      <w:pPr>
        <w:pStyle w:val="paragraph"/>
      </w:pPr>
      <w:r w:rsidRPr="00243ED2">
        <w:tab/>
        <w:t>(b)</w:t>
      </w:r>
      <w:r w:rsidRPr="00243ED2">
        <w:tab/>
        <w:t>the circumstances in which the offence mentioned in the notice is alleged to have been committed; and</w:t>
      </w:r>
    </w:p>
    <w:p w:rsidR="00CE2B1D" w:rsidRPr="00243ED2" w:rsidRDefault="00CE2B1D" w:rsidP="00331BA8">
      <w:pPr>
        <w:pStyle w:val="paragraph"/>
      </w:pPr>
      <w:r w:rsidRPr="00243ED2">
        <w:tab/>
        <w:t>(c)</w:t>
      </w:r>
      <w:r w:rsidRPr="00243ED2">
        <w:tab/>
        <w:t>whether the person has been convicted previously of an offence against the Act; and</w:t>
      </w:r>
    </w:p>
    <w:p w:rsidR="00CE2B1D" w:rsidRPr="00243ED2" w:rsidRDefault="00CE2B1D" w:rsidP="00331BA8">
      <w:pPr>
        <w:pStyle w:val="paragraph"/>
      </w:pPr>
      <w:r w:rsidRPr="00243ED2">
        <w:tab/>
        <w:t>(d)</w:t>
      </w:r>
      <w:r w:rsidRPr="00243ED2">
        <w:tab/>
        <w:t>whether an infringement notice has previously been given to the person for an offence of the same kind as the offence mentioned in the notice; and</w:t>
      </w:r>
    </w:p>
    <w:p w:rsidR="00CE2B1D" w:rsidRPr="00243ED2" w:rsidRDefault="00CE2B1D" w:rsidP="00331BA8">
      <w:pPr>
        <w:pStyle w:val="paragraph"/>
      </w:pPr>
      <w:r w:rsidRPr="00243ED2">
        <w:tab/>
        <w:t>(e)</w:t>
      </w:r>
      <w:r w:rsidRPr="00243ED2">
        <w:tab/>
        <w:t>any other matter the authorised person considers relevant to the decision.</w:t>
      </w:r>
    </w:p>
    <w:p w:rsidR="00CE2B1D" w:rsidRPr="00243ED2" w:rsidRDefault="00331BA8" w:rsidP="00331BA8">
      <w:pPr>
        <w:pStyle w:val="notetext"/>
      </w:pPr>
      <w:r w:rsidRPr="00243ED2">
        <w:t>Note:</w:t>
      </w:r>
      <w:r w:rsidRPr="00243ED2">
        <w:tab/>
      </w:r>
      <w:r w:rsidR="00CE2B1D" w:rsidRPr="00243ED2">
        <w:t>Part</w:t>
      </w:r>
      <w:r w:rsidR="0082647E" w:rsidRPr="00243ED2">
        <w:t> </w:t>
      </w:r>
      <w:r w:rsidR="00CE2B1D" w:rsidRPr="00243ED2">
        <w:t xml:space="preserve">VIIC of the </w:t>
      </w:r>
      <w:r w:rsidR="00CE2B1D" w:rsidRPr="00243ED2">
        <w:rPr>
          <w:i/>
        </w:rPr>
        <w:t>Crimes Act 1914</w:t>
      </w:r>
      <w:r w:rsidR="00CE2B1D" w:rsidRPr="00243ED2">
        <w:t xml:space="preserve"> includes provisions that, in certain circumstances, relieve persons from the requirement to disclose spent convictions and require persons aware of such convictions to disregard them.</w:t>
      </w:r>
    </w:p>
    <w:p w:rsidR="00CE2B1D" w:rsidRPr="00243ED2" w:rsidRDefault="00CE2B1D" w:rsidP="00331BA8">
      <w:pPr>
        <w:pStyle w:val="subsection"/>
      </w:pPr>
      <w:r w:rsidRPr="00243ED2">
        <w:tab/>
        <w:t>(6)</w:t>
      </w:r>
      <w:r w:rsidRPr="00243ED2">
        <w:tab/>
        <w:t>If an infringement notice is withdrawn after a person pays the infringement notice penalty, the authorised person must refund to the person the amount paid.</w:t>
      </w:r>
    </w:p>
    <w:p w:rsidR="00CE2B1D" w:rsidRPr="00243ED2" w:rsidRDefault="00CE2B1D" w:rsidP="00331BA8">
      <w:pPr>
        <w:pStyle w:val="ActHead5"/>
      </w:pPr>
      <w:bookmarkStart w:id="32" w:name="_Toc429131025"/>
      <w:r w:rsidRPr="003A4363">
        <w:rPr>
          <w:rStyle w:val="CharSectno"/>
        </w:rPr>
        <w:t>6.7</w:t>
      </w:r>
      <w:r w:rsidR="00331BA8" w:rsidRPr="00243ED2">
        <w:t xml:space="preserve">  </w:t>
      </w:r>
      <w:r w:rsidRPr="00243ED2">
        <w:t>Payment of penalty if infringement notice not withdrawn</w:t>
      </w:r>
      <w:bookmarkEnd w:id="32"/>
    </w:p>
    <w:p w:rsidR="00CE2B1D" w:rsidRPr="00243ED2" w:rsidRDefault="00CE2B1D" w:rsidP="00331BA8">
      <w:pPr>
        <w:pStyle w:val="subsection"/>
      </w:pPr>
      <w:r w:rsidRPr="00243ED2">
        <w:tab/>
      </w:r>
      <w:r w:rsidRPr="00243ED2">
        <w:tab/>
        <w:t>If an authorised person refuses to withdraw an infringement notice, the time for payment of the infringement notice penalty is before the later of:</w:t>
      </w:r>
    </w:p>
    <w:p w:rsidR="00CE2B1D" w:rsidRPr="00243ED2" w:rsidRDefault="00CE2B1D" w:rsidP="00331BA8">
      <w:pPr>
        <w:pStyle w:val="paragraph"/>
      </w:pPr>
      <w:r w:rsidRPr="00243ED2">
        <w:tab/>
        <w:t>(a)</w:t>
      </w:r>
      <w:r w:rsidRPr="00243ED2">
        <w:tab/>
        <w:t>28 days after service of the infringement notice; or</w:t>
      </w:r>
    </w:p>
    <w:p w:rsidR="00CE2B1D" w:rsidRPr="00243ED2" w:rsidRDefault="00CE2B1D" w:rsidP="00331BA8">
      <w:pPr>
        <w:pStyle w:val="paragraph"/>
      </w:pPr>
      <w:r w:rsidRPr="00243ED2">
        <w:lastRenderedPageBreak/>
        <w:tab/>
        <w:t>(b)</w:t>
      </w:r>
      <w:r w:rsidRPr="00243ED2">
        <w:tab/>
        <w:t>7 days after notice of the decision not to withdraw the infringement notice is given to the person.</w:t>
      </w:r>
    </w:p>
    <w:p w:rsidR="00CE2B1D" w:rsidRPr="00243ED2" w:rsidRDefault="00CE2B1D" w:rsidP="00331BA8">
      <w:pPr>
        <w:pStyle w:val="ActHead5"/>
      </w:pPr>
      <w:bookmarkStart w:id="33" w:name="_Toc429131026"/>
      <w:r w:rsidRPr="003A4363">
        <w:rPr>
          <w:rStyle w:val="CharSectno"/>
        </w:rPr>
        <w:t>6.8</w:t>
      </w:r>
      <w:r w:rsidR="00331BA8" w:rsidRPr="00243ED2">
        <w:t xml:space="preserve">  </w:t>
      </w:r>
      <w:r w:rsidRPr="00243ED2">
        <w:t>Effect of payment of infringement notice penalty</w:t>
      </w:r>
      <w:bookmarkEnd w:id="33"/>
    </w:p>
    <w:p w:rsidR="00CE2B1D" w:rsidRPr="00243ED2" w:rsidRDefault="00CE2B1D" w:rsidP="00331BA8">
      <w:pPr>
        <w:pStyle w:val="subsection"/>
      </w:pPr>
      <w:r w:rsidRPr="00243ED2">
        <w:rPr>
          <w:b/>
        </w:rPr>
        <w:tab/>
      </w:r>
      <w:r w:rsidRPr="00243ED2">
        <w:rPr>
          <w:b/>
        </w:rPr>
        <w:tab/>
      </w:r>
      <w:r w:rsidRPr="00243ED2">
        <w:t>If a person who is served with an infringement notice pays the infringement notice penalty in accordance with this Part and the notice is not withdrawn:</w:t>
      </w:r>
    </w:p>
    <w:p w:rsidR="00CE2B1D" w:rsidRPr="00243ED2" w:rsidRDefault="00CE2B1D" w:rsidP="00331BA8">
      <w:pPr>
        <w:pStyle w:val="paragraph"/>
      </w:pPr>
      <w:r w:rsidRPr="00243ED2">
        <w:tab/>
        <w:t>(a)</w:t>
      </w:r>
      <w:r w:rsidRPr="00243ED2">
        <w:tab/>
        <w:t>the person’s liability for the offence is discharged; and</w:t>
      </w:r>
    </w:p>
    <w:p w:rsidR="00CE2B1D" w:rsidRPr="00243ED2" w:rsidRDefault="00CE2B1D" w:rsidP="00331BA8">
      <w:pPr>
        <w:pStyle w:val="paragraph"/>
      </w:pPr>
      <w:r w:rsidRPr="00243ED2">
        <w:tab/>
        <w:t>(b)</w:t>
      </w:r>
      <w:r w:rsidRPr="00243ED2">
        <w:tab/>
        <w:t>no further proceedings may be taken against the person for the offence; and</w:t>
      </w:r>
    </w:p>
    <w:p w:rsidR="00CE2B1D" w:rsidRPr="00243ED2" w:rsidRDefault="00CE2B1D" w:rsidP="00331BA8">
      <w:pPr>
        <w:pStyle w:val="paragraph"/>
      </w:pPr>
      <w:r w:rsidRPr="00243ED2">
        <w:tab/>
        <w:t>(c)</w:t>
      </w:r>
      <w:r w:rsidRPr="00243ED2">
        <w:tab/>
        <w:t>the person is not convicted of the offence.</w:t>
      </w:r>
    </w:p>
    <w:p w:rsidR="00CE2B1D" w:rsidRPr="00243ED2" w:rsidRDefault="00CE2B1D" w:rsidP="00331BA8">
      <w:pPr>
        <w:pStyle w:val="ActHead5"/>
      </w:pPr>
      <w:bookmarkStart w:id="34" w:name="_Toc429131027"/>
      <w:r w:rsidRPr="003A4363">
        <w:rPr>
          <w:rStyle w:val="CharSectno"/>
        </w:rPr>
        <w:t>6.9</w:t>
      </w:r>
      <w:r w:rsidR="00331BA8" w:rsidRPr="00243ED2">
        <w:t xml:space="preserve">  </w:t>
      </w:r>
      <w:r w:rsidRPr="00243ED2">
        <w:t>Payment of penalty by cheque</w:t>
      </w:r>
      <w:bookmarkEnd w:id="34"/>
    </w:p>
    <w:p w:rsidR="00CE2B1D" w:rsidRPr="00243ED2" w:rsidRDefault="00CE2B1D" w:rsidP="00331BA8">
      <w:pPr>
        <w:pStyle w:val="subsection"/>
      </w:pPr>
      <w:r w:rsidRPr="00243ED2">
        <w:tab/>
      </w:r>
      <w:r w:rsidRPr="00243ED2">
        <w:tab/>
        <w:t>If all or part of the amount of a penalty is paid by cheque, payment is taken not to have been made unless the cheque is honoured upon presentation.</w:t>
      </w:r>
    </w:p>
    <w:p w:rsidR="00CE2B1D" w:rsidRPr="00243ED2" w:rsidRDefault="00CE2B1D" w:rsidP="00331BA8">
      <w:pPr>
        <w:pStyle w:val="ActHead5"/>
      </w:pPr>
      <w:bookmarkStart w:id="35" w:name="_Toc429131028"/>
      <w:r w:rsidRPr="003A4363">
        <w:rPr>
          <w:rStyle w:val="CharSectno"/>
        </w:rPr>
        <w:t>6.10</w:t>
      </w:r>
      <w:r w:rsidR="00331BA8" w:rsidRPr="00243ED2">
        <w:t xml:space="preserve">  </w:t>
      </w:r>
      <w:r w:rsidRPr="00243ED2">
        <w:t>Effect of this Part on institution and prosecution of proceedings</w:t>
      </w:r>
      <w:bookmarkEnd w:id="35"/>
    </w:p>
    <w:p w:rsidR="00CE2B1D" w:rsidRPr="00243ED2" w:rsidRDefault="00CE2B1D" w:rsidP="00331BA8">
      <w:pPr>
        <w:pStyle w:val="subsection"/>
      </w:pPr>
      <w:r w:rsidRPr="00243ED2">
        <w:tab/>
        <w:t>(1)</w:t>
      </w:r>
      <w:r w:rsidRPr="00243ED2">
        <w:tab/>
        <w:t>Nothing in this Part:</w:t>
      </w:r>
    </w:p>
    <w:p w:rsidR="00CE2B1D" w:rsidRPr="00243ED2" w:rsidRDefault="00CE2B1D" w:rsidP="00331BA8">
      <w:pPr>
        <w:pStyle w:val="paragraph"/>
      </w:pPr>
      <w:r w:rsidRPr="00243ED2">
        <w:tab/>
        <w:t>(a)</w:t>
      </w:r>
      <w:r w:rsidRPr="00243ED2">
        <w:tab/>
        <w:t>requires an infringement notice to be served for an alleged offence; or</w:t>
      </w:r>
    </w:p>
    <w:p w:rsidR="00CE2B1D" w:rsidRPr="00243ED2" w:rsidRDefault="00CE2B1D" w:rsidP="00331BA8">
      <w:pPr>
        <w:pStyle w:val="paragraph"/>
      </w:pPr>
      <w:r w:rsidRPr="00243ED2">
        <w:tab/>
        <w:t>(b)</w:t>
      </w:r>
      <w:r w:rsidRPr="00243ED2">
        <w:tab/>
        <w:t>affects the liability of a person to be prosecuted for an alleged offence if:</w:t>
      </w:r>
    </w:p>
    <w:p w:rsidR="00CE2B1D" w:rsidRPr="00243ED2" w:rsidRDefault="00CE2B1D" w:rsidP="00331BA8">
      <w:pPr>
        <w:pStyle w:val="paragraphsub"/>
      </w:pPr>
      <w:r w:rsidRPr="00243ED2">
        <w:tab/>
        <w:t>(i)</w:t>
      </w:r>
      <w:r w:rsidRPr="00243ED2">
        <w:tab/>
        <w:t>an infringement notice is not served on the person for the offence; or</w:t>
      </w:r>
    </w:p>
    <w:p w:rsidR="00CE2B1D" w:rsidRPr="00243ED2" w:rsidRDefault="00CE2B1D" w:rsidP="00331BA8">
      <w:pPr>
        <w:pStyle w:val="paragraphsub"/>
      </w:pPr>
      <w:r w:rsidRPr="00243ED2">
        <w:tab/>
        <w:t>(ii)</w:t>
      </w:r>
      <w:r w:rsidRPr="00243ED2">
        <w:tab/>
        <w:t>an infringement notice is served, and withdrawn; or</w:t>
      </w:r>
    </w:p>
    <w:p w:rsidR="00CE2B1D" w:rsidRPr="00243ED2" w:rsidRDefault="00CE2B1D" w:rsidP="00331BA8">
      <w:pPr>
        <w:pStyle w:val="paragraph"/>
      </w:pPr>
      <w:r w:rsidRPr="00243ED2">
        <w:tab/>
        <w:t>(c)</w:t>
      </w:r>
      <w:r w:rsidRPr="00243ED2">
        <w:tab/>
        <w:t>limits the penalty that may be imposed by a court on a person convicted of an offence; or</w:t>
      </w:r>
    </w:p>
    <w:p w:rsidR="00CE2B1D" w:rsidRPr="00243ED2" w:rsidRDefault="00CE2B1D" w:rsidP="00331BA8">
      <w:pPr>
        <w:pStyle w:val="paragraph"/>
      </w:pPr>
      <w:r w:rsidRPr="00243ED2">
        <w:tab/>
        <w:t>(d)</w:t>
      </w:r>
      <w:r w:rsidRPr="00243ED2">
        <w:tab/>
        <w:t>prevents the issue of more than 1 infringement notice for a person for the same offence.</w:t>
      </w:r>
    </w:p>
    <w:p w:rsidR="00CE2B1D" w:rsidRPr="00243ED2" w:rsidRDefault="00CE2B1D" w:rsidP="00331BA8">
      <w:pPr>
        <w:pStyle w:val="subsection"/>
      </w:pPr>
      <w:r w:rsidRPr="00243ED2">
        <w:tab/>
        <w:t>(2)</w:t>
      </w:r>
      <w:r w:rsidRPr="00243ED2">
        <w:tab/>
        <w:t>If more than 1 infringement notice is issued for a person for the same offence, regulation</w:t>
      </w:r>
      <w:r w:rsidR="00243ED2">
        <w:t> </w:t>
      </w:r>
      <w:r w:rsidRPr="00243ED2">
        <w:t xml:space="preserve">6.8 applies to the person if the person </w:t>
      </w:r>
      <w:r w:rsidRPr="00243ED2">
        <w:lastRenderedPageBreak/>
        <w:t>pays the infringement notice penalty for the alleged offence in accordance with any of those notices.</w:t>
      </w:r>
    </w:p>
    <w:p w:rsidR="00CE2B1D" w:rsidRPr="00243ED2" w:rsidRDefault="00CE2B1D" w:rsidP="00331BA8">
      <w:pPr>
        <w:pStyle w:val="ActHead5"/>
      </w:pPr>
      <w:bookmarkStart w:id="36" w:name="_Toc429131029"/>
      <w:r w:rsidRPr="003A4363">
        <w:rPr>
          <w:rStyle w:val="CharSectno"/>
        </w:rPr>
        <w:t>6.11</w:t>
      </w:r>
      <w:r w:rsidR="00331BA8" w:rsidRPr="00243ED2">
        <w:t xml:space="preserve">  </w:t>
      </w:r>
      <w:r w:rsidRPr="00243ED2">
        <w:t>Matter not to be taken into account in determining sentence</w:t>
      </w:r>
      <w:bookmarkEnd w:id="36"/>
    </w:p>
    <w:p w:rsidR="00CE2B1D" w:rsidRPr="00243ED2" w:rsidRDefault="00CE2B1D" w:rsidP="00331BA8">
      <w:pPr>
        <w:pStyle w:val="subsection"/>
      </w:pPr>
      <w:r w:rsidRPr="00243ED2">
        <w:tab/>
        <w:t>(1)</w:t>
      </w:r>
      <w:r w:rsidRPr="00243ED2">
        <w:tab/>
        <w:t>This regulation applies if a person who is served with an infringement notice:</w:t>
      </w:r>
    </w:p>
    <w:p w:rsidR="00CE2B1D" w:rsidRPr="00243ED2" w:rsidRDefault="00CE2B1D" w:rsidP="00331BA8">
      <w:pPr>
        <w:pStyle w:val="paragraph"/>
      </w:pPr>
      <w:r w:rsidRPr="00243ED2">
        <w:tab/>
        <w:t>(a)</w:t>
      </w:r>
      <w:r w:rsidRPr="00243ED2">
        <w:tab/>
        <w:t>chooses not to pay the infringement notice penalty; and</w:t>
      </w:r>
    </w:p>
    <w:p w:rsidR="00CE2B1D" w:rsidRPr="00243ED2" w:rsidRDefault="00CE2B1D" w:rsidP="00331BA8">
      <w:pPr>
        <w:pStyle w:val="paragraph"/>
      </w:pPr>
      <w:r w:rsidRPr="00243ED2">
        <w:tab/>
        <w:t>(b)</w:t>
      </w:r>
      <w:r w:rsidRPr="00243ED2">
        <w:tab/>
        <w:t>is prosecuted for, and convicted of, the alleged offence mentioned in the infringement notice.</w:t>
      </w:r>
    </w:p>
    <w:p w:rsidR="00CE2B1D" w:rsidRPr="00243ED2" w:rsidRDefault="00CE2B1D" w:rsidP="00331BA8">
      <w:pPr>
        <w:pStyle w:val="subsection"/>
      </w:pPr>
      <w:r w:rsidRPr="00243ED2">
        <w:tab/>
        <w:t>(2)</w:t>
      </w:r>
      <w:r w:rsidRPr="00243ED2">
        <w:tab/>
        <w:t>In determining the penalty to be imposed, the court must not take into account the fact that the person chose not to pay the infringement notice penalty.</w:t>
      </w:r>
    </w:p>
    <w:p w:rsidR="00CE2B1D" w:rsidRPr="00243ED2" w:rsidRDefault="00CE2B1D" w:rsidP="00331BA8">
      <w:pPr>
        <w:pStyle w:val="ActHead5"/>
      </w:pPr>
      <w:bookmarkStart w:id="37" w:name="_Toc429131030"/>
      <w:r w:rsidRPr="003A4363">
        <w:rPr>
          <w:rStyle w:val="CharSectno"/>
        </w:rPr>
        <w:t>6.12</w:t>
      </w:r>
      <w:r w:rsidR="00331BA8" w:rsidRPr="00243ED2">
        <w:t xml:space="preserve">  </w:t>
      </w:r>
      <w:r w:rsidRPr="00243ED2">
        <w:t>Evidence for hearing</w:t>
      </w:r>
      <w:bookmarkEnd w:id="37"/>
    </w:p>
    <w:p w:rsidR="00CE2B1D" w:rsidRPr="00243ED2" w:rsidRDefault="00CE2B1D" w:rsidP="00331BA8">
      <w:pPr>
        <w:pStyle w:val="subsection"/>
      </w:pPr>
      <w:r w:rsidRPr="00243ED2">
        <w:rPr>
          <w:b/>
          <w:bCs/>
        </w:rPr>
        <w:tab/>
      </w:r>
      <w:r w:rsidRPr="00243ED2">
        <w:t>(1)</w:t>
      </w:r>
      <w:r w:rsidRPr="00243ED2">
        <w:rPr>
          <w:b/>
          <w:bCs/>
        </w:rPr>
        <w:tab/>
      </w:r>
      <w:r w:rsidRPr="00243ED2">
        <w:t>At the hearing of a prosecution for an offence mentioned in an infringement notice, each of the following certificates is evidence of the facts stated in the certificate:</w:t>
      </w:r>
    </w:p>
    <w:p w:rsidR="00CE2B1D" w:rsidRPr="00243ED2" w:rsidRDefault="00CE2B1D" w:rsidP="00331BA8">
      <w:pPr>
        <w:pStyle w:val="paragraph"/>
      </w:pPr>
      <w:r w:rsidRPr="00243ED2">
        <w:tab/>
        <w:t>(a)</w:t>
      </w:r>
      <w:r w:rsidRPr="00243ED2">
        <w:tab/>
        <w:t>a certificate signed by an authorised person that states that:</w:t>
      </w:r>
    </w:p>
    <w:p w:rsidR="00CE2B1D" w:rsidRPr="00243ED2" w:rsidRDefault="00CE2B1D" w:rsidP="00331BA8">
      <w:pPr>
        <w:pStyle w:val="paragraphsub"/>
      </w:pPr>
      <w:r w:rsidRPr="00243ED2">
        <w:tab/>
        <w:t>(i)</w:t>
      </w:r>
      <w:r w:rsidRPr="00243ED2">
        <w:tab/>
        <w:t>the infringement notice was served on the alleged offender; and</w:t>
      </w:r>
    </w:p>
    <w:p w:rsidR="00CE2B1D" w:rsidRPr="00243ED2" w:rsidRDefault="00CE2B1D" w:rsidP="00331BA8">
      <w:pPr>
        <w:pStyle w:val="paragraphsub"/>
      </w:pPr>
      <w:r w:rsidRPr="00243ED2">
        <w:tab/>
        <w:t>(ii)</w:t>
      </w:r>
      <w:r w:rsidRPr="00243ED2">
        <w:tab/>
        <w:t>the infringement notice penalty was not paid in accordance with this Part;</w:t>
      </w:r>
    </w:p>
    <w:p w:rsidR="00CE2B1D" w:rsidRPr="00243ED2" w:rsidRDefault="00CE2B1D" w:rsidP="00331BA8">
      <w:pPr>
        <w:pStyle w:val="paragraph"/>
      </w:pPr>
      <w:r w:rsidRPr="00243ED2">
        <w:tab/>
        <w:t>(b)</w:t>
      </w:r>
      <w:r w:rsidRPr="00243ED2">
        <w:tab/>
        <w:t>a certificate signed by an authorised person that states that the notice was withdrawn on a day specified in the certificate;</w:t>
      </w:r>
    </w:p>
    <w:p w:rsidR="00CE2B1D" w:rsidRPr="00243ED2" w:rsidRDefault="00CE2B1D" w:rsidP="00331BA8">
      <w:pPr>
        <w:pStyle w:val="paragraph"/>
      </w:pPr>
      <w:r w:rsidRPr="00243ED2">
        <w:tab/>
        <w:t>(c)</w:t>
      </w:r>
      <w:r w:rsidRPr="00243ED2">
        <w:tab/>
        <w:t>a certificate signed by an authorised person that states that:</w:t>
      </w:r>
    </w:p>
    <w:p w:rsidR="00CE2B1D" w:rsidRPr="00243ED2" w:rsidRDefault="00CE2B1D" w:rsidP="00331BA8">
      <w:pPr>
        <w:pStyle w:val="paragraphsub"/>
      </w:pPr>
      <w:r w:rsidRPr="00243ED2">
        <w:tab/>
        <w:t>(i)</w:t>
      </w:r>
      <w:r w:rsidRPr="00243ED2">
        <w:tab/>
        <w:t>under regulation</w:t>
      </w:r>
      <w:r w:rsidR="00243ED2">
        <w:t> </w:t>
      </w:r>
      <w:r w:rsidRPr="00243ED2">
        <w:t>6.5, a further period for payment of the infringement notice penalty was or was not refused; and</w:t>
      </w:r>
    </w:p>
    <w:p w:rsidR="00CE2B1D" w:rsidRPr="00243ED2" w:rsidRDefault="00CE2B1D" w:rsidP="00331BA8">
      <w:pPr>
        <w:pStyle w:val="paragraphsub"/>
      </w:pPr>
      <w:r w:rsidRPr="00243ED2">
        <w:tab/>
        <w:t>(ii)</w:t>
      </w:r>
      <w:r w:rsidRPr="00243ED2">
        <w:tab/>
        <w:t>the infringement notice penalty was not paid in accordance with this Part;</w:t>
      </w:r>
    </w:p>
    <w:p w:rsidR="00CE2B1D" w:rsidRPr="00243ED2" w:rsidRDefault="00CE2B1D" w:rsidP="00331BA8">
      <w:pPr>
        <w:pStyle w:val="paragraph"/>
      </w:pPr>
      <w:r w:rsidRPr="00243ED2">
        <w:rPr>
          <w:b/>
          <w:bCs/>
        </w:rPr>
        <w:tab/>
      </w:r>
      <w:r w:rsidRPr="00243ED2">
        <w:t>(d)</w:t>
      </w:r>
      <w:r w:rsidRPr="00243ED2">
        <w:rPr>
          <w:b/>
          <w:bCs/>
        </w:rPr>
        <w:tab/>
      </w:r>
      <w:r w:rsidRPr="00243ED2">
        <w:t>a certificate signed by an authorised person that states that:</w:t>
      </w:r>
    </w:p>
    <w:p w:rsidR="00CE2B1D" w:rsidRPr="00243ED2" w:rsidRDefault="00CE2B1D" w:rsidP="00331BA8">
      <w:pPr>
        <w:pStyle w:val="paragraphsub"/>
      </w:pPr>
      <w:r w:rsidRPr="00243ED2">
        <w:tab/>
        <w:t>(i)</w:t>
      </w:r>
      <w:r w:rsidRPr="00243ED2">
        <w:tab/>
        <w:t>for regulation</w:t>
      </w:r>
      <w:r w:rsidR="00243ED2">
        <w:t> </w:t>
      </w:r>
      <w:r w:rsidRPr="00243ED2">
        <w:t>6.5, the further time mentioned in the certificate for payment of the infringement notice penalty was or was not granted; and</w:t>
      </w:r>
    </w:p>
    <w:p w:rsidR="00CE2B1D" w:rsidRPr="00243ED2" w:rsidRDefault="00CE2B1D" w:rsidP="00331BA8">
      <w:pPr>
        <w:pStyle w:val="paragraphsub"/>
      </w:pPr>
      <w:r w:rsidRPr="00243ED2">
        <w:lastRenderedPageBreak/>
        <w:tab/>
        <w:t>(ii)</w:t>
      </w:r>
      <w:r w:rsidRPr="00243ED2">
        <w:tab/>
        <w:t>the infringement notice penalty was not paid in accordance with the infringement penalty notice or within the further time.</w:t>
      </w:r>
    </w:p>
    <w:p w:rsidR="00CE2B1D" w:rsidRPr="00243ED2" w:rsidRDefault="00CE2B1D" w:rsidP="00331BA8">
      <w:pPr>
        <w:pStyle w:val="subsection"/>
      </w:pPr>
      <w:r w:rsidRPr="00243ED2">
        <w:rPr>
          <w:b/>
          <w:bCs/>
        </w:rPr>
        <w:tab/>
      </w:r>
      <w:r w:rsidRPr="00243ED2">
        <w:t>(2)</w:t>
      </w:r>
      <w:r w:rsidRPr="00243ED2">
        <w:rPr>
          <w:b/>
          <w:bCs/>
        </w:rPr>
        <w:tab/>
      </w:r>
      <w:r w:rsidRPr="00243ED2">
        <w:t>A certificate that purports to have been signed by an authorised person is taken to have been signed by the authorised person unless the contrary is proved.</w:t>
      </w:r>
    </w:p>
    <w:p w:rsidR="00331BA8" w:rsidRPr="00243ED2" w:rsidRDefault="00331BA8" w:rsidP="003A27EB">
      <w:pPr>
        <w:sectPr w:rsidR="00331BA8" w:rsidRPr="00243ED2" w:rsidSect="00005070">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3" w:left="2410" w:header="720" w:footer="3402" w:gutter="0"/>
          <w:pgNumType w:start="1"/>
          <w:cols w:space="708"/>
          <w:docGrid w:linePitch="360"/>
        </w:sectPr>
      </w:pPr>
      <w:bookmarkStart w:id="38" w:name="OPCSB_BodyPrincipleB5"/>
    </w:p>
    <w:p w:rsidR="00CE2B1D" w:rsidRPr="00243ED2" w:rsidRDefault="00CE2B1D" w:rsidP="00331BA8">
      <w:pPr>
        <w:pStyle w:val="ActHead2"/>
        <w:pageBreakBefore/>
      </w:pPr>
      <w:bookmarkStart w:id="39" w:name="_Toc429131031"/>
      <w:bookmarkEnd w:id="38"/>
      <w:r w:rsidRPr="003A4363">
        <w:rPr>
          <w:rStyle w:val="CharPartNo"/>
        </w:rPr>
        <w:lastRenderedPageBreak/>
        <w:t>Part</w:t>
      </w:r>
      <w:r w:rsidR="00243ED2" w:rsidRPr="003A4363">
        <w:rPr>
          <w:rStyle w:val="CharPartNo"/>
        </w:rPr>
        <w:t> </w:t>
      </w:r>
      <w:r w:rsidRPr="003A4363">
        <w:rPr>
          <w:rStyle w:val="CharPartNo"/>
        </w:rPr>
        <w:t>7</w:t>
      </w:r>
      <w:r w:rsidR="00331BA8" w:rsidRPr="00243ED2">
        <w:t>—</w:t>
      </w:r>
      <w:r w:rsidRPr="003A4363">
        <w:rPr>
          <w:rStyle w:val="CharPartText"/>
        </w:rPr>
        <w:t>Numbering of carriage services and regulation of electronic addressing</w:t>
      </w:r>
      <w:bookmarkEnd w:id="39"/>
    </w:p>
    <w:p w:rsidR="00CE2B1D" w:rsidRPr="003A4363" w:rsidRDefault="00331BA8" w:rsidP="00CE2B1D">
      <w:pPr>
        <w:pStyle w:val="Header"/>
      </w:pPr>
      <w:r w:rsidRPr="003A4363">
        <w:rPr>
          <w:rStyle w:val="CharDivNo"/>
        </w:rPr>
        <w:t xml:space="preserve"> </w:t>
      </w:r>
      <w:r w:rsidRPr="003A4363">
        <w:rPr>
          <w:rStyle w:val="CharDivText"/>
        </w:rPr>
        <w:t xml:space="preserve"> </w:t>
      </w:r>
    </w:p>
    <w:p w:rsidR="00CE2B1D" w:rsidRPr="00243ED2" w:rsidRDefault="00331BA8" w:rsidP="00331BA8">
      <w:pPr>
        <w:pStyle w:val="notetext"/>
      </w:pPr>
      <w:r w:rsidRPr="00243ED2">
        <w:t>Note:</w:t>
      </w:r>
      <w:r w:rsidRPr="00243ED2">
        <w:tab/>
      </w:r>
      <w:r w:rsidR="00CE2B1D" w:rsidRPr="00243ED2">
        <w:t>Part</w:t>
      </w:r>
      <w:r w:rsidR="00243ED2">
        <w:t> </w:t>
      </w:r>
      <w:r w:rsidR="00CE2B1D" w:rsidRPr="00243ED2">
        <w:t>22 of the Act deals with numbering of carriage services and regulation of electronic addressing. Regulations for Part</w:t>
      </w:r>
      <w:r w:rsidR="00243ED2">
        <w:t> </w:t>
      </w:r>
      <w:r w:rsidR="00CE2B1D" w:rsidRPr="00243ED2">
        <w:t xml:space="preserve">22 of the Act will be in this Part. </w:t>
      </w:r>
    </w:p>
    <w:p w:rsidR="00CE2B1D" w:rsidRPr="00243ED2" w:rsidRDefault="00CE2B1D" w:rsidP="00331BA8">
      <w:pPr>
        <w:pStyle w:val="ActHead2"/>
        <w:pageBreakBefore/>
      </w:pPr>
      <w:bookmarkStart w:id="40" w:name="_Toc429131032"/>
      <w:r w:rsidRPr="003A4363">
        <w:rPr>
          <w:rStyle w:val="CharPartNo"/>
        </w:rPr>
        <w:lastRenderedPageBreak/>
        <w:t>Part</w:t>
      </w:r>
      <w:r w:rsidR="00243ED2" w:rsidRPr="003A4363">
        <w:rPr>
          <w:rStyle w:val="CharPartNo"/>
        </w:rPr>
        <w:t> </w:t>
      </w:r>
      <w:r w:rsidRPr="003A4363">
        <w:rPr>
          <w:rStyle w:val="CharPartNo"/>
        </w:rPr>
        <w:t>8</w:t>
      </w:r>
      <w:r w:rsidR="00331BA8" w:rsidRPr="00243ED2">
        <w:t>—</w:t>
      </w:r>
      <w:r w:rsidRPr="003A4363">
        <w:rPr>
          <w:rStyle w:val="CharPartText"/>
        </w:rPr>
        <w:t>Standard agreements for the supply of carriage services</w:t>
      </w:r>
      <w:bookmarkEnd w:id="40"/>
    </w:p>
    <w:p w:rsidR="00CE2B1D" w:rsidRPr="003A4363" w:rsidRDefault="00331BA8" w:rsidP="00CE2B1D">
      <w:pPr>
        <w:pStyle w:val="Header"/>
      </w:pPr>
      <w:r w:rsidRPr="003A4363">
        <w:rPr>
          <w:rStyle w:val="CharDivNo"/>
        </w:rPr>
        <w:t xml:space="preserve"> </w:t>
      </w:r>
      <w:r w:rsidRPr="003A4363">
        <w:rPr>
          <w:rStyle w:val="CharDivText"/>
        </w:rPr>
        <w:t xml:space="preserve"> </w:t>
      </w:r>
    </w:p>
    <w:p w:rsidR="00CE2B1D" w:rsidRPr="00243ED2" w:rsidRDefault="00CE2B1D" w:rsidP="00331BA8">
      <w:pPr>
        <w:pStyle w:val="ActHead5"/>
      </w:pPr>
      <w:bookmarkStart w:id="41" w:name="_Toc429131033"/>
      <w:r w:rsidRPr="003A4363">
        <w:rPr>
          <w:rStyle w:val="CharSectno"/>
        </w:rPr>
        <w:t>8.1</w:t>
      </w:r>
      <w:r w:rsidR="00331BA8" w:rsidRPr="00243ED2">
        <w:t xml:space="preserve">  </w:t>
      </w:r>
      <w:r w:rsidRPr="00243ED2">
        <w:t>Definition</w:t>
      </w:r>
      <w:bookmarkEnd w:id="41"/>
    </w:p>
    <w:p w:rsidR="00CE2B1D" w:rsidRPr="00243ED2" w:rsidRDefault="00CE2B1D" w:rsidP="00331BA8">
      <w:pPr>
        <w:pStyle w:val="subsection"/>
      </w:pPr>
      <w:r w:rsidRPr="00243ED2">
        <w:tab/>
      </w:r>
      <w:r w:rsidRPr="00243ED2">
        <w:tab/>
        <w:t>In this Part:</w:t>
      </w:r>
    </w:p>
    <w:p w:rsidR="00CE2B1D" w:rsidRPr="00243ED2" w:rsidRDefault="00CE2B1D" w:rsidP="00331BA8">
      <w:pPr>
        <w:pStyle w:val="Definition"/>
      </w:pPr>
      <w:r w:rsidRPr="00243ED2">
        <w:rPr>
          <w:b/>
          <w:i/>
        </w:rPr>
        <w:t xml:space="preserve">standard agreement </w:t>
      </w:r>
      <w:r w:rsidRPr="00243ED2">
        <w:t>means a standard form of agreement formulated by a carriage service provider for section</w:t>
      </w:r>
      <w:r w:rsidR="00243ED2">
        <w:t> </w:t>
      </w:r>
      <w:r w:rsidRPr="00243ED2">
        <w:t>479 of the Act.</w:t>
      </w:r>
    </w:p>
    <w:p w:rsidR="00CE2B1D" w:rsidRPr="00243ED2" w:rsidRDefault="00CE2B1D" w:rsidP="00331BA8">
      <w:pPr>
        <w:pStyle w:val="ActHead5"/>
      </w:pPr>
      <w:bookmarkStart w:id="42" w:name="_Toc429131034"/>
      <w:r w:rsidRPr="003A4363">
        <w:rPr>
          <w:rStyle w:val="CharSectno"/>
        </w:rPr>
        <w:t>8.2</w:t>
      </w:r>
      <w:r w:rsidR="00331BA8" w:rsidRPr="00243ED2">
        <w:t xml:space="preserve">  </w:t>
      </w:r>
      <w:r w:rsidRPr="00243ED2">
        <w:t>Carriage services (Act s 479 (1))</w:t>
      </w:r>
      <w:bookmarkEnd w:id="42"/>
    </w:p>
    <w:p w:rsidR="00CE2B1D" w:rsidRPr="00243ED2" w:rsidRDefault="00CE2B1D" w:rsidP="00331BA8">
      <w:pPr>
        <w:pStyle w:val="subsection"/>
      </w:pPr>
      <w:r w:rsidRPr="00243ED2">
        <w:tab/>
      </w:r>
      <w:r w:rsidRPr="00243ED2">
        <w:tab/>
        <w:t>For paragraph</w:t>
      </w:r>
      <w:r w:rsidR="00243ED2">
        <w:t> </w:t>
      </w:r>
      <w:r w:rsidRPr="00243ED2">
        <w:t>479 (1) (b) of the Act, the following kinds of carriage services are specified:</w:t>
      </w:r>
    </w:p>
    <w:p w:rsidR="00CE2B1D" w:rsidRPr="00243ED2" w:rsidRDefault="00CE2B1D" w:rsidP="00331BA8">
      <w:pPr>
        <w:pStyle w:val="paragraph"/>
      </w:pPr>
      <w:r w:rsidRPr="00243ED2">
        <w:tab/>
        <w:t>(a)</w:t>
      </w:r>
      <w:r w:rsidRPr="00243ED2">
        <w:tab/>
        <w:t>a carriage service for voice telephony;</w:t>
      </w:r>
    </w:p>
    <w:p w:rsidR="00CE2B1D" w:rsidRPr="00243ED2" w:rsidRDefault="00CE2B1D" w:rsidP="00331BA8">
      <w:pPr>
        <w:pStyle w:val="paragraph"/>
      </w:pPr>
      <w:r w:rsidRPr="00243ED2">
        <w:tab/>
        <w:t>(b)</w:t>
      </w:r>
      <w:r w:rsidRPr="00243ED2">
        <w:tab/>
        <w:t>a carriage service for data transmission;</w:t>
      </w:r>
    </w:p>
    <w:p w:rsidR="00CE2B1D" w:rsidRPr="00243ED2" w:rsidRDefault="00CE2B1D" w:rsidP="00331BA8">
      <w:pPr>
        <w:pStyle w:val="paragraph"/>
      </w:pPr>
      <w:r w:rsidRPr="00243ED2">
        <w:tab/>
        <w:t>(c)</w:t>
      </w:r>
      <w:r w:rsidRPr="00243ED2">
        <w:tab/>
        <w:t>a carriage service for tone signalling;</w:t>
      </w:r>
    </w:p>
    <w:p w:rsidR="00CE2B1D" w:rsidRPr="00243ED2" w:rsidRDefault="00CE2B1D" w:rsidP="00331BA8">
      <w:pPr>
        <w:pStyle w:val="paragraph"/>
      </w:pPr>
      <w:r w:rsidRPr="00243ED2">
        <w:tab/>
        <w:t>(d)</w:t>
      </w:r>
      <w:r w:rsidRPr="00243ED2">
        <w:tab/>
        <w:t>a carriage service for a live or recorded information service.</w:t>
      </w:r>
    </w:p>
    <w:p w:rsidR="00CE2B1D" w:rsidRPr="00243ED2" w:rsidRDefault="00CE2B1D" w:rsidP="00331BA8">
      <w:pPr>
        <w:pStyle w:val="ActHead5"/>
      </w:pPr>
      <w:bookmarkStart w:id="43" w:name="_Toc429131035"/>
      <w:r w:rsidRPr="003A4363">
        <w:rPr>
          <w:rStyle w:val="CharSectno"/>
        </w:rPr>
        <w:t>8.3</w:t>
      </w:r>
      <w:r w:rsidR="00331BA8" w:rsidRPr="00243ED2">
        <w:t xml:space="preserve">  </w:t>
      </w:r>
      <w:r w:rsidRPr="00243ED2">
        <w:t>Ancillary goods (Act s 479 (1))</w:t>
      </w:r>
      <w:bookmarkEnd w:id="43"/>
    </w:p>
    <w:p w:rsidR="00CE2B1D" w:rsidRPr="00243ED2" w:rsidRDefault="00CE2B1D" w:rsidP="00331BA8">
      <w:pPr>
        <w:pStyle w:val="subsection"/>
      </w:pPr>
      <w:r w:rsidRPr="00243ED2">
        <w:tab/>
      </w:r>
      <w:r w:rsidRPr="00243ED2">
        <w:tab/>
        <w:t>For paragraph</w:t>
      </w:r>
      <w:r w:rsidR="00243ED2">
        <w:t> </w:t>
      </w:r>
      <w:r w:rsidRPr="00243ED2">
        <w:t>479 (1) (c) of the Act, the following kinds of ancillary goods are specified:</w:t>
      </w:r>
    </w:p>
    <w:p w:rsidR="00CE2B1D" w:rsidRPr="00243ED2" w:rsidRDefault="00CE2B1D" w:rsidP="00331BA8">
      <w:pPr>
        <w:pStyle w:val="paragraph"/>
      </w:pPr>
      <w:r w:rsidRPr="00243ED2">
        <w:tab/>
        <w:t>(a)</w:t>
      </w:r>
      <w:r w:rsidRPr="00243ED2">
        <w:tab/>
        <w:t>goods for use in connection with a standard telephone service;</w:t>
      </w:r>
    </w:p>
    <w:p w:rsidR="00CE2B1D" w:rsidRPr="00243ED2" w:rsidRDefault="00CE2B1D" w:rsidP="00331BA8">
      <w:pPr>
        <w:pStyle w:val="paragraph"/>
      </w:pPr>
      <w:r w:rsidRPr="00243ED2">
        <w:tab/>
        <w:t>(b)</w:t>
      </w:r>
      <w:r w:rsidRPr="00243ED2">
        <w:tab/>
        <w:t>goods for use in connection with a carriage service specified in regulation</w:t>
      </w:r>
      <w:r w:rsidR="00243ED2">
        <w:t> </w:t>
      </w:r>
      <w:r w:rsidRPr="00243ED2">
        <w:t>8.2.</w:t>
      </w:r>
    </w:p>
    <w:p w:rsidR="00CE2B1D" w:rsidRPr="00243ED2" w:rsidRDefault="00CE2B1D" w:rsidP="00331BA8">
      <w:pPr>
        <w:pStyle w:val="ActHead5"/>
      </w:pPr>
      <w:bookmarkStart w:id="44" w:name="_Toc429131036"/>
      <w:r w:rsidRPr="003A4363">
        <w:rPr>
          <w:rStyle w:val="CharSectno"/>
        </w:rPr>
        <w:t>8.4</w:t>
      </w:r>
      <w:r w:rsidR="00331BA8" w:rsidRPr="00243ED2">
        <w:t xml:space="preserve">  </w:t>
      </w:r>
      <w:r w:rsidRPr="00243ED2">
        <w:t>Ancillary services (Act s 479 (1))</w:t>
      </w:r>
      <w:bookmarkEnd w:id="44"/>
    </w:p>
    <w:p w:rsidR="00CE2B1D" w:rsidRPr="00243ED2" w:rsidRDefault="00CE2B1D" w:rsidP="00331BA8">
      <w:pPr>
        <w:pStyle w:val="subsection"/>
      </w:pPr>
      <w:r w:rsidRPr="00243ED2">
        <w:tab/>
      </w:r>
      <w:r w:rsidRPr="00243ED2">
        <w:rPr>
          <w:b/>
        </w:rPr>
        <w:tab/>
      </w:r>
      <w:r w:rsidRPr="00243ED2">
        <w:t>For paragraph</w:t>
      </w:r>
      <w:r w:rsidR="00243ED2">
        <w:t> </w:t>
      </w:r>
      <w:r w:rsidRPr="00243ED2">
        <w:t>479 (1) (d) of the Act, the following kinds of ancillary services are specified:</w:t>
      </w:r>
    </w:p>
    <w:p w:rsidR="00CE2B1D" w:rsidRPr="00243ED2" w:rsidRDefault="00CE2B1D" w:rsidP="00331BA8">
      <w:pPr>
        <w:pStyle w:val="paragraph"/>
      </w:pPr>
      <w:r w:rsidRPr="00243ED2">
        <w:lastRenderedPageBreak/>
        <w:tab/>
        <w:t>(a)</w:t>
      </w:r>
      <w:r w:rsidRPr="00243ED2">
        <w:tab/>
        <w:t>a service for use in connection with a standard telephone service;</w:t>
      </w:r>
    </w:p>
    <w:p w:rsidR="00A8123E" w:rsidRPr="00243ED2" w:rsidRDefault="00CE2B1D" w:rsidP="00331BA8">
      <w:pPr>
        <w:pStyle w:val="paragraph"/>
      </w:pPr>
      <w:r w:rsidRPr="00243ED2">
        <w:tab/>
        <w:t>(b)</w:t>
      </w:r>
      <w:r w:rsidRPr="00243ED2">
        <w:tab/>
        <w:t>a service for use in connection with a carriage service specified in regulation</w:t>
      </w:r>
      <w:r w:rsidR="00243ED2">
        <w:t> </w:t>
      </w:r>
      <w:r w:rsidRPr="00243ED2">
        <w:t>8.2.</w:t>
      </w:r>
    </w:p>
    <w:p w:rsidR="00CE2B1D" w:rsidRPr="00243ED2" w:rsidRDefault="00CE2B1D" w:rsidP="00331BA8">
      <w:pPr>
        <w:pStyle w:val="ActHead2"/>
        <w:pageBreakBefore/>
      </w:pPr>
      <w:bookmarkStart w:id="45" w:name="_Toc429131037"/>
      <w:r w:rsidRPr="003A4363">
        <w:rPr>
          <w:rStyle w:val="CharPartNo"/>
        </w:rPr>
        <w:lastRenderedPageBreak/>
        <w:t>Part</w:t>
      </w:r>
      <w:r w:rsidR="00243ED2" w:rsidRPr="003A4363">
        <w:rPr>
          <w:rStyle w:val="CharPartNo"/>
        </w:rPr>
        <w:t> </w:t>
      </w:r>
      <w:r w:rsidRPr="003A4363">
        <w:rPr>
          <w:rStyle w:val="CharPartNo"/>
        </w:rPr>
        <w:t>9</w:t>
      </w:r>
      <w:r w:rsidR="00331BA8" w:rsidRPr="00243ED2">
        <w:t>—</w:t>
      </w:r>
      <w:r w:rsidRPr="003A4363">
        <w:rPr>
          <w:rStyle w:val="CharPartText"/>
        </w:rPr>
        <w:t>Standard carrier licence conditions</w:t>
      </w:r>
      <w:bookmarkEnd w:id="45"/>
    </w:p>
    <w:p w:rsidR="00CE2B1D" w:rsidRPr="00243ED2" w:rsidRDefault="00331BA8" w:rsidP="00331BA8">
      <w:pPr>
        <w:pStyle w:val="notetext"/>
      </w:pPr>
      <w:r w:rsidRPr="00243ED2">
        <w:t>Note:</w:t>
      </w:r>
      <w:r w:rsidRPr="00243ED2">
        <w:tab/>
      </w:r>
      <w:r w:rsidR="00CE2B1D" w:rsidRPr="00243ED2">
        <w:t>Schedule</w:t>
      </w:r>
      <w:r w:rsidR="00243ED2">
        <w:t> </w:t>
      </w:r>
      <w:r w:rsidR="00CE2B1D" w:rsidRPr="00243ED2">
        <w:t>1 to the Act deals with standard carrier licence conditions. Regulations for Schedule</w:t>
      </w:r>
      <w:r w:rsidR="00243ED2">
        <w:t> </w:t>
      </w:r>
      <w:r w:rsidR="00CE2B1D" w:rsidRPr="00243ED2">
        <w:t xml:space="preserve">1 to the Act will be in this Part.  </w:t>
      </w:r>
    </w:p>
    <w:p w:rsidR="00CE2B1D" w:rsidRPr="00243ED2" w:rsidRDefault="00CE2B1D" w:rsidP="00331BA8">
      <w:pPr>
        <w:pStyle w:val="ActHead2"/>
        <w:pageBreakBefore/>
      </w:pPr>
      <w:bookmarkStart w:id="46" w:name="_Toc429131038"/>
      <w:r w:rsidRPr="003A4363">
        <w:rPr>
          <w:rStyle w:val="CharPartNo"/>
        </w:rPr>
        <w:lastRenderedPageBreak/>
        <w:t>Part</w:t>
      </w:r>
      <w:r w:rsidR="00243ED2" w:rsidRPr="003A4363">
        <w:rPr>
          <w:rStyle w:val="CharPartNo"/>
        </w:rPr>
        <w:t> </w:t>
      </w:r>
      <w:r w:rsidRPr="003A4363">
        <w:rPr>
          <w:rStyle w:val="CharPartNo"/>
        </w:rPr>
        <w:t>10</w:t>
      </w:r>
      <w:r w:rsidR="00331BA8" w:rsidRPr="00243ED2">
        <w:t>—</w:t>
      </w:r>
      <w:r w:rsidRPr="003A4363">
        <w:rPr>
          <w:rStyle w:val="CharPartText"/>
        </w:rPr>
        <w:t>Standard service provider rules</w:t>
      </w:r>
      <w:bookmarkEnd w:id="46"/>
    </w:p>
    <w:p w:rsidR="00CE2B1D" w:rsidRPr="00243ED2" w:rsidRDefault="00331BA8" w:rsidP="00331BA8">
      <w:pPr>
        <w:pStyle w:val="notetext"/>
      </w:pPr>
      <w:r w:rsidRPr="00243ED2">
        <w:t>Note:</w:t>
      </w:r>
      <w:r w:rsidRPr="00243ED2">
        <w:tab/>
      </w:r>
      <w:r w:rsidR="00CE2B1D" w:rsidRPr="00243ED2">
        <w:t>Schedule</w:t>
      </w:r>
      <w:r w:rsidR="00243ED2">
        <w:t> </w:t>
      </w:r>
      <w:r w:rsidR="00CE2B1D" w:rsidRPr="00243ED2">
        <w:t>2 to the Act deals with standard service provider rules. Regulations for Schedule</w:t>
      </w:r>
      <w:r w:rsidR="00243ED2">
        <w:t> </w:t>
      </w:r>
      <w:r w:rsidR="00CE2B1D" w:rsidRPr="00243ED2">
        <w:t xml:space="preserve">2 to the Act will be in this Part. </w:t>
      </w:r>
    </w:p>
    <w:p w:rsidR="00CE2B1D" w:rsidRPr="00243ED2" w:rsidRDefault="00CE2B1D" w:rsidP="00331BA8">
      <w:pPr>
        <w:pStyle w:val="ActHead2"/>
        <w:pageBreakBefore/>
      </w:pPr>
      <w:bookmarkStart w:id="47" w:name="_Toc429131039"/>
      <w:r w:rsidRPr="003A4363">
        <w:rPr>
          <w:rStyle w:val="CharPartNo"/>
        </w:rPr>
        <w:lastRenderedPageBreak/>
        <w:t>Part</w:t>
      </w:r>
      <w:r w:rsidR="00243ED2" w:rsidRPr="003A4363">
        <w:rPr>
          <w:rStyle w:val="CharPartNo"/>
        </w:rPr>
        <w:t> </w:t>
      </w:r>
      <w:r w:rsidRPr="003A4363">
        <w:rPr>
          <w:rStyle w:val="CharPartNo"/>
        </w:rPr>
        <w:t>11</w:t>
      </w:r>
      <w:r w:rsidR="00331BA8" w:rsidRPr="00243ED2">
        <w:t>—</w:t>
      </w:r>
      <w:r w:rsidRPr="003A4363">
        <w:rPr>
          <w:rStyle w:val="CharPartText"/>
        </w:rPr>
        <w:t>Carriers’ powers and immunities</w:t>
      </w:r>
      <w:bookmarkEnd w:id="47"/>
    </w:p>
    <w:p w:rsidR="00CE2B1D" w:rsidRPr="00243ED2" w:rsidRDefault="00CE2B1D" w:rsidP="00331BA8">
      <w:pPr>
        <w:pStyle w:val="ActHead5"/>
      </w:pPr>
      <w:bookmarkStart w:id="48" w:name="_Toc429131040"/>
      <w:r w:rsidRPr="003A4363">
        <w:rPr>
          <w:rStyle w:val="CharSectno"/>
        </w:rPr>
        <w:t>11.1</w:t>
      </w:r>
      <w:r w:rsidR="00331BA8" w:rsidRPr="00243ED2">
        <w:t xml:space="preserve">  </w:t>
      </w:r>
      <w:r w:rsidRPr="00243ED2">
        <w:t>Listed international agreements (Act, Schedule</w:t>
      </w:r>
      <w:r w:rsidR="00243ED2">
        <w:t> </w:t>
      </w:r>
      <w:r w:rsidRPr="00243ED2">
        <w:t>3)</w:t>
      </w:r>
      <w:bookmarkEnd w:id="48"/>
    </w:p>
    <w:p w:rsidR="00CE2B1D" w:rsidRPr="00243ED2" w:rsidRDefault="00CE2B1D" w:rsidP="00331BA8">
      <w:pPr>
        <w:pStyle w:val="subsection"/>
      </w:pPr>
      <w:r w:rsidRPr="00243ED2">
        <w:tab/>
      </w:r>
      <w:r w:rsidRPr="00243ED2">
        <w:tab/>
        <w:t xml:space="preserve">For the purposes of the definition of </w:t>
      </w:r>
      <w:r w:rsidRPr="00243ED2">
        <w:rPr>
          <w:b/>
          <w:i/>
        </w:rPr>
        <w:t>listed international agreement</w:t>
      </w:r>
      <w:r w:rsidRPr="00243ED2">
        <w:t xml:space="preserve"> in clause</w:t>
      </w:r>
      <w:r w:rsidR="00243ED2">
        <w:t> </w:t>
      </w:r>
      <w:r w:rsidRPr="00243ED2">
        <w:t>2 of Schedule</w:t>
      </w:r>
      <w:r w:rsidR="00243ED2">
        <w:t> </w:t>
      </w:r>
      <w:r w:rsidRPr="00243ED2">
        <w:t>3 to the Act, an international agreement mentioned in Schedule</w:t>
      </w:r>
      <w:r w:rsidR="00243ED2">
        <w:t> </w:t>
      </w:r>
      <w:r w:rsidRPr="00243ED2">
        <w:t>1 is a listed international agreement.</w:t>
      </w:r>
    </w:p>
    <w:p w:rsidR="00AE6BBC" w:rsidRPr="00243ED2" w:rsidRDefault="00AE6BBC" w:rsidP="00331BA8">
      <w:pPr>
        <w:pStyle w:val="ActHead5"/>
      </w:pPr>
      <w:bookmarkStart w:id="49" w:name="_Toc429131041"/>
      <w:r w:rsidRPr="003A4363">
        <w:rPr>
          <w:rStyle w:val="CharSectno"/>
        </w:rPr>
        <w:t>11.2</w:t>
      </w:r>
      <w:r w:rsidR="00331BA8" w:rsidRPr="00243ED2">
        <w:t xml:space="preserve">  </w:t>
      </w:r>
      <w:r w:rsidRPr="00243ED2">
        <w:t>Designated overhead line (Act, Schedule</w:t>
      </w:r>
      <w:r w:rsidR="00243ED2">
        <w:t> </w:t>
      </w:r>
      <w:r w:rsidRPr="00243ED2">
        <w:t>3)</w:t>
      </w:r>
      <w:bookmarkEnd w:id="49"/>
    </w:p>
    <w:p w:rsidR="00AE6BBC" w:rsidRPr="00243ED2" w:rsidRDefault="00AE6BBC" w:rsidP="00331BA8">
      <w:pPr>
        <w:pStyle w:val="subsection"/>
      </w:pPr>
      <w:r w:rsidRPr="00243ED2">
        <w:tab/>
      </w:r>
      <w:r w:rsidRPr="00243ED2">
        <w:tab/>
        <w:t>For subparagraph</w:t>
      </w:r>
      <w:r w:rsidR="00243ED2">
        <w:t> </w:t>
      </w:r>
      <w:r w:rsidRPr="00243ED2">
        <w:t>3 (b) (ii) of Schedule</w:t>
      </w:r>
      <w:r w:rsidR="00243ED2">
        <w:t> </w:t>
      </w:r>
      <w:r w:rsidRPr="00243ED2">
        <w:t xml:space="preserve">3 to the Act, the distance of </w:t>
      </w:r>
      <w:r w:rsidR="00501920" w:rsidRPr="00243ED2">
        <w:t>48 millimetres</w:t>
      </w:r>
      <w:r w:rsidRPr="00243ED2">
        <w:t xml:space="preserve"> is specified.</w:t>
      </w:r>
    </w:p>
    <w:p w:rsidR="00893CD8" w:rsidRPr="00243ED2" w:rsidRDefault="00893CD8" w:rsidP="0090061E">
      <w:pPr>
        <w:pStyle w:val="MainBodySectionBreak"/>
        <w:sectPr w:rsidR="00893CD8" w:rsidRPr="00243ED2" w:rsidSect="00005070">
          <w:headerReference w:type="even" r:id="rId28"/>
          <w:headerReference w:type="default" r:id="rId29"/>
          <w:footerReference w:type="even" r:id="rId30"/>
          <w:footerReference w:type="default" r:id="rId31"/>
          <w:headerReference w:type="first" r:id="rId32"/>
          <w:footerReference w:type="first" r:id="rId33"/>
          <w:pgSz w:w="11907" w:h="16839" w:code="9"/>
          <w:pgMar w:top="2381" w:right="2409" w:bottom="4252" w:left="2409" w:header="720" w:footer="3402" w:gutter="0"/>
          <w:cols w:space="708"/>
          <w:docGrid w:linePitch="360"/>
        </w:sectPr>
      </w:pPr>
    </w:p>
    <w:p w:rsidR="00CE2B1D" w:rsidRPr="00243ED2" w:rsidRDefault="00CE2B1D" w:rsidP="00331BA8">
      <w:pPr>
        <w:pStyle w:val="ActHead1"/>
        <w:pageBreakBefore/>
      </w:pPr>
      <w:bookmarkStart w:id="50" w:name="_Toc429131042"/>
      <w:r w:rsidRPr="003A4363">
        <w:rPr>
          <w:rStyle w:val="CharChapNo"/>
        </w:rPr>
        <w:lastRenderedPageBreak/>
        <w:t>Schedule</w:t>
      </w:r>
      <w:r w:rsidR="00243ED2" w:rsidRPr="003A4363">
        <w:rPr>
          <w:rStyle w:val="CharChapNo"/>
        </w:rPr>
        <w:t> </w:t>
      </w:r>
      <w:r w:rsidRPr="003A4363">
        <w:rPr>
          <w:rStyle w:val="CharChapNo"/>
        </w:rPr>
        <w:t>1</w:t>
      </w:r>
      <w:r w:rsidR="00331BA8" w:rsidRPr="00243ED2">
        <w:t>—</w:t>
      </w:r>
      <w:r w:rsidRPr="003A4363">
        <w:rPr>
          <w:rStyle w:val="CharChapText"/>
        </w:rPr>
        <w:t>Listed international agreements</w:t>
      </w:r>
      <w:bookmarkEnd w:id="50"/>
    </w:p>
    <w:p w:rsidR="00CE2B1D" w:rsidRPr="00243ED2" w:rsidRDefault="00CE2B1D" w:rsidP="00331BA8">
      <w:pPr>
        <w:pStyle w:val="notemargin"/>
      </w:pPr>
      <w:r w:rsidRPr="00243ED2">
        <w:t>(regulation</w:t>
      </w:r>
      <w:r w:rsidR="00243ED2">
        <w:t> </w:t>
      </w:r>
      <w:r w:rsidRPr="00243ED2">
        <w:t>11.1)</w:t>
      </w:r>
    </w:p>
    <w:p w:rsidR="00CE2B1D" w:rsidRPr="003A4363" w:rsidRDefault="00331BA8" w:rsidP="00CE2B1D">
      <w:pPr>
        <w:pStyle w:val="Header"/>
      </w:pPr>
      <w:r w:rsidRPr="003A4363">
        <w:rPr>
          <w:rStyle w:val="CharPartNo"/>
        </w:rPr>
        <w:t xml:space="preserve"> </w:t>
      </w:r>
      <w:r w:rsidRPr="003A4363">
        <w:rPr>
          <w:rStyle w:val="CharPartText"/>
        </w:rPr>
        <w:t xml:space="preserve"> </w:t>
      </w:r>
    </w:p>
    <w:p w:rsidR="00331BA8" w:rsidRPr="00243ED2" w:rsidRDefault="00331BA8" w:rsidP="00331BA8">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3402"/>
        <w:gridCol w:w="1419"/>
        <w:gridCol w:w="1559"/>
      </w:tblGrid>
      <w:tr w:rsidR="00CE2B1D" w:rsidRPr="00243ED2" w:rsidTr="00331BA8">
        <w:trPr>
          <w:tblHeader/>
        </w:trPr>
        <w:tc>
          <w:tcPr>
            <w:tcW w:w="709" w:type="dxa"/>
            <w:tcBorders>
              <w:top w:val="single" w:sz="12" w:space="0" w:color="auto"/>
              <w:bottom w:val="single" w:sz="12" w:space="0" w:color="auto"/>
            </w:tcBorders>
            <w:shd w:val="clear" w:color="auto" w:fill="auto"/>
          </w:tcPr>
          <w:p w:rsidR="00CE2B1D" w:rsidRPr="00243ED2" w:rsidRDefault="00CE2B1D" w:rsidP="00331BA8">
            <w:pPr>
              <w:pStyle w:val="TableHeading"/>
            </w:pPr>
            <w:r w:rsidRPr="00243ED2">
              <w:t>Item</w:t>
            </w:r>
          </w:p>
        </w:tc>
        <w:tc>
          <w:tcPr>
            <w:tcW w:w="3402" w:type="dxa"/>
            <w:tcBorders>
              <w:top w:val="single" w:sz="12" w:space="0" w:color="auto"/>
              <w:bottom w:val="single" w:sz="12" w:space="0" w:color="auto"/>
            </w:tcBorders>
            <w:shd w:val="clear" w:color="auto" w:fill="auto"/>
          </w:tcPr>
          <w:p w:rsidR="00CE2B1D" w:rsidRPr="00243ED2" w:rsidRDefault="00CE2B1D" w:rsidP="00331BA8">
            <w:pPr>
              <w:pStyle w:val="TableHeading"/>
            </w:pPr>
            <w:r w:rsidRPr="00243ED2">
              <w:t>Agreement</w:t>
            </w:r>
          </w:p>
        </w:tc>
        <w:tc>
          <w:tcPr>
            <w:tcW w:w="1419" w:type="dxa"/>
            <w:tcBorders>
              <w:top w:val="single" w:sz="12" w:space="0" w:color="auto"/>
              <w:bottom w:val="single" w:sz="12" w:space="0" w:color="auto"/>
            </w:tcBorders>
            <w:shd w:val="clear" w:color="auto" w:fill="auto"/>
          </w:tcPr>
          <w:p w:rsidR="00CE2B1D" w:rsidRPr="00243ED2" w:rsidRDefault="00CE2B1D" w:rsidP="00331BA8">
            <w:pPr>
              <w:pStyle w:val="TableHeading"/>
            </w:pPr>
            <w:r w:rsidRPr="00243ED2">
              <w:t>Done at</w:t>
            </w:r>
          </w:p>
        </w:tc>
        <w:tc>
          <w:tcPr>
            <w:tcW w:w="1559" w:type="dxa"/>
            <w:tcBorders>
              <w:top w:val="single" w:sz="12" w:space="0" w:color="auto"/>
              <w:bottom w:val="single" w:sz="12" w:space="0" w:color="auto"/>
            </w:tcBorders>
            <w:shd w:val="clear" w:color="auto" w:fill="auto"/>
          </w:tcPr>
          <w:p w:rsidR="00CE2B1D" w:rsidRPr="00243ED2" w:rsidRDefault="00CE2B1D" w:rsidP="00331BA8">
            <w:pPr>
              <w:pStyle w:val="TableHeading"/>
            </w:pPr>
            <w:r w:rsidRPr="00243ED2">
              <w:t>Date</w:t>
            </w:r>
          </w:p>
        </w:tc>
      </w:tr>
      <w:tr w:rsidR="00CE2B1D" w:rsidRPr="00243ED2" w:rsidTr="00331BA8">
        <w:tc>
          <w:tcPr>
            <w:tcW w:w="709" w:type="dxa"/>
            <w:tcBorders>
              <w:top w:val="single" w:sz="12" w:space="0" w:color="auto"/>
            </w:tcBorders>
            <w:shd w:val="clear" w:color="auto" w:fill="auto"/>
          </w:tcPr>
          <w:p w:rsidR="00CE2B1D" w:rsidRPr="00243ED2" w:rsidRDefault="00CE2B1D" w:rsidP="00331BA8">
            <w:pPr>
              <w:pStyle w:val="Tabletext"/>
            </w:pPr>
            <w:r w:rsidRPr="00243ED2">
              <w:t>1</w:t>
            </w:r>
          </w:p>
        </w:tc>
        <w:tc>
          <w:tcPr>
            <w:tcW w:w="3402" w:type="dxa"/>
            <w:tcBorders>
              <w:top w:val="single" w:sz="12" w:space="0" w:color="auto"/>
            </w:tcBorders>
            <w:shd w:val="clear" w:color="auto" w:fill="auto"/>
          </w:tcPr>
          <w:p w:rsidR="00CE2B1D" w:rsidRPr="00243ED2" w:rsidRDefault="00CE2B1D" w:rsidP="00331BA8">
            <w:pPr>
              <w:pStyle w:val="Tabletext"/>
            </w:pPr>
            <w:r w:rsidRPr="00243ED2">
              <w:t>Plant Protection Agreement for the Asia and Pacific Region (as amended in 1979 and by the 1994 Amendment)</w:t>
            </w:r>
          </w:p>
        </w:tc>
        <w:tc>
          <w:tcPr>
            <w:tcW w:w="1419" w:type="dxa"/>
            <w:tcBorders>
              <w:top w:val="single" w:sz="12" w:space="0" w:color="auto"/>
            </w:tcBorders>
            <w:shd w:val="clear" w:color="auto" w:fill="auto"/>
          </w:tcPr>
          <w:p w:rsidR="00CE2B1D" w:rsidRPr="00243ED2" w:rsidRDefault="00CE2B1D" w:rsidP="00331BA8">
            <w:pPr>
              <w:pStyle w:val="Tabletext"/>
            </w:pPr>
            <w:r w:rsidRPr="00243ED2">
              <w:t>Rome</w:t>
            </w:r>
          </w:p>
        </w:tc>
        <w:tc>
          <w:tcPr>
            <w:tcW w:w="1559" w:type="dxa"/>
            <w:tcBorders>
              <w:top w:val="single" w:sz="12" w:space="0" w:color="auto"/>
            </w:tcBorders>
            <w:shd w:val="clear" w:color="auto" w:fill="auto"/>
          </w:tcPr>
          <w:p w:rsidR="00CE2B1D" w:rsidRPr="00243ED2" w:rsidRDefault="00CE2B1D" w:rsidP="00331BA8">
            <w:pPr>
              <w:pStyle w:val="Tabletext"/>
            </w:pPr>
            <w:r w:rsidRPr="00243ED2">
              <w:t>27</w:t>
            </w:r>
            <w:r w:rsidR="00243ED2">
              <w:t> </w:t>
            </w:r>
            <w:r w:rsidRPr="00243ED2">
              <w:t>February 1956</w:t>
            </w:r>
          </w:p>
        </w:tc>
      </w:tr>
      <w:tr w:rsidR="00CE2B1D" w:rsidRPr="00243ED2" w:rsidTr="00331BA8">
        <w:tc>
          <w:tcPr>
            <w:tcW w:w="709" w:type="dxa"/>
            <w:shd w:val="clear" w:color="auto" w:fill="auto"/>
          </w:tcPr>
          <w:p w:rsidR="00CE2B1D" w:rsidRPr="00243ED2" w:rsidRDefault="00CE2B1D" w:rsidP="00331BA8">
            <w:pPr>
              <w:pStyle w:val="Tabletext"/>
            </w:pPr>
            <w:r w:rsidRPr="00243ED2">
              <w:t>2</w:t>
            </w:r>
          </w:p>
        </w:tc>
        <w:tc>
          <w:tcPr>
            <w:tcW w:w="3402" w:type="dxa"/>
            <w:shd w:val="clear" w:color="auto" w:fill="auto"/>
          </w:tcPr>
          <w:p w:rsidR="00CE2B1D" w:rsidRPr="00243ED2" w:rsidRDefault="00CE2B1D" w:rsidP="00331BA8">
            <w:pPr>
              <w:pStyle w:val="Tabletext"/>
            </w:pPr>
            <w:r w:rsidRPr="00243ED2">
              <w:t>Convention on Wetlands of International Importance especially as Waterfowl Habitat (as amended by the 1982 Protocol and the 1987 Amendment)</w:t>
            </w:r>
          </w:p>
        </w:tc>
        <w:tc>
          <w:tcPr>
            <w:tcW w:w="1419" w:type="dxa"/>
            <w:shd w:val="clear" w:color="auto" w:fill="auto"/>
          </w:tcPr>
          <w:p w:rsidR="00CE2B1D" w:rsidRPr="00243ED2" w:rsidRDefault="00CE2B1D" w:rsidP="00331BA8">
            <w:pPr>
              <w:pStyle w:val="Tabletext"/>
            </w:pPr>
            <w:r w:rsidRPr="00243ED2">
              <w:t>Ramsar</w:t>
            </w:r>
          </w:p>
        </w:tc>
        <w:tc>
          <w:tcPr>
            <w:tcW w:w="1559" w:type="dxa"/>
            <w:shd w:val="clear" w:color="auto" w:fill="auto"/>
          </w:tcPr>
          <w:p w:rsidR="00CE2B1D" w:rsidRPr="00243ED2" w:rsidRDefault="00CE2B1D" w:rsidP="00331BA8">
            <w:pPr>
              <w:pStyle w:val="Tabletext"/>
            </w:pPr>
            <w:r w:rsidRPr="00243ED2">
              <w:t>2</w:t>
            </w:r>
            <w:r w:rsidR="00243ED2">
              <w:t> </w:t>
            </w:r>
            <w:r w:rsidRPr="00243ED2">
              <w:t>February 1971</w:t>
            </w:r>
          </w:p>
        </w:tc>
      </w:tr>
      <w:tr w:rsidR="00CE2B1D" w:rsidRPr="00243ED2" w:rsidTr="00331BA8">
        <w:tc>
          <w:tcPr>
            <w:tcW w:w="709" w:type="dxa"/>
            <w:shd w:val="clear" w:color="auto" w:fill="auto"/>
          </w:tcPr>
          <w:p w:rsidR="00CE2B1D" w:rsidRPr="00243ED2" w:rsidRDefault="00CE2B1D" w:rsidP="00331BA8">
            <w:pPr>
              <w:pStyle w:val="Tabletext"/>
            </w:pPr>
            <w:r w:rsidRPr="00243ED2">
              <w:t>3</w:t>
            </w:r>
          </w:p>
        </w:tc>
        <w:tc>
          <w:tcPr>
            <w:tcW w:w="3402" w:type="dxa"/>
            <w:shd w:val="clear" w:color="auto" w:fill="auto"/>
          </w:tcPr>
          <w:p w:rsidR="00CE2B1D" w:rsidRPr="00243ED2" w:rsidRDefault="00CE2B1D" w:rsidP="00331BA8">
            <w:pPr>
              <w:pStyle w:val="Tabletext"/>
            </w:pPr>
            <w:r w:rsidRPr="00243ED2">
              <w:t>Convention for the Protection of the World Cultural and Natural Heritage</w:t>
            </w:r>
          </w:p>
        </w:tc>
        <w:tc>
          <w:tcPr>
            <w:tcW w:w="1419" w:type="dxa"/>
            <w:shd w:val="clear" w:color="auto" w:fill="auto"/>
          </w:tcPr>
          <w:p w:rsidR="00CE2B1D" w:rsidRPr="00243ED2" w:rsidRDefault="00CE2B1D" w:rsidP="00331BA8">
            <w:pPr>
              <w:pStyle w:val="Tabletext"/>
            </w:pPr>
            <w:r w:rsidRPr="00243ED2">
              <w:t>Paris</w:t>
            </w:r>
          </w:p>
        </w:tc>
        <w:tc>
          <w:tcPr>
            <w:tcW w:w="1559" w:type="dxa"/>
            <w:shd w:val="clear" w:color="auto" w:fill="auto"/>
          </w:tcPr>
          <w:p w:rsidR="00CE2B1D" w:rsidRPr="00243ED2" w:rsidRDefault="00CE2B1D" w:rsidP="00331BA8">
            <w:pPr>
              <w:pStyle w:val="Tabletext"/>
            </w:pPr>
            <w:r w:rsidRPr="00243ED2">
              <w:t>23</w:t>
            </w:r>
            <w:r w:rsidR="00243ED2">
              <w:t> </w:t>
            </w:r>
            <w:r w:rsidRPr="00243ED2">
              <w:t>November 1972</w:t>
            </w:r>
          </w:p>
        </w:tc>
      </w:tr>
      <w:tr w:rsidR="00CE2B1D" w:rsidRPr="00243ED2" w:rsidTr="00331BA8">
        <w:tc>
          <w:tcPr>
            <w:tcW w:w="709" w:type="dxa"/>
            <w:shd w:val="clear" w:color="auto" w:fill="auto"/>
          </w:tcPr>
          <w:p w:rsidR="00CE2B1D" w:rsidRPr="00243ED2" w:rsidRDefault="00CE2B1D" w:rsidP="00331BA8">
            <w:pPr>
              <w:pStyle w:val="Tabletext"/>
            </w:pPr>
            <w:r w:rsidRPr="00243ED2">
              <w:t>4</w:t>
            </w:r>
          </w:p>
        </w:tc>
        <w:tc>
          <w:tcPr>
            <w:tcW w:w="3402" w:type="dxa"/>
            <w:shd w:val="clear" w:color="auto" w:fill="auto"/>
          </w:tcPr>
          <w:p w:rsidR="00CE2B1D" w:rsidRPr="00243ED2" w:rsidRDefault="00CE2B1D" w:rsidP="00331BA8">
            <w:pPr>
              <w:pStyle w:val="Tabletext"/>
            </w:pPr>
            <w:r w:rsidRPr="00243ED2">
              <w:t xml:space="preserve">International Convention on the Prevention of Marine Pollution by Dumping of Wastes and Other Matter (the </w:t>
            </w:r>
            <w:r w:rsidRPr="00243ED2">
              <w:rPr>
                <w:b/>
                <w:i/>
              </w:rPr>
              <w:t>London Convention</w:t>
            </w:r>
            <w:r w:rsidRPr="00243ED2">
              <w:t>)</w:t>
            </w:r>
          </w:p>
        </w:tc>
        <w:tc>
          <w:tcPr>
            <w:tcW w:w="1419" w:type="dxa"/>
            <w:shd w:val="clear" w:color="auto" w:fill="auto"/>
          </w:tcPr>
          <w:p w:rsidR="00CE2B1D" w:rsidRPr="00243ED2" w:rsidRDefault="00CE2B1D" w:rsidP="00331BA8">
            <w:pPr>
              <w:pStyle w:val="Tabletext"/>
            </w:pPr>
            <w:r w:rsidRPr="00243ED2">
              <w:t>London, Mexico City, Moscow, Washington</w:t>
            </w:r>
          </w:p>
        </w:tc>
        <w:tc>
          <w:tcPr>
            <w:tcW w:w="1559" w:type="dxa"/>
            <w:shd w:val="clear" w:color="auto" w:fill="auto"/>
          </w:tcPr>
          <w:p w:rsidR="00CE2B1D" w:rsidRPr="00243ED2" w:rsidRDefault="00CE2B1D" w:rsidP="00331BA8">
            <w:pPr>
              <w:pStyle w:val="Tabletext"/>
            </w:pPr>
            <w:r w:rsidRPr="00243ED2">
              <w:t>29</w:t>
            </w:r>
            <w:r w:rsidR="00243ED2">
              <w:t> </w:t>
            </w:r>
            <w:r w:rsidRPr="00243ED2">
              <w:t>December 1972</w:t>
            </w:r>
          </w:p>
        </w:tc>
      </w:tr>
      <w:tr w:rsidR="00CE2B1D" w:rsidRPr="00243ED2" w:rsidTr="00331BA8">
        <w:tc>
          <w:tcPr>
            <w:tcW w:w="709" w:type="dxa"/>
            <w:shd w:val="clear" w:color="auto" w:fill="auto"/>
          </w:tcPr>
          <w:p w:rsidR="00CE2B1D" w:rsidRPr="00243ED2" w:rsidRDefault="00CE2B1D" w:rsidP="00331BA8">
            <w:pPr>
              <w:pStyle w:val="Tabletext"/>
            </w:pPr>
            <w:r w:rsidRPr="00243ED2">
              <w:t>5</w:t>
            </w:r>
          </w:p>
        </w:tc>
        <w:tc>
          <w:tcPr>
            <w:tcW w:w="3402" w:type="dxa"/>
            <w:shd w:val="clear" w:color="auto" w:fill="auto"/>
          </w:tcPr>
          <w:p w:rsidR="00CE2B1D" w:rsidRPr="00243ED2" w:rsidRDefault="00CE2B1D" w:rsidP="00331BA8">
            <w:pPr>
              <w:pStyle w:val="Tabletext"/>
            </w:pPr>
            <w:r w:rsidRPr="00243ED2">
              <w:t xml:space="preserve">Convention on International Trade in Endangered Species of Wild Fauna and Flora (as amended by the 1979 and 1983 Amendments) </w:t>
            </w:r>
          </w:p>
        </w:tc>
        <w:tc>
          <w:tcPr>
            <w:tcW w:w="1419" w:type="dxa"/>
            <w:shd w:val="clear" w:color="auto" w:fill="auto"/>
          </w:tcPr>
          <w:p w:rsidR="00CE2B1D" w:rsidRPr="00243ED2" w:rsidRDefault="00CE2B1D" w:rsidP="00331BA8">
            <w:pPr>
              <w:pStyle w:val="Tabletext"/>
            </w:pPr>
            <w:r w:rsidRPr="00243ED2">
              <w:t>Washington</w:t>
            </w:r>
          </w:p>
        </w:tc>
        <w:tc>
          <w:tcPr>
            <w:tcW w:w="1559" w:type="dxa"/>
            <w:shd w:val="clear" w:color="auto" w:fill="auto"/>
          </w:tcPr>
          <w:p w:rsidR="00CE2B1D" w:rsidRPr="00243ED2" w:rsidRDefault="00CE2B1D" w:rsidP="00331BA8">
            <w:pPr>
              <w:pStyle w:val="Tabletext"/>
            </w:pPr>
            <w:r w:rsidRPr="00243ED2">
              <w:t>3</w:t>
            </w:r>
            <w:r w:rsidR="00243ED2">
              <w:t> </w:t>
            </w:r>
            <w:r w:rsidRPr="00243ED2">
              <w:t>March 1973</w:t>
            </w:r>
          </w:p>
        </w:tc>
      </w:tr>
      <w:tr w:rsidR="00CE2B1D" w:rsidRPr="00243ED2" w:rsidTr="00331BA8">
        <w:tc>
          <w:tcPr>
            <w:tcW w:w="709" w:type="dxa"/>
            <w:shd w:val="clear" w:color="auto" w:fill="auto"/>
          </w:tcPr>
          <w:p w:rsidR="00CE2B1D" w:rsidRPr="00243ED2" w:rsidRDefault="00CE2B1D" w:rsidP="00331BA8">
            <w:pPr>
              <w:pStyle w:val="Tabletext"/>
            </w:pPr>
            <w:r w:rsidRPr="00243ED2">
              <w:t>6</w:t>
            </w:r>
          </w:p>
        </w:tc>
        <w:tc>
          <w:tcPr>
            <w:tcW w:w="3402" w:type="dxa"/>
            <w:shd w:val="clear" w:color="auto" w:fill="auto"/>
          </w:tcPr>
          <w:p w:rsidR="00CE2B1D" w:rsidRPr="00243ED2" w:rsidRDefault="00CE2B1D" w:rsidP="00331BA8">
            <w:pPr>
              <w:pStyle w:val="Tabletext"/>
            </w:pPr>
            <w:r w:rsidRPr="00243ED2">
              <w:t>Agreement between the Government of Australia and the Government of Japan for the Protection of Migratory Birds and Birds in Danger of Extinction and their Environment</w:t>
            </w:r>
          </w:p>
        </w:tc>
        <w:tc>
          <w:tcPr>
            <w:tcW w:w="1419" w:type="dxa"/>
            <w:shd w:val="clear" w:color="auto" w:fill="auto"/>
          </w:tcPr>
          <w:p w:rsidR="00CE2B1D" w:rsidRPr="00243ED2" w:rsidRDefault="00CE2B1D" w:rsidP="00331BA8">
            <w:pPr>
              <w:pStyle w:val="Tabletext"/>
            </w:pPr>
            <w:r w:rsidRPr="00243ED2">
              <w:t>Tokyo</w:t>
            </w:r>
          </w:p>
        </w:tc>
        <w:tc>
          <w:tcPr>
            <w:tcW w:w="1559" w:type="dxa"/>
            <w:shd w:val="clear" w:color="auto" w:fill="auto"/>
          </w:tcPr>
          <w:p w:rsidR="00CE2B1D" w:rsidRPr="00243ED2" w:rsidRDefault="00CE2B1D" w:rsidP="00331BA8">
            <w:pPr>
              <w:pStyle w:val="Tabletext"/>
            </w:pPr>
            <w:r w:rsidRPr="00243ED2">
              <w:t>6</w:t>
            </w:r>
            <w:r w:rsidR="00243ED2">
              <w:t> </w:t>
            </w:r>
            <w:r w:rsidRPr="00243ED2">
              <w:t>February 1974</w:t>
            </w:r>
          </w:p>
        </w:tc>
      </w:tr>
      <w:tr w:rsidR="00CE2B1D" w:rsidRPr="00243ED2" w:rsidTr="00651CC5">
        <w:tc>
          <w:tcPr>
            <w:tcW w:w="709" w:type="dxa"/>
            <w:tcBorders>
              <w:bottom w:val="single" w:sz="4" w:space="0" w:color="auto"/>
            </w:tcBorders>
            <w:shd w:val="clear" w:color="auto" w:fill="auto"/>
          </w:tcPr>
          <w:p w:rsidR="00CE2B1D" w:rsidRPr="00243ED2" w:rsidRDefault="00CE2B1D" w:rsidP="00331BA8">
            <w:pPr>
              <w:pStyle w:val="Tabletext"/>
            </w:pPr>
            <w:r w:rsidRPr="00243ED2">
              <w:t>7</w:t>
            </w:r>
          </w:p>
        </w:tc>
        <w:tc>
          <w:tcPr>
            <w:tcW w:w="3402" w:type="dxa"/>
            <w:tcBorders>
              <w:bottom w:val="single" w:sz="4" w:space="0" w:color="auto"/>
            </w:tcBorders>
            <w:shd w:val="clear" w:color="auto" w:fill="auto"/>
          </w:tcPr>
          <w:p w:rsidR="00CE2B1D" w:rsidRPr="00243ED2" w:rsidRDefault="00CE2B1D" w:rsidP="00331BA8">
            <w:pPr>
              <w:pStyle w:val="Tabletext"/>
            </w:pPr>
            <w:r w:rsidRPr="00243ED2">
              <w:t>Convention on Conservation of Nature in the South Pacific</w:t>
            </w:r>
          </w:p>
        </w:tc>
        <w:tc>
          <w:tcPr>
            <w:tcW w:w="1419" w:type="dxa"/>
            <w:tcBorders>
              <w:bottom w:val="single" w:sz="4" w:space="0" w:color="auto"/>
            </w:tcBorders>
            <w:shd w:val="clear" w:color="auto" w:fill="auto"/>
          </w:tcPr>
          <w:p w:rsidR="00CE2B1D" w:rsidRPr="00243ED2" w:rsidRDefault="00CE2B1D" w:rsidP="00331BA8">
            <w:pPr>
              <w:pStyle w:val="Tabletext"/>
            </w:pPr>
            <w:r w:rsidRPr="00243ED2">
              <w:t>Apia</w:t>
            </w:r>
          </w:p>
        </w:tc>
        <w:tc>
          <w:tcPr>
            <w:tcW w:w="1559" w:type="dxa"/>
            <w:tcBorders>
              <w:bottom w:val="single" w:sz="4" w:space="0" w:color="auto"/>
            </w:tcBorders>
            <w:shd w:val="clear" w:color="auto" w:fill="auto"/>
          </w:tcPr>
          <w:p w:rsidR="00CE2B1D" w:rsidRPr="00243ED2" w:rsidRDefault="00CE2B1D" w:rsidP="00331BA8">
            <w:pPr>
              <w:pStyle w:val="Tabletext"/>
            </w:pPr>
            <w:r w:rsidRPr="00243ED2">
              <w:t>12</w:t>
            </w:r>
            <w:r w:rsidR="00243ED2">
              <w:t> </w:t>
            </w:r>
            <w:r w:rsidRPr="00243ED2">
              <w:t>June 1976</w:t>
            </w:r>
          </w:p>
        </w:tc>
      </w:tr>
      <w:tr w:rsidR="00CE2B1D" w:rsidRPr="00243ED2" w:rsidTr="00651CC5">
        <w:tc>
          <w:tcPr>
            <w:tcW w:w="709" w:type="dxa"/>
            <w:tcBorders>
              <w:bottom w:val="single" w:sz="4" w:space="0" w:color="auto"/>
            </w:tcBorders>
            <w:shd w:val="clear" w:color="auto" w:fill="auto"/>
          </w:tcPr>
          <w:p w:rsidR="00CE2B1D" w:rsidRPr="00243ED2" w:rsidRDefault="00CE2B1D" w:rsidP="00331BA8">
            <w:pPr>
              <w:pStyle w:val="Tabletext"/>
            </w:pPr>
            <w:bookmarkStart w:id="51" w:name="CU_933242"/>
            <w:bookmarkEnd w:id="51"/>
            <w:r w:rsidRPr="00243ED2">
              <w:t>8</w:t>
            </w:r>
          </w:p>
        </w:tc>
        <w:tc>
          <w:tcPr>
            <w:tcW w:w="3402" w:type="dxa"/>
            <w:tcBorders>
              <w:bottom w:val="single" w:sz="4" w:space="0" w:color="auto"/>
            </w:tcBorders>
            <w:shd w:val="clear" w:color="auto" w:fill="auto"/>
          </w:tcPr>
          <w:p w:rsidR="00CE2B1D" w:rsidRPr="00243ED2" w:rsidRDefault="00CE2B1D" w:rsidP="00331BA8">
            <w:pPr>
              <w:pStyle w:val="Tabletext"/>
            </w:pPr>
            <w:r w:rsidRPr="00243ED2">
              <w:t>Convention on the Conservation of Migratory Species of Wild Animals</w:t>
            </w:r>
          </w:p>
        </w:tc>
        <w:tc>
          <w:tcPr>
            <w:tcW w:w="1419" w:type="dxa"/>
            <w:tcBorders>
              <w:bottom w:val="single" w:sz="4" w:space="0" w:color="auto"/>
            </w:tcBorders>
            <w:shd w:val="clear" w:color="auto" w:fill="auto"/>
          </w:tcPr>
          <w:p w:rsidR="00CE2B1D" w:rsidRPr="00243ED2" w:rsidRDefault="00CE2B1D" w:rsidP="00331BA8">
            <w:pPr>
              <w:pStyle w:val="Tabletext"/>
            </w:pPr>
            <w:r w:rsidRPr="00243ED2">
              <w:t>Bonn</w:t>
            </w:r>
          </w:p>
        </w:tc>
        <w:tc>
          <w:tcPr>
            <w:tcW w:w="1559" w:type="dxa"/>
            <w:tcBorders>
              <w:bottom w:val="single" w:sz="4" w:space="0" w:color="auto"/>
            </w:tcBorders>
            <w:shd w:val="clear" w:color="auto" w:fill="auto"/>
          </w:tcPr>
          <w:p w:rsidR="00CE2B1D" w:rsidRPr="00243ED2" w:rsidRDefault="00CE2B1D" w:rsidP="00331BA8">
            <w:pPr>
              <w:pStyle w:val="Tabletext"/>
            </w:pPr>
            <w:r w:rsidRPr="00243ED2">
              <w:t>23</w:t>
            </w:r>
            <w:r w:rsidR="00243ED2">
              <w:t> </w:t>
            </w:r>
            <w:r w:rsidRPr="00243ED2">
              <w:t>June 1979</w:t>
            </w:r>
          </w:p>
        </w:tc>
      </w:tr>
      <w:tr w:rsidR="00CE2B1D" w:rsidRPr="00243ED2" w:rsidTr="00651CC5">
        <w:tc>
          <w:tcPr>
            <w:tcW w:w="709" w:type="dxa"/>
            <w:tcBorders>
              <w:top w:val="single" w:sz="4" w:space="0" w:color="auto"/>
            </w:tcBorders>
            <w:shd w:val="clear" w:color="auto" w:fill="auto"/>
          </w:tcPr>
          <w:p w:rsidR="00CE2B1D" w:rsidRPr="00243ED2" w:rsidRDefault="00CE2B1D" w:rsidP="00331BA8">
            <w:pPr>
              <w:pStyle w:val="Tabletext"/>
            </w:pPr>
            <w:r w:rsidRPr="00243ED2">
              <w:t>9</w:t>
            </w:r>
          </w:p>
        </w:tc>
        <w:tc>
          <w:tcPr>
            <w:tcW w:w="3402" w:type="dxa"/>
            <w:tcBorders>
              <w:top w:val="single" w:sz="4" w:space="0" w:color="auto"/>
            </w:tcBorders>
            <w:shd w:val="clear" w:color="auto" w:fill="auto"/>
          </w:tcPr>
          <w:p w:rsidR="00CE2B1D" w:rsidRPr="00243ED2" w:rsidRDefault="00CE2B1D" w:rsidP="00331BA8">
            <w:pPr>
              <w:pStyle w:val="Tabletext"/>
            </w:pPr>
            <w:r w:rsidRPr="00243ED2">
              <w:t xml:space="preserve">Treaty Between Australia and the Independent State of Papua New Guinea concerning the Sovereignty and Maritime Boundaries in the area </w:t>
            </w:r>
            <w:r w:rsidRPr="00243ED2">
              <w:lastRenderedPageBreak/>
              <w:t>between the two Countries, including the area known as Torres Strait, and Related Matters</w:t>
            </w:r>
          </w:p>
        </w:tc>
        <w:tc>
          <w:tcPr>
            <w:tcW w:w="1419" w:type="dxa"/>
            <w:tcBorders>
              <w:top w:val="single" w:sz="4" w:space="0" w:color="auto"/>
            </w:tcBorders>
            <w:shd w:val="clear" w:color="auto" w:fill="auto"/>
          </w:tcPr>
          <w:p w:rsidR="00CE2B1D" w:rsidRPr="00243ED2" w:rsidRDefault="00CE2B1D" w:rsidP="00331BA8">
            <w:pPr>
              <w:pStyle w:val="Tabletext"/>
            </w:pPr>
            <w:r w:rsidRPr="00243ED2">
              <w:lastRenderedPageBreak/>
              <w:t>Sydney</w:t>
            </w:r>
          </w:p>
        </w:tc>
        <w:tc>
          <w:tcPr>
            <w:tcW w:w="1559" w:type="dxa"/>
            <w:tcBorders>
              <w:top w:val="single" w:sz="4" w:space="0" w:color="auto"/>
            </w:tcBorders>
            <w:shd w:val="clear" w:color="auto" w:fill="auto"/>
          </w:tcPr>
          <w:p w:rsidR="00CE2B1D" w:rsidRPr="00243ED2" w:rsidRDefault="00CE2B1D" w:rsidP="00331BA8">
            <w:pPr>
              <w:pStyle w:val="Tabletext"/>
            </w:pPr>
            <w:r w:rsidRPr="00243ED2">
              <w:t>18</w:t>
            </w:r>
            <w:r w:rsidR="00243ED2">
              <w:t> </w:t>
            </w:r>
            <w:r w:rsidRPr="00243ED2">
              <w:t>December 1978</w:t>
            </w:r>
          </w:p>
        </w:tc>
      </w:tr>
      <w:tr w:rsidR="00CE2B1D" w:rsidRPr="00243ED2" w:rsidTr="00331BA8">
        <w:tc>
          <w:tcPr>
            <w:tcW w:w="709" w:type="dxa"/>
            <w:shd w:val="clear" w:color="auto" w:fill="auto"/>
          </w:tcPr>
          <w:p w:rsidR="00CE2B1D" w:rsidRPr="00243ED2" w:rsidRDefault="00CE2B1D" w:rsidP="00331BA8">
            <w:pPr>
              <w:pStyle w:val="Tabletext"/>
            </w:pPr>
            <w:r w:rsidRPr="00243ED2">
              <w:lastRenderedPageBreak/>
              <w:t>10</w:t>
            </w:r>
          </w:p>
        </w:tc>
        <w:tc>
          <w:tcPr>
            <w:tcW w:w="3402" w:type="dxa"/>
            <w:shd w:val="clear" w:color="auto" w:fill="auto"/>
          </w:tcPr>
          <w:p w:rsidR="00CE2B1D" w:rsidRPr="00243ED2" w:rsidRDefault="00CE2B1D" w:rsidP="00331BA8">
            <w:pPr>
              <w:pStyle w:val="Tabletext"/>
            </w:pPr>
            <w:r w:rsidRPr="00243ED2">
              <w:t>Revised Text of the International Plant Protection Convention of 6</w:t>
            </w:r>
            <w:r w:rsidR="00243ED2">
              <w:t> </w:t>
            </w:r>
            <w:r w:rsidRPr="00243ED2">
              <w:t>December 1951</w:t>
            </w:r>
          </w:p>
        </w:tc>
        <w:tc>
          <w:tcPr>
            <w:tcW w:w="1419" w:type="dxa"/>
            <w:shd w:val="clear" w:color="auto" w:fill="auto"/>
          </w:tcPr>
          <w:p w:rsidR="00CE2B1D" w:rsidRPr="00243ED2" w:rsidRDefault="00CE2B1D" w:rsidP="00331BA8">
            <w:pPr>
              <w:pStyle w:val="Tabletext"/>
            </w:pPr>
            <w:r w:rsidRPr="00243ED2">
              <w:t>Rome</w:t>
            </w:r>
          </w:p>
        </w:tc>
        <w:tc>
          <w:tcPr>
            <w:tcW w:w="1559" w:type="dxa"/>
            <w:shd w:val="clear" w:color="auto" w:fill="auto"/>
          </w:tcPr>
          <w:p w:rsidR="00CE2B1D" w:rsidRPr="00243ED2" w:rsidRDefault="00CE2B1D" w:rsidP="00331BA8">
            <w:pPr>
              <w:pStyle w:val="Tabletext"/>
            </w:pPr>
            <w:r w:rsidRPr="00243ED2">
              <w:t>28</w:t>
            </w:r>
            <w:r w:rsidR="00243ED2">
              <w:t> </w:t>
            </w:r>
            <w:r w:rsidRPr="00243ED2">
              <w:t>November 1979</w:t>
            </w:r>
          </w:p>
        </w:tc>
      </w:tr>
      <w:tr w:rsidR="00CE2B1D" w:rsidRPr="00243ED2" w:rsidTr="00331BA8">
        <w:tc>
          <w:tcPr>
            <w:tcW w:w="709" w:type="dxa"/>
            <w:shd w:val="clear" w:color="auto" w:fill="auto"/>
          </w:tcPr>
          <w:p w:rsidR="00CE2B1D" w:rsidRPr="00243ED2" w:rsidRDefault="00CE2B1D" w:rsidP="00331BA8">
            <w:pPr>
              <w:pStyle w:val="Tabletext"/>
            </w:pPr>
            <w:r w:rsidRPr="00243ED2">
              <w:t>11</w:t>
            </w:r>
          </w:p>
        </w:tc>
        <w:tc>
          <w:tcPr>
            <w:tcW w:w="3402" w:type="dxa"/>
            <w:shd w:val="clear" w:color="auto" w:fill="auto"/>
          </w:tcPr>
          <w:p w:rsidR="00CE2B1D" w:rsidRPr="00243ED2" w:rsidRDefault="00CE2B1D" w:rsidP="00331BA8">
            <w:pPr>
              <w:pStyle w:val="Tabletext"/>
            </w:pPr>
            <w:r w:rsidRPr="00243ED2">
              <w:t>United Nations Convention on the Law of the Sea</w:t>
            </w:r>
          </w:p>
        </w:tc>
        <w:tc>
          <w:tcPr>
            <w:tcW w:w="1419" w:type="dxa"/>
            <w:shd w:val="clear" w:color="auto" w:fill="auto"/>
          </w:tcPr>
          <w:p w:rsidR="00CE2B1D" w:rsidRPr="00243ED2" w:rsidRDefault="00CE2B1D" w:rsidP="00331BA8">
            <w:pPr>
              <w:pStyle w:val="Tabletext"/>
            </w:pPr>
            <w:r w:rsidRPr="00243ED2">
              <w:t>Montego Bay</w:t>
            </w:r>
          </w:p>
        </w:tc>
        <w:tc>
          <w:tcPr>
            <w:tcW w:w="1559" w:type="dxa"/>
            <w:shd w:val="clear" w:color="auto" w:fill="auto"/>
          </w:tcPr>
          <w:p w:rsidR="00CE2B1D" w:rsidRPr="00243ED2" w:rsidRDefault="00CE2B1D" w:rsidP="00331BA8">
            <w:pPr>
              <w:pStyle w:val="Tabletext"/>
            </w:pPr>
            <w:r w:rsidRPr="00243ED2">
              <w:t>10</w:t>
            </w:r>
            <w:r w:rsidR="00243ED2">
              <w:t> </w:t>
            </w:r>
            <w:r w:rsidRPr="00243ED2">
              <w:t>December 1982</w:t>
            </w:r>
          </w:p>
        </w:tc>
      </w:tr>
      <w:tr w:rsidR="00CE2B1D" w:rsidRPr="00243ED2" w:rsidTr="00331BA8">
        <w:tc>
          <w:tcPr>
            <w:tcW w:w="709" w:type="dxa"/>
            <w:shd w:val="clear" w:color="auto" w:fill="auto"/>
          </w:tcPr>
          <w:p w:rsidR="00CE2B1D" w:rsidRPr="00243ED2" w:rsidRDefault="00CE2B1D" w:rsidP="00331BA8">
            <w:pPr>
              <w:pStyle w:val="Tabletext"/>
            </w:pPr>
            <w:r w:rsidRPr="00243ED2">
              <w:t>12</w:t>
            </w:r>
          </w:p>
        </w:tc>
        <w:tc>
          <w:tcPr>
            <w:tcW w:w="3402" w:type="dxa"/>
            <w:shd w:val="clear" w:color="auto" w:fill="auto"/>
          </w:tcPr>
          <w:p w:rsidR="00CE2B1D" w:rsidRPr="00243ED2" w:rsidRDefault="00CE2B1D" w:rsidP="00331BA8">
            <w:pPr>
              <w:pStyle w:val="Tabletext"/>
            </w:pPr>
            <w:r w:rsidRPr="00243ED2">
              <w:t>Vienna Convention for the Protection of the Ozone Layer</w:t>
            </w:r>
          </w:p>
        </w:tc>
        <w:tc>
          <w:tcPr>
            <w:tcW w:w="1419" w:type="dxa"/>
            <w:shd w:val="clear" w:color="auto" w:fill="auto"/>
          </w:tcPr>
          <w:p w:rsidR="00CE2B1D" w:rsidRPr="00243ED2" w:rsidRDefault="00CE2B1D" w:rsidP="00331BA8">
            <w:pPr>
              <w:pStyle w:val="Tabletext"/>
            </w:pPr>
            <w:r w:rsidRPr="00243ED2">
              <w:t>Vienna</w:t>
            </w:r>
          </w:p>
        </w:tc>
        <w:tc>
          <w:tcPr>
            <w:tcW w:w="1559" w:type="dxa"/>
            <w:shd w:val="clear" w:color="auto" w:fill="auto"/>
          </w:tcPr>
          <w:p w:rsidR="00CE2B1D" w:rsidRPr="00243ED2" w:rsidRDefault="00CE2B1D" w:rsidP="00331BA8">
            <w:pPr>
              <w:pStyle w:val="Tabletext"/>
            </w:pPr>
            <w:r w:rsidRPr="00243ED2">
              <w:t>22</w:t>
            </w:r>
            <w:r w:rsidR="00243ED2">
              <w:t> </w:t>
            </w:r>
            <w:r w:rsidRPr="00243ED2">
              <w:t>March 1985</w:t>
            </w:r>
          </w:p>
        </w:tc>
      </w:tr>
      <w:tr w:rsidR="00CE2B1D" w:rsidRPr="00243ED2" w:rsidTr="00331BA8">
        <w:tc>
          <w:tcPr>
            <w:tcW w:w="709" w:type="dxa"/>
            <w:shd w:val="clear" w:color="auto" w:fill="auto"/>
          </w:tcPr>
          <w:p w:rsidR="00CE2B1D" w:rsidRPr="00243ED2" w:rsidRDefault="00CE2B1D" w:rsidP="00331BA8">
            <w:pPr>
              <w:pStyle w:val="Tabletext"/>
            </w:pPr>
            <w:r w:rsidRPr="00243ED2">
              <w:t>13</w:t>
            </w:r>
          </w:p>
        </w:tc>
        <w:tc>
          <w:tcPr>
            <w:tcW w:w="3402" w:type="dxa"/>
            <w:shd w:val="clear" w:color="auto" w:fill="auto"/>
          </w:tcPr>
          <w:p w:rsidR="00CE2B1D" w:rsidRPr="00243ED2" w:rsidRDefault="00CE2B1D" w:rsidP="00331BA8">
            <w:pPr>
              <w:pStyle w:val="Tabletext"/>
            </w:pPr>
            <w:r w:rsidRPr="00243ED2">
              <w:t>Agreement between the Government of Australia and the Government of the People’s Republic of China for the Protection of Migratory Birds and their Environment</w:t>
            </w:r>
          </w:p>
        </w:tc>
        <w:tc>
          <w:tcPr>
            <w:tcW w:w="1419" w:type="dxa"/>
            <w:shd w:val="clear" w:color="auto" w:fill="auto"/>
          </w:tcPr>
          <w:p w:rsidR="00CE2B1D" w:rsidRPr="00243ED2" w:rsidRDefault="00CE2B1D" w:rsidP="00331BA8">
            <w:pPr>
              <w:pStyle w:val="Tabletext"/>
            </w:pPr>
            <w:r w:rsidRPr="00243ED2">
              <w:t>Canberra</w:t>
            </w:r>
          </w:p>
        </w:tc>
        <w:tc>
          <w:tcPr>
            <w:tcW w:w="1559" w:type="dxa"/>
            <w:shd w:val="clear" w:color="auto" w:fill="auto"/>
          </w:tcPr>
          <w:p w:rsidR="00CE2B1D" w:rsidRPr="00243ED2" w:rsidRDefault="00CE2B1D" w:rsidP="00331BA8">
            <w:pPr>
              <w:pStyle w:val="Tabletext"/>
            </w:pPr>
            <w:r w:rsidRPr="00243ED2">
              <w:t>20</w:t>
            </w:r>
            <w:r w:rsidR="00243ED2">
              <w:t> </w:t>
            </w:r>
            <w:r w:rsidRPr="00243ED2">
              <w:t>October 1986</w:t>
            </w:r>
          </w:p>
        </w:tc>
      </w:tr>
      <w:tr w:rsidR="00CE2B1D" w:rsidRPr="00243ED2" w:rsidTr="00331BA8">
        <w:tc>
          <w:tcPr>
            <w:tcW w:w="709" w:type="dxa"/>
            <w:shd w:val="clear" w:color="auto" w:fill="auto"/>
          </w:tcPr>
          <w:p w:rsidR="00CE2B1D" w:rsidRPr="00243ED2" w:rsidRDefault="00CE2B1D" w:rsidP="00331BA8">
            <w:pPr>
              <w:pStyle w:val="Tabletext"/>
            </w:pPr>
            <w:r w:rsidRPr="00243ED2">
              <w:t>14</w:t>
            </w:r>
          </w:p>
        </w:tc>
        <w:tc>
          <w:tcPr>
            <w:tcW w:w="3402" w:type="dxa"/>
            <w:shd w:val="clear" w:color="auto" w:fill="auto"/>
          </w:tcPr>
          <w:p w:rsidR="00CE2B1D" w:rsidRPr="00243ED2" w:rsidRDefault="00CE2B1D" w:rsidP="00331BA8">
            <w:pPr>
              <w:pStyle w:val="Tabletext"/>
            </w:pPr>
            <w:r w:rsidRPr="00243ED2">
              <w:t>Convention for the Protection of the Natural Resources and Environment of the South Pacific Region</w:t>
            </w:r>
          </w:p>
        </w:tc>
        <w:tc>
          <w:tcPr>
            <w:tcW w:w="1419" w:type="dxa"/>
            <w:shd w:val="clear" w:color="auto" w:fill="auto"/>
          </w:tcPr>
          <w:p w:rsidR="00CE2B1D" w:rsidRPr="00243ED2" w:rsidRDefault="00CE2B1D" w:rsidP="00331BA8">
            <w:pPr>
              <w:pStyle w:val="Tabletext"/>
            </w:pPr>
            <w:r w:rsidRPr="00243ED2">
              <w:t>Noumea</w:t>
            </w:r>
          </w:p>
        </w:tc>
        <w:tc>
          <w:tcPr>
            <w:tcW w:w="1559" w:type="dxa"/>
            <w:shd w:val="clear" w:color="auto" w:fill="auto"/>
          </w:tcPr>
          <w:p w:rsidR="00CE2B1D" w:rsidRPr="00243ED2" w:rsidRDefault="00CE2B1D" w:rsidP="00331BA8">
            <w:pPr>
              <w:pStyle w:val="Tabletext"/>
            </w:pPr>
            <w:r w:rsidRPr="00243ED2">
              <w:t>24</w:t>
            </w:r>
            <w:r w:rsidR="00243ED2">
              <w:t> </w:t>
            </w:r>
            <w:r w:rsidRPr="00243ED2">
              <w:t>November 1986</w:t>
            </w:r>
          </w:p>
        </w:tc>
      </w:tr>
      <w:tr w:rsidR="00CE2B1D" w:rsidRPr="00243ED2" w:rsidTr="00331BA8">
        <w:tc>
          <w:tcPr>
            <w:tcW w:w="709" w:type="dxa"/>
            <w:shd w:val="clear" w:color="auto" w:fill="auto"/>
          </w:tcPr>
          <w:p w:rsidR="00CE2B1D" w:rsidRPr="00243ED2" w:rsidRDefault="00CE2B1D" w:rsidP="00331BA8">
            <w:pPr>
              <w:pStyle w:val="Tabletext"/>
            </w:pPr>
            <w:r w:rsidRPr="00243ED2">
              <w:t>15</w:t>
            </w:r>
          </w:p>
        </w:tc>
        <w:tc>
          <w:tcPr>
            <w:tcW w:w="3402" w:type="dxa"/>
            <w:shd w:val="clear" w:color="auto" w:fill="auto"/>
          </w:tcPr>
          <w:p w:rsidR="00CE2B1D" w:rsidRPr="00243ED2" w:rsidRDefault="00CE2B1D" w:rsidP="00331BA8">
            <w:pPr>
              <w:pStyle w:val="Tabletext"/>
            </w:pPr>
            <w:r w:rsidRPr="00243ED2">
              <w:t>Protocol for the Prevention of Pollution of the South Pacific Region by Dumping</w:t>
            </w:r>
          </w:p>
        </w:tc>
        <w:tc>
          <w:tcPr>
            <w:tcW w:w="1419" w:type="dxa"/>
            <w:shd w:val="clear" w:color="auto" w:fill="auto"/>
          </w:tcPr>
          <w:p w:rsidR="00CE2B1D" w:rsidRPr="00243ED2" w:rsidRDefault="00CE2B1D" w:rsidP="00331BA8">
            <w:pPr>
              <w:pStyle w:val="Tabletext"/>
            </w:pPr>
            <w:r w:rsidRPr="00243ED2">
              <w:t>Noumea</w:t>
            </w:r>
          </w:p>
        </w:tc>
        <w:tc>
          <w:tcPr>
            <w:tcW w:w="1559" w:type="dxa"/>
            <w:shd w:val="clear" w:color="auto" w:fill="auto"/>
          </w:tcPr>
          <w:p w:rsidR="00CE2B1D" w:rsidRPr="00243ED2" w:rsidRDefault="00CE2B1D" w:rsidP="00331BA8">
            <w:pPr>
              <w:pStyle w:val="Tabletext"/>
            </w:pPr>
            <w:r w:rsidRPr="00243ED2">
              <w:t>25</w:t>
            </w:r>
            <w:r w:rsidR="00243ED2">
              <w:t> </w:t>
            </w:r>
            <w:r w:rsidRPr="00243ED2">
              <w:t>November 1986</w:t>
            </w:r>
          </w:p>
        </w:tc>
      </w:tr>
      <w:tr w:rsidR="00CE2B1D" w:rsidRPr="00243ED2" w:rsidTr="00331BA8">
        <w:tc>
          <w:tcPr>
            <w:tcW w:w="709" w:type="dxa"/>
            <w:shd w:val="clear" w:color="auto" w:fill="auto"/>
          </w:tcPr>
          <w:p w:rsidR="00CE2B1D" w:rsidRPr="00243ED2" w:rsidRDefault="00CE2B1D" w:rsidP="00331BA8">
            <w:pPr>
              <w:pStyle w:val="Tabletext"/>
            </w:pPr>
            <w:r w:rsidRPr="00243ED2">
              <w:t>16</w:t>
            </w:r>
          </w:p>
        </w:tc>
        <w:tc>
          <w:tcPr>
            <w:tcW w:w="3402" w:type="dxa"/>
            <w:shd w:val="clear" w:color="auto" w:fill="auto"/>
          </w:tcPr>
          <w:p w:rsidR="00CE2B1D" w:rsidRPr="00243ED2" w:rsidRDefault="00CE2B1D" w:rsidP="00331BA8">
            <w:pPr>
              <w:pStyle w:val="Tabletext"/>
            </w:pPr>
            <w:r w:rsidRPr="00243ED2">
              <w:t>Montreal Protocol on Substances that Deplete the Ozone Layer (as amended by the 1992 and 1994 Amendments)</w:t>
            </w:r>
          </w:p>
        </w:tc>
        <w:tc>
          <w:tcPr>
            <w:tcW w:w="1419" w:type="dxa"/>
            <w:shd w:val="clear" w:color="auto" w:fill="auto"/>
          </w:tcPr>
          <w:p w:rsidR="00CE2B1D" w:rsidRPr="00243ED2" w:rsidRDefault="00CE2B1D" w:rsidP="00331BA8">
            <w:pPr>
              <w:pStyle w:val="Tabletext"/>
            </w:pPr>
            <w:r w:rsidRPr="00243ED2">
              <w:t>Montreal</w:t>
            </w:r>
          </w:p>
        </w:tc>
        <w:tc>
          <w:tcPr>
            <w:tcW w:w="1559" w:type="dxa"/>
            <w:shd w:val="clear" w:color="auto" w:fill="auto"/>
          </w:tcPr>
          <w:p w:rsidR="00CE2B1D" w:rsidRPr="00243ED2" w:rsidRDefault="00CE2B1D" w:rsidP="00331BA8">
            <w:pPr>
              <w:pStyle w:val="Tabletext"/>
            </w:pPr>
            <w:r w:rsidRPr="00243ED2">
              <w:t>16</w:t>
            </w:r>
            <w:r w:rsidR="00243ED2">
              <w:t> </w:t>
            </w:r>
            <w:r w:rsidRPr="00243ED2">
              <w:t>September 1987</w:t>
            </w:r>
          </w:p>
        </w:tc>
      </w:tr>
      <w:tr w:rsidR="00CE2B1D" w:rsidRPr="00243ED2" w:rsidTr="00331BA8">
        <w:tc>
          <w:tcPr>
            <w:tcW w:w="709" w:type="dxa"/>
            <w:shd w:val="clear" w:color="auto" w:fill="auto"/>
          </w:tcPr>
          <w:p w:rsidR="00CE2B1D" w:rsidRPr="00243ED2" w:rsidRDefault="00CE2B1D" w:rsidP="00331BA8">
            <w:pPr>
              <w:pStyle w:val="Tabletext"/>
            </w:pPr>
            <w:r w:rsidRPr="00243ED2">
              <w:t>17</w:t>
            </w:r>
          </w:p>
        </w:tc>
        <w:tc>
          <w:tcPr>
            <w:tcW w:w="3402" w:type="dxa"/>
            <w:shd w:val="clear" w:color="auto" w:fill="auto"/>
          </w:tcPr>
          <w:p w:rsidR="00CE2B1D" w:rsidRPr="00243ED2" w:rsidRDefault="00CE2B1D" w:rsidP="00331BA8">
            <w:pPr>
              <w:pStyle w:val="Tabletext"/>
            </w:pPr>
            <w:r w:rsidRPr="00243ED2">
              <w:t>Basel Convention on the Control of Transboundary Movements of Hazardous Wastes and their Disposal</w:t>
            </w:r>
          </w:p>
        </w:tc>
        <w:tc>
          <w:tcPr>
            <w:tcW w:w="1419" w:type="dxa"/>
            <w:shd w:val="clear" w:color="auto" w:fill="auto"/>
          </w:tcPr>
          <w:p w:rsidR="00CE2B1D" w:rsidRPr="00243ED2" w:rsidRDefault="00CE2B1D" w:rsidP="00331BA8">
            <w:pPr>
              <w:pStyle w:val="Tabletext"/>
            </w:pPr>
            <w:r w:rsidRPr="00243ED2">
              <w:t>Basel</w:t>
            </w:r>
          </w:p>
        </w:tc>
        <w:tc>
          <w:tcPr>
            <w:tcW w:w="1559" w:type="dxa"/>
            <w:shd w:val="clear" w:color="auto" w:fill="auto"/>
          </w:tcPr>
          <w:p w:rsidR="00CE2B1D" w:rsidRPr="00243ED2" w:rsidRDefault="00CE2B1D" w:rsidP="00331BA8">
            <w:pPr>
              <w:pStyle w:val="Tabletext"/>
            </w:pPr>
            <w:r w:rsidRPr="00243ED2">
              <w:t>22</w:t>
            </w:r>
            <w:r w:rsidR="00243ED2">
              <w:t> </w:t>
            </w:r>
            <w:r w:rsidRPr="00243ED2">
              <w:t>March 1989</w:t>
            </w:r>
          </w:p>
        </w:tc>
      </w:tr>
      <w:tr w:rsidR="00CE2B1D" w:rsidRPr="00243ED2" w:rsidTr="00651CC5">
        <w:tc>
          <w:tcPr>
            <w:tcW w:w="709" w:type="dxa"/>
            <w:tcBorders>
              <w:bottom w:val="single" w:sz="4" w:space="0" w:color="auto"/>
            </w:tcBorders>
            <w:shd w:val="clear" w:color="auto" w:fill="auto"/>
          </w:tcPr>
          <w:p w:rsidR="00CE2B1D" w:rsidRPr="00243ED2" w:rsidRDefault="00CE2B1D" w:rsidP="00331BA8">
            <w:pPr>
              <w:pStyle w:val="Tabletext"/>
            </w:pPr>
            <w:r w:rsidRPr="00243ED2">
              <w:t>18</w:t>
            </w:r>
          </w:p>
        </w:tc>
        <w:tc>
          <w:tcPr>
            <w:tcW w:w="3402" w:type="dxa"/>
            <w:tcBorders>
              <w:bottom w:val="single" w:sz="4" w:space="0" w:color="auto"/>
            </w:tcBorders>
            <w:shd w:val="clear" w:color="auto" w:fill="auto"/>
          </w:tcPr>
          <w:p w:rsidR="00CE2B1D" w:rsidRPr="00243ED2" w:rsidRDefault="00CE2B1D" w:rsidP="00331BA8">
            <w:pPr>
              <w:pStyle w:val="Tabletext"/>
            </w:pPr>
            <w:r w:rsidRPr="00243ED2">
              <w:t>The Timor Sea Treaty (being the Treaty defined by subsection</w:t>
            </w:r>
            <w:r w:rsidR="00243ED2">
              <w:t> </w:t>
            </w:r>
            <w:r w:rsidRPr="00243ED2">
              <w:t xml:space="preserve">5 (1) of the </w:t>
            </w:r>
            <w:r w:rsidRPr="00243ED2">
              <w:rPr>
                <w:i/>
                <w:iCs/>
              </w:rPr>
              <w:t>Petroleum (Timor Sea Treaty) Act 2003</w:t>
            </w:r>
            <w:r w:rsidRPr="00243ED2">
              <w:t>)</w:t>
            </w:r>
          </w:p>
        </w:tc>
        <w:tc>
          <w:tcPr>
            <w:tcW w:w="1419" w:type="dxa"/>
            <w:tcBorders>
              <w:bottom w:val="single" w:sz="4" w:space="0" w:color="auto"/>
            </w:tcBorders>
            <w:shd w:val="clear" w:color="auto" w:fill="auto"/>
          </w:tcPr>
          <w:p w:rsidR="00CE2B1D" w:rsidRPr="00243ED2" w:rsidRDefault="00CE2B1D" w:rsidP="00331BA8">
            <w:pPr>
              <w:pStyle w:val="Tabletext"/>
            </w:pPr>
            <w:r w:rsidRPr="00243ED2">
              <w:t>Dili</w:t>
            </w:r>
          </w:p>
        </w:tc>
        <w:tc>
          <w:tcPr>
            <w:tcW w:w="1559" w:type="dxa"/>
            <w:tcBorders>
              <w:bottom w:val="single" w:sz="4" w:space="0" w:color="auto"/>
            </w:tcBorders>
            <w:shd w:val="clear" w:color="auto" w:fill="auto"/>
          </w:tcPr>
          <w:p w:rsidR="00CE2B1D" w:rsidRPr="00243ED2" w:rsidRDefault="00CE2B1D" w:rsidP="00331BA8">
            <w:pPr>
              <w:pStyle w:val="Tabletext"/>
            </w:pPr>
            <w:r w:rsidRPr="00243ED2">
              <w:t>20</w:t>
            </w:r>
            <w:r w:rsidR="00243ED2">
              <w:t> </w:t>
            </w:r>
            <w:r w:rsidRPr="00243ED2">
              <w:t>May 2002</w:t>
            </w:r>
          </w:p>
        </w:tc>
      </w:tr>
      <w:tr w:rsidR="00CE2B1D" w:rsidRPr="00243ED2" w:rsidTr="00651CC5">
        <w:tc>
          <w:tcPr>
            <w:tcW w:w="709" w:type="dxa"/>
            <w:tcBorders>
              <w:bottom w:val="single" w:sz="4" w:space="0" w:color="auto"/>
            </w:tcBorders>
            <w:shd w:val="clear" w:color="auto" w:fill="auto"/>
          </w:tcPr>
          <w:p w:rsidR="00CE2B1D" w:rsidRPr="00243ED2" w:rsidRDefault="00CE2B1D" w:rsidP="00331BA8">
            <w:pPr>
              <w:pStyle w:val="Tabletext"/>
            </w:pPr>
            <w:bookmarkStart w:id="52" w:name="CU_2034667"/>
            <w:bookmarkEnd w:id="52"/>
            <w:r w:rsidRPr="00243ED2">
              <w:t>19</w:t>
            </w:r>
          </w:p>
        </w:tc>
        <w:tc>
          <w:tcPr>
            <w:tcW w:w="3402" w:type="dxa"/>
            <w:tcBorders>
              <w:bottom w:val="single" w:sz="4" w:space="0" w:color="auto"/>
            </w:tcBorders>
            <w:shd w:val="clear" w:color="auto" w:fill="auto"/>
          </w:tcPr>
          <w:p w:rsidR="00CE2B1D" w:rsidRPr="00243ED2" w:rsidRDefault="00CE2B1D" w:rsidP="00331BA8">
            <w:pPr>
              <w:pStyle w:val="Tabletext"/>
            </w:pPr>
            <w:r w:rsidRPr="00243ED2">
              <w:t>Agreement between the Government of Australia and the Government of the USSR on Cooperation in the Field of Protection and Enhancement of the Environment</w:t>
            </w:r>
          </w:p>
        </w:tc>
        <w:tc>
          <w:tcPr>
            <w:tcW w:w="1419" w:type="dxa"/>
            <w:tcBorders>
              <w:bottom w:val="single" w:sz="4" w:space="0" w:color="auto"/>
            </w:tcBorders>
            <w:shd w:val="clear" w:color="auto" w:fill="auto"/>
          </w:tcPr>
          <w:p w:rsidR="00CE2B1D" w:rsidRPr="00243ED2" w:rsidRDefault="00CE2B1D" w:rsidP="00331BA8">
            <w:pPr>
              <w:pStyle w:val="Tabletext"/>
            </w:pPr>
            <w:r w:rsidRPr="00243ED2">
              <w:t>Canberra</w:t>
            </w:r>
          </w:p>
        </w:tc>
        <w:tc>
          <w:tcPr>
            <w:tcW w:w="1559" w:type="dxa"/>
            <w:tcBorders>
              <w:bottom w:val="single" w:sz="4" w:space="0" w:color="auto"/>
            </w:tcBorders>
            <w:shd w:val="clear" w:color="auto" w:fill="auto"/>
          </w:tcPr>
          <w:p w:rsidR="00CE2B1D" w:rsidRPr="00243ED2" w:rsidRDefault="00CE2B1D" w:rsidP="00331BA8">
            <w:pPr>
              <w:pStyle w:val="Tabletext"/>
            </w:pPr>
            <w:r w:rsidRPr="00243ED2">
              <w:t>15</w:t>
            </w:r>
            <w:r w:rsidR="00243ED2">
              <w:t> </w:t>
            </w:r>
            <w:r w:rsidRPr="00243ED2">
              <w:t>February 1990</w:t>
            </w:r>
          </w:p>
        </w:tc>
      </w:tr>
      <w:tr w:rsidR="00CE2B1D" w:rsidRPr="00243ED2" w:rsidTr="00651CC5">
        <w:tc>
          <w:tcPr>
            <w:tcW w:w="709" w:type="dxa"/>
            <w:tcBorders>
              <w:top w:val="single" w:sz="4" w:space="0" w:color="auto"/>
            </w:tcBorders>
            <w:shd w:val="clear" w:color="auto" w:fill="auto"/>
          </w:tcPr>
          <w:p w:rsidR="00CE2B1D" w:rsidRPr="00243ED2" w:rsidRDefault="00CE2B1D" w:rsidP="00331BA8">
            <w:pPr>
              <w:pStyle w:val="Tabletext"/>
            </w:pPr>
            <w:r w:rsidRPr="00243ED2">
              <w:lastRenderedPageBreak/>
              <w:t>20</w:t>
            </w:r>
          </w:p>
        </w:tc>
        <w:tc>
          <w:tcPr>
            <w:tcW w:w="3402" w:type="dxa"/>
            <w:tcBorders>
              <w:top w:val="single" w:sz="4" w:space="0" w:color="auto"/>
            </w:tcBorders>
            <w:shd w:val="clear" w:color="auto" w:fill="auto"/>
          </w:tcPr>
          <w:p w:rsidR="00CE2B1D" w:rsidRPr="00243ED2" w:rsidRDefault="00CE2B1D" w:rsidP="00331BA8">
            <w:pPr>
              <w:pStyle w:val="Tabletext"/>
            </w:pPr>
            <w:r w:rsidRPr="00243ED2">
              <w:t>United Nations Framework Convention on Climate Change</w:t>
            </w:r>
          </w:p>
        </w:tc>
        <w:tc>
          <w:tcPr>
            <w:tcW w:w="1419" w:type="dxa"/>
            <w:tcBorders>
              <w:top w:val="single" w:sz="4" w:space="0" w:color="auto"/>
            </w:tcBorders>
            <w:shd w:val="clear" w:color="auto" w:fill="auto"/>
          </w:tcPr>
          <w:p w:rsidR="00CE2B1D" w:rsidRPr="00243ED2" w:rsidRDefault="00CE2B1D" w:rsidP="00331BA8">
            <w:pPr>
              <w:pStyle w:val="Tabletext"/>
            </w:pPr>
            <w:r w:rsidRPr="00243ED2">
              <w:t>New York</w:t>
            </w:r>
          </w:p>
        </w:tc>
        <w:tc>
          <w:tcPr>
            <w:tcW w:w="1559" w:type="dxa"/>
            <w:tcBorders>
              <w:top w:val="single" w:sz="4" w:space="0" w:color="auto"/>
            </w:tcBorders>
            <w:shd w:val="clear" w:color="auto" w:fill="auto"/>
          </w:tcPr>
          <w:p w:rsidR="00CE2B1D" w:rsidRPr="00243ED2" w:rsidRDefault="00CE2B1D" w:rsidP="00331BA8">
            <w:pPr>
              <w:pStyle w:val="Tabletext"/>
            </w:pPr>
            <w:r w:rsidRPr="00243ED2">
              <w:t>9</w:t>
            </w:r>
            <w:r w:rsidR="00243ED2">
              <w:t> </w:t>
            </w:r>
            <w:r w:rsidRPr="00243ED2">
              <w:t>May 1992</w:t>
            </w:r>
          </w:p>
        </w:tc>
      </w:tr>
      <w:tr w:rsidR="00CE2B1D" w:rsidRPr="00243ED2" w:rsidTr="00331BA8">
        <w:tc>
          <w:tcPr>
            <w:tcW w:w="709" w:type="dxa"/>
            <w:tcBorders>
              <w:bottom w:val="single" w:sz="4" w:space="0" w:color="auto"/>
            </w:tcBorders>
            <w:shd w:val="clear" w:color="auto" w:fill="auto"/>
          </w:tcPr>
          <w:p w:rsidR="00CE2B1D" w:rsidRPr="00243ED2" w:rsidRDefault="00CE2B1D" w:rsidP="00331BA8">
            <w:pPr>
              <w:pStyle w:val="Tabletext"/>
            </w:pPr>
            <w:r w:rsidRPr="00243ED2">
              <w:t>21</w:t>
            </w:r>
          </w:p>
        </w:tc>
        <w:tc>
          <w:tcPr>
            <w:tcW w:w="3402" w:type="dxa"/>
            <w:tcBorders>
              <w:bottom w:val="single" w:sz="4" w:space="0" w:color="auto"/>
            </w:tcBorders>
            <w:shd w:val="clear" w:color="auto" w:fill="auto"/>
          </w:tcPr>
          <w:p w:rsidR="00CE2B1D" w:rsidRPr="00243ED2" w:rsidRDefault="00CE2B1D" w:rsidP="00331BA8">
            <w:pPr>
              <w:pStyle w:val="Tabletext"/>
            </w:pPr>
            <w:r w:rsidRPr="00243ED2">
              <w:t>Convention on Biological Diversity</w:t>
            </w:r>
          </w:p>
        </w:tc>
        <w:tc>
          <w:tcPr>
            <w:tcW w:w="1419" w:type="dxa"/>
            <w:tcBorders>
              <w:bottom w:val="single" w:sz="4" w:space="0" w:color="auto"/>
            </w:tcBorders>
            <w:shd w:val="clear" w:color="auto" w:fill="auto"/>
          </w:tcPr>
          <w:p w:rsidR="00CE2B1D" w:rsidRPr="00243ED2" w:rsidRDefault="00CE2B1D" w:rsidP="00331BA8">
            <w:pPr>
              <w:pStyle w:val="Tabletext"/>
            </w:pPr>
            <w:r w:rsidRPr="00243ED2">
              <w:t>Rio de Janeiro</w:t>
            </w:r>
          </w:p>
        </w:tc>
        <w:tc>
          <w:tcPr>
            <w:tcW w:w="1559" w:type="dxa"/>
            <w:tcBorders>
              <w:bottom w:val="single" w:sz="4" w:space="0" w:color="auto"/>
            </w:tcBorders>
            <w:shd w:val="clear" w:color="auto" w:fill="auto"/>
          </w:tcPr>
          <w:p w:rsidR="00CE2B1D" w:rsidRPr="00243ED2" w:rsidRDefault="00CE2B1D" w:rsidP="00331BA8">
            <w:pPr>
              <w:pStyle w:val="Tabletext"/>
            </w:pPr>
            <w:r w:rsidRPr="00243ED2">
              <w:t>5</w:t>
            </w:r>
            <w:r w:rsidR="00243ED2">
              <w:t> </w:t>
            </w:r>
            <w:r w:rsidRPr="00243ED2">
              <w:t>June 1992</w:t>
            </w:r>
          </w:p>
        </w:tc>
      </w:tr>
      <w:tr w:rsidR="00CE2B1D" w:rsidRPr="00243ED2" w:rsidTr="00331BA8">
        <w:tc>
          <w:tcPr>
            <w:tcW w:w="709" w:type="dxa"/>
            <w:tcBorders>
              <w:bottom w:val="single" w:sz="12" w:space="0" w:color="auto"/>
            </w:tcBorders>
            <w:shd w:val="clear" w:color="auto" w:fill="auto"/>
          </w:tcPr>
          <w:p w:rsidR="00CE2B1D" w:rsidRPr="00243ED2" w:rsidRDefault="00CE2B1D" w:rsidP="00331BA8">
            <w:pPr>
              <w:pStyle w:val="Tabletext"/>
            </w:pPr>
            <w:r w:rsidRPr="00243ED2">
              <w:t>22</w:t>
            </w:r>
          </w:p>
        </w:tc>
        <w:tc>
          <w:tcPr>
            <w:tcW w:w="3402" w:type="dxa"/>
            <w:tcBorders>
              <w:bottom w:val="single" w:sz="12" w:space="0" w:color="auto"/>
            </w:tcBorders>
            <w:shd w:val="clear" w:color="auto" w:fill="auto"/>
          </w:tcPr>
          <w:p w:rsidR="00CE2B1D" w:rsidRPr="00243ED2" w:rsidRDefault="00CE2B1D" w:rsidP="00331BA8">
            <w:pPr>
              <w:pStyle w:val="Tabletext"/>
            </w:pPr>
            <w:r w:rsidRPr="00243ED2">
              <w:t>Agreement relating to the Implementation of Part</w:t>
            </w:r>
            <w:r w:rsidR="0082647E" w:rsidRPr="00243ED2">
              <w:t> </w:t>
            </w:r>
            <w:r w:rsidRPr="00243ED2">
              <w:t>XI of the United Nations Convention on the Law of the Sea of 10</w:t>
            </w:r>
            <w:r w:rsidR="00243ED2">
              <w:t> </w:t>
            </w:r>
            <w:r w:rsidRPr="00243ED2">
              <w:t>December 1982</w:t>
            </w:r>
          </w:p>
        </w:tc>
        <w:tc>
          <w:tcPr>
            <w:tcW w:w="1419" w:type="dxa"/>
            <w:tcBorders>
              <w:bottom w:val="single" w:sz="12" w:space="0" w:color="auto"/>
            </w:tcBorders>
            <w:shd w:val="clear" w:color="auto" w:fill="auto"/>
          </w:tcPr>
          <w:p w:rsidR="00CE2B1D" w:rsidRPr="00243ED2" w:rsidRDefault="00CE2B1D" w:rsidP="00331BA8">
            <w:pPr>
              <w:pStyle w:val="Tabletext"/>
            </w:pPr>
            <w:r w:rsidRPr="00243ED2">
              <w:t>New York</w:t>
            </w:r>
          </w:p>
        </w:tc>
        <w:tc>
          <w:tcPr>
            <w:tcW w:w="1559" w:type="dxa"/>
            <w:tcBorders>
              <w:bottom w:val="single" w:sz="12" w:space="0" w:color="auto"/>
            </w:tcBorders>
            <w:shd w:val="clear" w:color="auto" w:fill="auto"/>
          </w:tcPr>
          <w:p w:rsidR="00CE2B1D" w:rsidRPr="00243ED2" w:rsidRDefault="00CE2B1D" w:rsidP="00331BA8">
            <w:pPr>
              <w:pStyle w:val="Tabletext"/>
            </w:pPr>
            <w:r w:rsidRPr="00243ED2">
              <w:t>5</w:t>
            </w:r>
            <w:r w:rsidR="00243ED2">
              <w:t> </w:t>
            </w:r>
            <w:r w:rsidRPr="00243ED2">
              <w:t>October 1994</w:t>
            </w:r>
          </w:p>
        </w:tc>
      </w:tr>
    </w:tbl>
    <w:p w:rsidR="00CE2B1D" w:rsidRPr="00243ED2" w:rsidRDefault="00CE2B1D" w:rsidP="00CE2B1D"/>
    <w:p w:rsidR="00331BA8" w:rsidRPr="00243ED2" w:rsidRDefault="00331BA8" w:rsidP="004A1E86">
      <w:pPr>
        <w:sectPr w:rsidR="00331BA8" w:rsidRPr="00243ED2" w:rsidSect="00005070">
          <w:headerReference w:type="even" r:id="rId34"/>
          <w:headerReference w:type="default" r:id="rId35"/>
          <w:footerReference w:type="even" r:id="rId36"/>
          <w:footerReference w:type="default" r:id="rId37"/>
          <w:headerReference w:type="first" r:id="rId38"/>
          <w:footerReference w:type="first" r:id="rId39"/>
          <w:pgSz w:w="11907" w:h="16839" w:code="9"/>
          <w:pgMar w:top="2381" w:right="2409" w:bottom="4252" w:left="2409" w:header="720" w:footer="3402" w:gutter="0"/>
          <w:cols w:space="720"/>
          <w:docGrid w:linePitch="299"/>
        </w:sectPr>
      </w:pPr>
      <w:bookmarkStart w:id="53" w:name="OPCSB_NonAmendNoClausesB5"/>
    </w:p>
    <w:p w:rsidR="00331BA8" w:rsidRPr="00243ED2" w:rsidRDefault="00331BA8" w:rsidP="0082647E">
      <w:pPr>
        <w:pStyle w:val="ENotesHeading1"/>
        <w:pageBreakBefore/>
        <w:outlineLvl w:val="9"/>
      </w:pPr>
      <w:bookmarkStart w:id="54" w:name="_Toc429131043"/>
      <w:bookmarkEnd w:id="53"/>
      <w:r w:rsidRPr="00243ED2">
        <w:lastRenderedPageBreak/>
        <w:t>Endnotes</w:t>
      </w:r>
      <w:bookmarkEnd w:id="54"/>
    </w:p>
    <w:p w:rsidR="00651CC5" w:rsidRPr="00243ED2" w:rsidRDefault="00651CC5" w:rsidP="007F2AFC">
      <w:pPr>
        <w:pStyle w:val="ENotesHeading2"/>
        <w:spacing w:line="240" w:lineRule="auto"/>
        <w:outlineLvl w:val="9"/>
      </w:pPr>
      <w:bookmarkStart w:id="55" w:name="_Toc429131044"/>
      <w:r w:rsidRPr="00243ED2">
        <w:t>Endnote 1—About the endnotes</w:t>
      </w:r>
      <w:bookmarkEnd w:id="55"/>
    </w:p>
    <w:p w:rsidR="00651CC5" w:rsidRPr="00243ED2" w:rsidRDefault="00651CC5" w:rsidP="007F2AFC">
      <w:pPr>
        <w:spacing w:after="120"/>
      </w:pPr>
      <w:r w:rsidRPr="00243ED2">
        <w:t>The endnotes provide information about this compilation and the compiled law.</w:t>
      </w:r>
    </w:p>
    <w:p w:rsidR="00651CC5" w:rsidRPr="00243ED2" w:rsidRDefault="00651CC5" w:rsidP="007F2AFC">
      <w:pPr>
        <w:spacing w:after="120"/>
      </w:pPr>
      <w:r w:rsidRPr="00243ED2">
        <w:t>The following endnotes are included in every compilation:</w:t>
      </w:r>
    </w:p>
    <w:p w:rsidR="00651CC5" w:rsidRPr="00243ED2" w:rsidRDefault="00651CC5" w:rsidP="007F2AFC">
      <w:r w:rsidRPr="00243ED2">
        <w:t>Endnote 1—About the endnotes</w:t>
      </w:r>
    </w:p>
    <w:p w:rsidR="00651CC5" w:rsidRPr="00243ED2" w:rsidRDefault="00651CC5" w:rsidP="007F2AFC">
      <w:r w:rsidRPr="00243ED2">
        <w:t>Endnote 2—Abbreviation key</w:t>
      </w:r>
    </w:p>
    <w:p w:rsidR="00651CC5" w:rsidRPr="00243ED2" w:rsidRDefault="00651CC5" w:rsidP="007F2AFC">
      <w:r w:rsidRPr="00243ED2">
        <w:t>Endnote 3—Legislation history</w:t>
      </w:r>
    </w:p>
    <w:p w:rsidR="00651CC5" w:rsidRPr="00243ED2" w:rsidRDefault="00651CC5" w:rsidP="007F2AFC">
      <w:pPr>
        <w:spacing w:after="120"/>
      </w:pPr>
      <w:r w:rsidRPr="00243ED2">
        <w:t>Endnote 4—Amendment history</w:t>
      </w:r>
    </w:p>
    <w:p w:rsidR="00651CC5" w:rsidRPr="00243ED2" w:rsidRDefault="00651CC5" w:rsidP="007F2AFC">
      <w:pPr>
        <w:spacing w:after="120"/>
      </w:pPr>
      <w:r w:rsidRPr="00243ED2">
        <w:t>Endnotes about misdescribed amendments and other matters are included in a compilation only as necessary.</w:t>
      </w:r>
    </w:p>
    <w:p w:rsidR="00651CC5" w:rsidRPr="00243ED2" w:rsidRDefault="00651CC5" w:rsidP="007F2AFC">
      <w:r w:rsidRPr="00243ED2">
        <w:rPr>
          <w:b/>
        </w:rPr>
        <w:t>Abbreviation key—Endnote 2</w:t>
      </w:r>
    </w:p>
    <w:p w:rsidR="00651CC5" w:rsidRPr="00243ED2" w:rsidRDefault="00651CC5" w:rsidP="007F2AFC">
      <w:pPr>
        <w:spacing w:after="120"/>
      </w:pPr>
      <w:r w:rsidRPr="00243ED2">
        <w:t>The abbreviation key sets out abbreviations that may be used in the endnotes.</w:t>
      </w:r>
    </w:p>
    <w:p w:rsidR="00651CC5" w:rsidRPr="00243ED2" w:rsidRDefault="00651CC5" w:rsidP="007F2AFC">
      <w:pPr>
        <w:rPr>
          <w:b/>
        </w:rPr>
      </w:pPr>
      <w:r w:rsidRPr="00243ED2">
        <w:rPr>
          <w:b/>
        </w:rPr>
        <w:t>Legislation history and amendment history—Endnotes 3 and 4</w:t>
      </w:r>
    </w:p>
    <w:p w:rsidR="00651CC5" w:rsidRPr="00243ED2" w:rsidRDefault="00651CC5" w:rsidP="007F2AFC">
      <w:pPr>
        <w:spacing w:after="120"/>
      </w:pPr>
      <w:r w:rsidRPr="00243ED2">
        <w:t>Amending laws are annotated in the legislation history and amendment history.</w:t>
      </w:r>
    </w:p>
    <w:p w:rsidR="00651CC5" w:rsidRPr="00243ED2" w:rsidRDefault="00651CC5" w:rsidP="007F2AFC">
      <w:pPr>
        <w:spacing w:after="120"/>
      </w:pPr>
      <w:r w:rsidRPr="00243ED2">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651CC5" w:rsidRPr="00243ED2" w:rsidRDefault="00651CC5" w:rsidP="007F2AFC">
      <w:pPr>
        <w:spacing w:after="120"/>
      </w:pPr>
      <w:r w:rsidRPr="00243ED2">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651CC5" w:rsidRPr="00243ED2" w:rsidRDefault="00651CC5" w:rsidP="007F2AFC">
      <w:pPr>
        <w:keepNext/>
      </w:pPr>
      <w:r w:rsidRPr="00243ED2">
        <w:rPr>
          <w:b/>
        </w:rPr>
        <w:t>Misdescribed amendments</w:t>
      </w:r>
    </w:p>
    <w:p w:rsidR="00651CC5" w:rsidRPr="00243ED2" w:rsidRDefault="00651CC5" w:rsidP="007F2AFC">
      <w:pPr>
        <w:spacing w:after="120"/>
      </w:pPr>
      <w:r w:rsidRPr="00243ED2">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651CC5" w:rsidRPr="00243ED2" w:rsidRDefault="00651CC5" w:rsidP="0056102D">
      <w:pPr>
        <w:spacing w:before="120"/>
      </w:pPr>
      <w:r w:rsidRPr="00243ED2">
        <w:t>If a misdescribed amendment cannot be given effect as intended, the abbreviation “(md not incorp)” is added to the details of the amendment included in the amendment history.</w:t>
      </w:r>
    </w:p>
    <w:p w:rsidR="00651CC5" w:rsidRPr="00243ED2" w:rsidRDefault="00651CC5" w:rsidP="00C24BC2">
      <w:pPr>
        <w:pStyle w:val="ENotesHeading2"/>
        <w:pageBreakBefore/>
        <w:outlineLvl w:val="9"/>
      </w:pPr>
      <w:bookmarkStart w:id="56" w:name="_Toc429131045"/>
      <w:r w:rsidRPr="00243ED2">
        <w:lastRenderedPageBreak/>
        <w:t>Endnote 2—Abbreviation key</w:t>
      </w:r>
      <w:bookmarkEnd w:id="56"/>
    </w:p>
    <w:p w:rsidR="00651CC5" w:rsidRPr="00243ED2" w:rsidRDefault="00651CC5" w:rsidP="00704F83">
      <w:pPr>
        <w:pStyle w:val="Tabletext"/>
      </w:pPr>
    </w:p>
    <w:tbl>
      <w:tblPr>
        <w:tblW w:w="7939" w:type="dxa"/>
        <w:tblInd w:w="108" w:type="dxa"/>
        <w:tblLayout w:type="fixed"/>
        <w:tblLook w:val="0000" w:firstRow="0" w:lastRow="0" w:firstColumn="0" w:lastColumn="0" w:noHBand="0" w:noVBand="0"/>
      </w:tblPr>
      <w:tblGrid>
        <w:gridCol w:w="4253"/>
        <w:gridCol w:w="3686"/>
      </w:tblGrid>
      <w:tr w:rsidR="00651CC5" w:rsidRPr="00243ED2" w:rsidTr="0056102D">
        <w:tc>
          <w:tcPr>
            <w:tcW w:w="4253" w:type="dxa"/>
            <w:shd w:val="clear" w:color="auto" w:fill="auto"/>
          </w:tcPr>
          <w:p w:rsidR="00651CC5" w:rsidRPr="00243ED2" w:rsidRDefault="00651CC5" w:rsidP="0056102D">
            <w:pPr>
              <w:spacing w:before="60"/>
              <w:ind w:left="34"/>
              <w:rPr>
                <w:sz w:val="20"/>
              </w:rPr>
            </w:pPr>
            <w:r w:rsidRPr="00243ED2">
              <w:rPr>
                <w:sz w:val="20"/>
              </w:rPr>
              <w:t>A = Act</w:t>
            </w:r>
          </w:p>
        </w:tc>
        <w:tc>
          <w:tcPr>
            <w:tcW w:w="3686" w:type="dxa"/>
            <w:shd w:val="clear" w:color="auto" w:fill="auto"/>
          </w:tcPr>
          <w:p w:rsidR="00651CC5" w:rsidRPr="00243ED2" w:rsidRDefault="00651CC5" w:rsidP="0056102D">
            <w:pPr>
              <w:spacing w:before="60"/>
              <w:ind w:left="34"/>
              <w:rPr>
                <w:sz w:val="20"/>
              </w:rPr>
            </w:pPr>
            <w:r w:rsidRPr="00243ED2">
              <w:rPr>
                <w:sz w:val="20"/>
              </w:rPr>
              <w:t>o = order(s)</w:t>
            </w:r>
          </w:p>
        </w:tc>
      </w:tr>
      <w:tr w:rsidR="00651CC5" w:rsidRPr="00243ED2" w:rsidTr="0056102D">
        <w:tc>
          <w:tcPr>
            <w:tcW w:w="4253" w:type="dxa"/>
            <w:shd w:val="clear" w:color="auto" w:fill="auto"/>
          </w:tcPr>
          <w:p w:rsidR="00651CC5" w:rsidRPr="00243ED2" w:rsidRDefault="00651CC5" w:rsidP="0056102D">
            <w:pPr>
              <w:spacing w:before="60"/>
              <w:ind w:left="34"/>
              <w:rPr>
                <w:sz w:val="20"/>
              </w:rPr>
            </w:pPr>
            <w:r w:rsidRPr="00243ED2">
              <w:rPr>
                <w:sz w:val="20"/>
              </w:rPr>
              <w:t>ad = added or inserted</w:t>
            </w:r>
          </w:p>
        </w:tc>
        <w:tc>
          <w:tcPr>
            <w:tcW w:w="3686" w:type="dxa"/>
            <w:shd w:val="clear" w:color="auto" w:fill="auto"/>
          </w:tcPr>
          <w:p w:rsidR="00651CC5" w:rsidRPr="00243ED2" w:rsidRDefault="00651CC5" w:rsidP="0056102D">
            <w:pPr>
              <w:spacing w:before="60"/>
              <w:ind w:left="34"/>
              <w:rPr>
                <w:sz w:val="20"/>
              </w:rPr>
            </w:pPr>
            <w:r w:rsidRPr="00243ED2">
              <w:rPr>
                <w:sz w:val="20"/>
              </w:rPr>
              <w:t>Ord = Ordinance</w:t>
            </w:r>
          </w:p>
        </w:tc>
      </w:tr>
      <w:tr w:rsidR="00651CC5" w:rsidRPr="00243ED2" w:rsidTr="0056102D">
        <w:tc>
          <w:tcPr>
            <w:tcW w:w="4253" w:type="dxa"/>
            <w:shd w:val="clear" w:color="auto" w:fill="auto"/>
          </w:tcPr>
          <w:p w:rsidR="00651CC5" w:rsidRPr="00243ED2" w:rsidRDefault="00651CC5" w:rsidP="0056102D">
            <w:pPr>
              <w:spacing w:before="60"/>
              <w:ind w:left="34"/>
              <w:rPr>
                <w:sz w:val="20"/>
              </w:rPr>
            </w:pPr>
            <w:r w:rsidRPr="00243ED2">
              <w:rPr>
                <w:sz w:val="20"/>
              </w:rPr>
              <w:t>am = amended</w:t>
            </w:r>
          </w:p>
        </w:tc>
        <w:tc>
          <w:tcPr>
            <w:tcW w:w="3686" w:type="dxa"/>
            <w:shd w:val="clear" w:color="auto" w:fill="auto"/>
          </w:tcPr>
          <w:p w:rsidR="00651CC5" w:rsidRPr="00243ED2" w:rsidRDefault="00651CC5" w:rsidP="0056102D">
            <w:pPr>
              <w:spacing w:before="60"/>
              <w:ind w:left="34"/>
              <w:rPr>
                <w:sz w:val="20"/>
              </w:rPr>
            </w:pPr>
            <w:r w:rsidRPr="00243ED2">
              <w:rPr>
                <w:sz w:val="20"/>
              </w:rPr>
              <w:t>orig = original</w:t>
            </w:r>
          </w:p>
        </w:tc>
      </w:tr>
      <w:tr w:rsidR="00651CC5" w:rsidRPr="00243ED2" w:rsidTr="0056102D">
        <w:tc>
          <w:tcPr>
            <w:tcW w:w="4253" w:type="dxa"/>
            <w:shd w:val="clear" w:color="auto" w:fill="auto"/>
          </w:tcPr>
          <w:p w:rsidR="00651CC5" w:rsidRPr="00243ED2" w:rsidRDefault="00651CC5" w:rsidP="0056102D">
            <w:pPr>
              <w:spacing w:before="60"/>
              <w:ind w:left="34"/>
              <w:rPr>
                <w:sz w:val="20"/>
              </w:rPr>
            </w:pPr>
            <w:r w:rsidRPr="00243ED2">
              <w:rPr>
                <w:sz w:val="20"/>
              </w:rPr>
              <w:t>amdt = amendment</w:t>
            </w:r>
          </w:p>
        </w:tc>
        <w:tc>
          <w:tcPr>
            <w:tcW w:w="3686" w:type="dxa"/>
            <w:shd w:val="clear" w:color="auto" w:fill="auto"/>
          </w:tcPr>
          <w:p w:rsidR="00651CC5" w:rsidRPr="00243ED2" w:rsidRDefault="00651CC5" w:rsidP="0056102D">
            <w:pPr>
              <w:spacing w:before="60"/>
              <w:ind w:left="34"/>
              <w:rPr>
                <w:sz w:val="20"/>
              </w:rPr>
            </w:pPr>
            <w:r w:rsidRPr="00243ED2">
              <w:rPr>
                <w:sz w:val="20"/>
              </w:rPr>
              <w:t>par = paragraph(s)/subparagraph(s)</w:t>
            </w:r>
          </w:p>
        </w:tc>
      </w:tr>
      <w:tr w:rsidR="00651CC5" w:rsidRPr="00243ED2" w:rsidTr="0056102D">
        <w:tc>
          <w:tcPr>
            <w:tcW w:w="4253" w:type="dxa"/>
            <w:shd w:val="clear" w:color="auto" w:fill="auto"/>
          </w:tcPr>
          <w:p w:rsidR="00651CC5" w:rsidRPr="00243ED2" w:rsidRDefault="00651CC5" w:rsidP="0056102D">
            <w:pPr>
              <w:spacing w:before="60"/>
              <w:ind w:left="34"/>
              <w:rPr>
                <w:sz w:val="20"/>
              </w:rPr>
            </w:pPr>
            <w:r w:rsidRPr="00243ED2">
              <w:rPr>
                <w:sz w:val="20"/>
              </w:rPr>
              <w:t>c = clause(s)</w:t>
            </w:r>
          </w:p>
        </w:tc>
        <w:tc>
          <w:tcPr>
            <w:tcW w:w="3686" w:type="dxa"/>
            <w:shd w:val="clear" w:color="auto" w:fill="auto"/>
          </w:tcPr>
          <w:p w:rsidR="00651CC5" w:rsidRPr="00243ED2" w:rsidRDefault="00651CC5" w:rsidP="0056102D">
            <w:pPr>
              <w:ind w:left="34"/>
              <w:rPr>
                <w:sz w:val="20"/>
              </w:rPr>
            </w:pPr>
            <w:r w:rsidRPr="00243ED2">
              <w:rPr>
                <w:sz w:val="20"/>
              </w:rPr>
              <w:t xml:space="preserve">    /sub</w:t>
            </w:r>
            <w:r w:rsidR="00243ED2">
              <w:rPr>
                <w:sz w:val="20"/>
              </w:rPr>
              <w:noBreakHyphen/>
            </w:r>
            <w:r w:rsidRPr="00243ED2">
              <w:rPr>
                <w:sz w:val="20"/>
              </w:rPr>
              <w:t>subparagraph(s)</w:t>
            </w:r>
          </w:p>
        </w:tc>
      </w:tr>
      <w:tr w:rsidR="00651CC5" w:rsidRPr="00243ED2" w:rsidTr="0056102D">
        <w:tc>
          <w:tcPr>
            <w:tcW w:w="4253" w:type="dxa"/>
            <w:shd w:val="clear" w:color="auto" w:fill="auto"/>
          </w:tcPr>
          <w:p w:rsidR="00651CC5" w:rsidRPr="00243ED2" w:rsidRDefault="00651CC5" w:rsidP="0056102D">
            <w:pPr>
              <w:spacing w:before="60"/>
              <w:ind w:left="34"/>
              <w:rPr>
                <w:sz w:val="20"/>
              </w:rPr>
            </w:pPr>
            <w:r w:rsidRPr="00243ED2">
              <w:rPr>
                <w:sz w:val="20"/>
              </w:rPr>
              <w:t>C[x] = Compilation No. x</w:t>
            </w:r>
          </w:p>
        </w:tc>
        <w:tc>
          <w:tcPr>
            <w:tcW w:w="3686" w:type="dxa"/>
            <w:shd w:val="clear" w:color="auto" w:fill="auto"/>
          </w:tcPr>
          <w:p w:rsidR="00651CC5" w:rsidRPr="00243ED2" w:rsidRDefault="00651CC5" w:rsidP="0056102D">
            <w:pPr>
              <w:spacing w:before="60"/>
              <w:ind w:left="34"/>
              <w:rPr>
                <w:sz w:val="20"/>
              </w:rPr>
            </w:pPr>
            <w:r w:rsidRPr="00243ED2">
              <w:rPr>
                <w:sz w:val="20"/>
              </w:rPr>
              <w:t>pres = present</w:t>
            </w:r>
          </w:p>
        </w:tc>
      </w:tr>
      <w:tr w:rsidR="00651CC5" w:rsidRPr="00243ED2" w:rsidTr="0056102D">
        <w:tc>
          <w:tcPr>
            <w:tcW w:w="4253" w:type="dxa"/>
            <w:shd w:val="clear" w:color="auto" w:fill="auto"/>
          </w:tcPr>
          <w:p w:rsidR="00651CC5" w:rsidRPr="00243ED2" w:rsidRDefault="00651CC5" w:rsidP="0056102D">
            <w:pPr>
              <w:spacing w:before="60"/>
              <w:ind w:left="34"/>
              <w:rPr>
                <w:sz w:val="20"/>
              </w:rPr>
            </w:pPr>
            <w:r w:rsidRPr="00243ED2">
              <w:rPr>
                <w:sz w:val="20"/>
              </w:rPr>
              <w:t>Ch = Chapter(s)</w:t>
            </w:r>
          </w:p>
        </w:tc>
        <w:tc>
          <w:tcPr>
            <w:tcW w:w="3686" w:type="dxa"/>
            <w:shd w:val="clear" w:color="auto" w:fill="auto"/>
          </w:tcPr>
          <w:p w:rsidR="00651CC5" w:rsidRPr="00243ED2" w:rsidRDefault="00651CC5" w:rsidP="0056102D">
            <w:pPr>
              <w:spacing w:before="60"/>
              <w:ind w:left="34"/>
              <w:rPr>
                <w:sz w:val="20"/>
              </w:rPr>
            </w:pPr>
            <w:r w:rsidRPr="00243ED2">
              <w:rPr>
                <w:sz w:val="20"/>
              </w:rPr>
              <w:t>prev = previous</w:t>
            </w:r>
          </w:p>
        </w:tc>
      </w:tr>
      <w:tr w:rsidR="00651CC5" w:rsidRPr="00243ED2" w:rsidTr="0056102D">
        <w:tc>
          <w:tcPr>
            <w:tcW w:w="4253" w:type="dxa"/>
            <w:shd w:val="clear" w:color="auto" w:fill="auto"/>
          </w:tcPr>
          <w:p w:rsidR="00651CC5" w:rsidRPr="00243ED2" w:rsidRDefault="00651CC5" w:rsidP="0056102D">
            <w:pPr>
              <w:spacing w:before="60"/>
              <w:ind w:left="34"/>
              <w:rPr>
                <w:sz w:val="20"/>
              </w:rPr>
            </w:pPr>
            <w:r w:rsidRPr="00243ED2">
              <w:rPr>
                <w:sz w:val="20"/>
              </w:rPr>
              <w:t>def = definition(s)</w:t>
            </w:r>
          </w:p>
        </w:tc>
        <w:tc>
          <w:tcPr>
            <w:tcW w:w="3686" w:type="dxa"/>
            <w:shd w:val="clear" w:color="auto" w:fill="auto"/>
          </w:tcPr>
          <w:p w:rsidR="00651CC5" w:rsidRPr="00243ED2" w:rsidRDefault="00651CC5" w:rsidP="0056102D">
            <w:pPr>
              <w:spacing w:before="60"/>
              <w:ind w:left="34"/>
              <w:rPr>
                <w:sz w:val="20"/>
              </w:rPr>
            </w:pPr>
            <w:r w:rsidRPr="00243ED2">
              <w:rPr>
                <w:sz w:val="20"/>
              </w:rPr>
              <w:t>(prev…) = previously</w:t>
            </w:r>
          </w:p>
        </w:tc>
      </w:tr>
      <w:tr w:rsidR="00651CC5" w:rsidRPr="00243ED2" w:rsidTr="0056102D">
        <w:tc>
          <w:tcPr>
            <w:tcW w:w="4253" w:type="dxa"/>
            <w:shd w:val="clear" w:color="auto" w:fill="auto"/>
          </w:tcPr>
          <w:p w:rsidR="00651CC5" w:rsidRPr="00243ED2" w:rsidRDefault="00651CC5" w:rsidP="0056102D">
            <w:pPr>
              <w:spacing w:before="60"/>
              <w:ind w:left="34"/>
              <w:rPr>
                <w:sz w:val="20"/>
              </w:rPr>
            </w:pPr>
            <w:r w:rsidRPr="00243ED2">
              <w:rPr>
                <w:sz w:val="20"/>
              </w:rPr>
              <w:t>Dict = Dictionary</w:t>
            </w:r>
          </w:p>
        </w:tc>
        <w:tc>
          <w:tcPr>
            <w:tcW w:w="3686" w:type="dxa"/>
            <w:shd w:val="clear" w:color="auto" w:fill="auto"/>
          </w:tcPr>
          <w:p w:rsidR="00651CC5" w:rsidRPr="00243ED2" w:rsidRDefault="00651CC5" w:rsidP="0056102D">
            <w:pPr>
              <w:spacing w:before="60"/>
              <w:ind w:left="34"/>
              <w:rPr>
                <w:sz w:val="20"/>
              </w:rPr>
            </w:pPr>
            <w:r w:rsidRPr="00243ED2">
              <w:rPr>
                <w:sz w:val="20"/>
              </w:rPr>
              <w:t>Pt = Part(s)</w:t>
            </w:r>
          </w:p>
        </w:tc>
      </w:tr>
      <w:tr w:rsidR="00651CC5" w:rsidRPr="00243ED2" w:rsidTr="0056102D">
        <w:tc>
          <w:tcPr>
            <w:tcW w:w="4253" w:type="dxa"/>
            <w:shd w:val="clear" w:color="auto" w:fill="auto"/>
          </w:tcPr>
          <w:p w:rsidR="00651CC5" w:rsidRPr="00243ED2" w:rsidRDefault="00651CC5" w:rsidP="0056102D">
            <w:pPr>
              <w:spacing w:before="60"/>
              <w:ind w:left="34"/>
              <w:rPr>
                <w:sz w:val="20"/>
              </w:rPr>
            </w:pPr>
            <w:r w:rsidRPr="00243ED2">
              <w:rPr>
                <w:sz w:val="20"/>
              </w:rPr>
              <w:t>disallowed = disallowed by Parliament</w:t>
            </w:r>
          </w:p>
        </w:tc>
        <w:tc>
          <w:tcPr>
            <w:tcW w:w="3686" w:type="dxa"/>
            <w:shd w:val="clear" w:color="auto" w:fill="auto"/>
          </w:tcPr>
          <w:p w:rsidR="00651CC5" w:rsidRPr="00243ED2" w:rsidRDefault="00651CC5" w:rsidP="0056102D">
            <w:pPr>
              <w:spacing w:before="60"/>
              <w:ind w:left="34"/>
              <w:rPr>
                <w:sz w:val="20"/>
              </w:rPr>
            </w:pPr>
            <w:r w:rsidRPr="00243ED2">
              <w:rPr>
                <w:sz w:val="20"/>
              </w:rPr>
              <w:t>r = regulation(s)/rule(s)</w:t>
            </w:r>
          </w:p>
        </w:tc>
      </w:tr>
      <w:tr w:rsidR="00651CC5" w:rsidRPr="00243ED2" w:rsidTr="0056102D">
        <w:tc>
          <w:tcPr>
            <w:tcW w:w="4253" w:type="dxa"/>
            <w:shd w:val="clear" w:color="auto" w:fill="auto"/>
          </w:tcPr>
          <w:p w:rsidR="00651CC5" w:rsidRPr="00243ED2" w:rsidRDefault="00651CC5" w:rsidP="0056102D">
            <w:pPr>
              <w:spacing w:before="60"/>
              <w:ind w:left="34"/>
              <w:rPr>
                <w:sz w:val="20"/>
              </w:rPr>
            </w:pPr>
            <w:r w:rsidRPr="00243ED2">
              <w:rPr>
                <w:sz w:val="20"/>
              </w:rPr>
              <w:t>Div = Division(s)</w:t>
            </w:r>
          </w:p>
        </w:tc>
        <w:tc>
          <w:tcPr>
            <w:tcW w:w="3686" w:type="dxa"/>
            <w:shd w:val="clear" w:color="auto" w:fill="auto"/>
          </w:tcPr>
          <w:p w:rsidR="00651CC5" w:rsidRPr="00243ED2" w:rsidRDefault="00651CC5" w:rsidP="0056102D">
            <w:pPr>
              <w:spacing w:before="60"/>
              <w:ind w:left="34"/>
              <w:rPr>
                <w:sz w:val="20"/>
              </w:rPr>
            </w:pPr>
            <w:r w:rsidRPr="00243ED2">
              <w:rPr>
                <w:sz w:val="20"/>
              </w:rPr>
              <w:t>Reg = Regulation/Regulations</w:t>
            </w:r>
          </w:p>
        </w:tc>
      </w:tr>
      <w:tr w:rsidR="00651CC5" w:rsidRPr="00243ED2" w:rsidTr="0056102D">
        <w:tc>
          <w:tcPr>
            <w:tcW w:w="4253" w:type="dxa"/>
            <w:shd w:val="clear" w:color="auto" w:fill="auto"/>
          </w:tcPr>
          <w:p w:rsidR="00651CC5" w:rsidRPr="00243ED2" w:rsidRDefault="00651CC5" w:rsidP="0056102D">
            <w:pPr>
              <w:spacing w:before="60"/>
              <w:ind w:left="34"/>
              <w:rPr>
                <w:sz w:val="20"/>
              </w:rPr>
            </w:pPr>
            <w:r w:rsidRPr="00243ED2">
              <w:rPr>
                <w:sz w:val="20"/>
              </w:rPr>
              <w:t>exp = expires/expired or ceases/ceased to have</w:t>
            </w:r>
          </w:p>
        </w:tc>
        <w:tc>
          <w:tcPr>
            <w:tcW w:w="3686" w:type="dxa"/>
            <w:shd w:val="clear" w:color="auto" w:fill="auto"/>
          </w:tcPr>
          <w:p w:rsidR="00651CC5" w:rsidRPr="00243ED2" w:rsidRDefault="00651CC5" w:rsidP="0056102D">
            <w:pPr>
              <w:spacing w:before="60"/>
              <w:ind w:left="34"/>
              <w:rPr>
                <w:sz w:val="20"/>
              </w:rPr>
            </w:pPr>
            <w:r w:rsidRPr="00243ED2">
              <w:rPr>
                <w:sz w:val="20"/>
              </w:rPr>
              <w:t>reloc = relocated</w:t>
            </w:r>
          </w:p>
        </w:tc>
      </w:tr>
      <w:tr w:rsidR="00651CC5" w:rsidRPr="00243ED2" w:rsidTr="0056102D">
        <w:tc>
          <w:tcPr>
            <w:tcW w:w="4253" w:type="dxa"/>
            <w:shd w:val="clear" w:color="auto" w:fill="auto"/>
          </w:tcPr>
          <w:p w:rsidR="00651CC5" w:rsidRPr="00243ED2" w:rsidRDefault="00651CC5" w:rsidP="0056102D">
            <w:pPr>
              <w:ind w:left="34"/>
              <w:rPr>
                <w:sz w:val="20"/>
              </w:rPr>
            </w:pPr>
            <w:r w:rsidRPr="00243ED2">
              <w:rPr>
                <w:sz w:val="20"/>
              </w:rPr>
              <w:t xml:space="preserve">    effect</w:t>
            </w:r>
          </w:p>
        </w:tc>
        <w:tc>
          <w:tcPr>
            <w:tcW w:w="3686" w:type="dxa"/>
            <w:shd w:val="clear" w:color="auto" w:fill="auto"/>
          </w:tcPr>
          <w:p w:rsidR="00651CC5" w:rsidRPr="00243ED2" w:rsidRDefault="00651CC5" w:rsidP="0056102D">
            <w:pPr>
              <w:spacing w:before="60"/>
              <w:ind w:left="34"/>
              <w:rPr>
                <w:sz w:val="20"/>
              </w:rPr>
            </w:pPr>
            <w:r w:rsidRPr="00243ED2">
              <w:rPr>
                <w:sz w:val="20"/>
              </w:rPr>
              <w:t>renum = renumbered</w:t>
            </w:r>
          </w:p>
        </w:tc>
      </w:tr>
      <w:tr w:rsidR="00651CC5" w:rsidRPr="00243ED2" w:rsidTr="0056102D">
        <w:tc>
          <w:tcPr>
            <w:tcW w:w="4253" w:type="dxa"/>
            <w:shd w:val="clear" w:color="auto" w:fill="auto"/>
          </w:tcPr>
          <w:p w:rsidR="00651CC5" w:rsidRPr="00243ED2" w:rsidRDefault="00651CC5" w:rsidP="0056102D">
            <w:pPr>
              <w:spacing w:before="60"/>
              <w:ind w:left="34"/>
              <w:rPr>
                <w:sz w:val="20"/>
              </w:rPr>
            </w:pPr>
            <w:r w:rsidRPr="00243ED2">
              <w:rPr>
                <w:sz w:val="20"/>
              </w:rPr>
              <w:t>F = Federal Register of Legislative Instruments</w:t>
            </w:r>
          </w:p>
        </w:tc>
        <w:tc>
          <w:tcPr>
            <w:tcW w:w="3686" w:type="dxa"/>
            <w:shd w:val="clear" w:color="auto" w:fill="auto"/>
          </w:tcPr>
          <w:p w:rsidR="00651CC5" w:rsidRPr="00243ED2" w:rsidRDefault="00651CC5" w:rsidP="0056102D">
            <w:pPr>
              <w:spacing w:before="60"/>
              <w:ind w:left="34"/>
              <w:rPr>
                <w:sz w:val="20"/>
              </w:rPr>
            </w:pPr>
            <w:r w:rsidRPr="00243ED2">
              <w:rPr>
                <w:sz w:val="20"/>
              </w:rPr>
              <w:t>rep = repealed</w:t>
            </w:r>
          </w:p>
        </w:tc>
      </w:tr>
      <w:tr w:rsidR="00651CC5" w:rsidRPr="00243ED2" w:rsidTr="0056102D">
        <w:tc>
          <w:tcPr>
            <w:tcW w:w="4253" w:type="dxa"/>
            <w:shd w:val="clear" w:color="auto" w:fill="auto"/>
          </w:tcPr>
          <w:p w:rsidR="00651CC5" w:rsidRPr="00243ED2" w:rsidRDefault="00651CC5" w:rsidP="0056102D">
            <w:pPr>
              <w:spacing w:before="60"/>
              <w:ind w:left="34"/>
              <w:rPr>
                <w:sz w:val="20"/>
              </w:rPr>
            </w:pPr>
            <w:r w:rsidRPr="00243ED2">
              <w:rPr>
                <w:sz w:val="20"/>
              </w:rPr>
              <w:t>gaz = gazette</w:t>
            </w:r>
          </w:p>
        </w:tc>
        <w:tc>
          <w:tcPr>
            <w:tcW w:w="3686" w:type="dxa"/>
            <w:shd w:val="clear" w:color="auto" w:fill="auto"/>
          </w:tcPr>
          <w:p w:rsidR="00651CC5" w:rsidRPr="00243ED2" w:rsidRDefault="00651CC5" w:rsidP="0056102D">
            <w:pPr>
              <w:spacing w:before="60"/>
              <w:ind w:left="34"/>
              <w:rPr>
                <w:sz w:val="20"/>
              </w:rPr>
            </w:pPr>
            <w:r w:rsidRPr="00243ED2">
              <w:rPr>
                <w:sz w:val="20"/>
              </w:rPr>
              <w:t>rs = repealed and substituted</w:t>
            </w:r>
          </w:p>
        </w:tc>
      </w:tr>
      <w:tr w:rsidR="00651CC5" w:rsidRPr="00243ED2" w:rsidTr="0056102D">
        <w:tc>
          <w:tcPr>
            <w:tcW w:w="4253" w:type="dxa"/>
            <w:shd w:val="clear" w:color="auto" w:fill="auto"/>
          </w:tcPr>
          <w:p w:rsidR="00651CC5" w:rsidRPr="00243ED2" w:rsidRDefault="00651CC5" w:rsidP="0056102D">
            <w:pPr>
              <w:spacing w:before="60"/>
              <w:ind w:left="34"/>
              <w:rPr>
                <w:sz w:val="20"/>
              </w:rPr>
            </w:pPr>
            <w:r w:rsidRPr="00243ED2">
              <w:rPr>
                <w:sz w:val="20"/>
              </w:rPr>
              <w:t>LI = Legislative Instrument</w:t>
            </w:r>
          </w:p>
        </w:tc>
        <w:tc>
          <w:tcPr>
            <w:tcW w:w="3686" w:type="dxa"/>
            <w:shd w:val="clear" w:color="auto" w:fill="auto"/>
          </w:tcPr>
          <w:p w:rsidR="00651CC5" w:rsidRPr="00243ED2" w:rsidRDefault="00651CC5" w:rsidP="0056102D">
            <w:pPr>
              <w:spacing w:before="60"/>
              <w:ind w:left="34"/>
              <w:rPr>
                <w:sz w:val="20"/>
              </w:rPr>
            </w:pPr>
            <w:r w:rsidRPr="00243ED2">
              <w:rPr>
                <w:sz w:val="20"/>
              </w:rPr>
              <w:t>s = section(s)/subsection(s)</w:t>
            </w:r>
          </w:p>
        </w:tc>
      </w:tr>
      <w:tr w:rsidR="00651CC5" w:rsidRPr="00243ED2" w:rsidTr="0056102D">
        <w:tc>
          <w:tcPr>
            <w:tcW w:w="4253" w:type="dxa"/>
            <w:shd w:val="clear" w:color="auto" w:fill="auto"/>
          </w:tcPr>
          <w:p w:rsidR="00651CC5" w:rsidRPr="00243ED2" w:rsidRDefault="00651CC5" w:rsidP="0056102D">
            <w:pPr>
              <w:spacing w:before="60"/>
              <w:ind w:left="34"/>
              <w:rPr>
                <w:sz w:val="20"/>
              </w:rPr>
            </w:pPr>
            <w:r w:rsidRPr="00243ED2">
              <w:rPr>
                <w:sz w:val="20"/>
              </w:rPr>
              <w:t xml:space="preserve">LIA = </w:t>
            </w:r>
            <w:r w:rsidRPr="00243ED2">
              <w:rPr>
                <w:i/>
                <w:sz w:val="20"/>
              </w:rPr>
              <w:t>Legislative Instruments Act 2003</w:t>
            </w:r>
          </w:p>
        </w:tc>
        <w:tc>
          <w:tcPr>
            <w:tcW w:w="3686" w:type="dxa"/>
            <w:shd w:val="clear" w:color="auto" w:fill="auto"/>
          </w:tcPr>
          <w:p w:rsidR="00651CC5" w:rsidRPr="00243ED2" w:rsidRDefault="00651CC5" w:rsidP="0056102D">
            <w:pPr>
              <w:spacing w:before="60"/>
              <w:ind w:left="34"/>
              <w:rPr>
                <w:sz w:val="20"/>
              </w:rPr>
            </w:pPr>
            <w:r w:rsidRPr="00243ED2">
              <w:rPr>
                <w:sz w:val="20"/>
              </w:rPr>
              <w:t>Sch = Schedule(s)</w:t>
            </w:r>
          </w:p>
        </w:tc>
      </w:tr>
      <w:tr w:rsidR="00651CC5" w:rsidRPr="00243ED2" w:rsidTr="0056102D">
        <w:tc>
          <w:tcPr>
            <w:tcW w:w="4253" w:type="dxa"/>
            <w:shd w:val="clear" w:color="auto" w:fill="auto"/>
          </w:tcPr>
          <w:p w:rsidR="00651CC5" w:rsidRPr="00243ED2" w:rsidRDefault="00651CC5" w:rsidP="0056102D">
            <w:pPr>
              <w:spacing w:before="60"/>
              <w:ind w:left="34"/>
              <w:rPr>
                <w:sz w:val="20"/>
              </w:rPr>
            </w:pPr>
            <w:r w:rsidRPr="00243ED2">
              <w:rPr>
                <w:sz w:val="20"/>
              </w:rPr>
              <w:t>(md) = misdescribed amendment can be given</w:t>
            </w:r>
          </w:p>
        </w:tc>
        <w:tc>
          <w:tcPr>
            <w:tcW w:w="3686" w:type="dxa"/>
            <w:shd w:val="clear" w:color="auto" w:fill="auto"/>
          </w:tcPr>
          <w:p w:rsidR="00651CC5" w:rsidRPr="00243ED2" w:rsidRDefault="00651CC5" w:rsidP="0056102D">
            <w:pPr>
              <w:spacing w:before="60"/>
              <w:ind w:left="34"/>
              <w:rPr>
                <w:sz w:val="20"/>
              </w:rPr>
            </w:pPr>
            <w:r w:rsidRPr="00243ED2">
              <w:rPr>
                <w:sz w:val="20"/>
              </w:rPr>
              <w:t>Sdiv = Subdivision(s)</w:t>
            </w:r>
          </w:p>
        </w:tc>
      </w:tr>
      <w:tr w:rsidR="00651CC5" w:rsidRPr="00243ED2" w:rsidTr="0056102D">
        <w:tc>
          <w:tcPr>
            <w:tcW w:w="4253" w:type="dxa"/>
            <w:shd w:val="clear" w:color="auto" w:fill="auto"/>
          </w:tcPr>
          <w:p w:rsidR="00651CC5" w:rsidRPr="00243ED2" w:rsidRDefault="00651CC5" w:rsidP="0056102D">
            <w:pPr>
              <w:ind w:left="34"/>
              <w:rPr>
                <w:sz w:val="20"/>
              </w:rPr>
            </w:pPr>
            <w:r w:rsidRPr="00243ED2">
              <w:rPr>
                <w:sz w:val="20"/>
              </w:rPr>
              <w:t xml:space="preserve">    effect</w:t>
            </w:r>
          </w:p>
        </w:tc>
        <w:tc>
          <w:tcPr>
            <w:tcW w:w="3686" w:type="dxa"/>
            <w:shd w:val="clear" w:color="auto" w:fill="auto"/>
          </w:tcPr>
          <w:p w:rsidR="00651CC5" w:rsidRPr="00243ED2" w:rsidRDefault="00651CC5" w:rsidP="0056102D">
            <w:pPr>
              <w:spacing w:before="60"/>
              <w:ind w:left="34"/>
              <w:rPr>
                <w:sz w:val="20"/>
              </w:rPr>
            </w:pPr>
            <w:r w:rsidRPr="00243ED2">
              <w:rPr>
                <w:sz w:val="20"/>
              </w:rPr>
              <w:t>SLI = Select Legislative Instrument</w:t>
            </w:r>
          </w:p>
        </w:tc>
      </w:tr>
      <w:tr w:rsidR="00651CC5" w:rsidRPr="00243ED2" w:rsidTr="0056102D">
        <w:tc>
          <w:tcPr>
            <w:tcW w:w="4253" w:type="dxa"/>
            <w:shd w:val="clear" w:color="auto" w:fill="auto"/>
          </w:tcPr>
          <w:p w:rsidR="00651CC5" w:rsidRPr="00243ED2" w:rsidRDefault="00651CC5" w:rsidP="0056102D">
            <w:pPr>
              <w:spacing w:before="60"/>
              <w:ind w:left="34"/>
              <w:rPr>
                <w:sz w:val="20"/>
              </w:rPr>
            </w:pPr>
            <w:r w:rsidRPr="00243ED2">
              <w:rPr>
                <w:sz w:val="20"/>
              </w:rPr>
              <w:t>(md not incorp) = misdescribed amendment</w:t>
            </w:r>
          </w:p>
        </w:tc>
        <w:tc>
          <w:tcPr>
            <w:tcW w:w="3686" w:type="dxa"/>
            <w:shd w:val="clear" w:color="auto" w:fill="auto"/>
          </w:tcPr>
          <w:p w:rsidR="00651CC5" w:rsidRPr="00243ED2" w:rsidRDefault="00651CC5" w:rsidP="0056102D">
            <w:pPr>
              <w:spacing w:before="60"/>
              <w:ind w:left="34"/>
              <w:rPr>
                <w:sz w:val="20"/>
              </w:rPr>
            </w:pPr>
            <w:r w:rsidRPr="00243ED2">
              <w:rPr>
                <w:sz w:val="20"/>
              </w:rPr>
              <w:t>SR = Statutory Rules</w:t>
            </w:r>
          </w:p>
        </w:tc>
      </w:tr>
      <w:tr w:rsidR="00651CC5" w:rsidRPr="00243ED2" w:rsidTr="0056102D">
        <w:tc>
          <w:tcPr>
            <w:tcW w:w="4253" w:type="dxa"/>
            <w:shd w:val="clear" w:color="auto" w:fill="auto"/>
          </w:tcPr>
          <w:p w:rsidR="00651CC5" w:rsidRPr="00243ED2" w:rsidRDefault="00651CC5" w:rsidP="0056102D">
            <w:pPr>
              <w:ind w:left="34"/>
              <w:rPr>
                <w:sz w:val="20"/>
              </w:rPr>
            </w:pPr>
            <w:r w:rsidRPr="00243ED2">
              <w:rPr>
                <w:sz w:val="20"/>
              </w:rPr>
              <w:t xml:space="preserve">    cannot be given effect</w:t>
            </w:r>
          </w:p>
        </w:tc>
        <w:tc>
          <w:tcPr>
            <w:tcW w:w="3686" w:type="dxa"/>
            <w:shd w:val="clear" w:color="auto" w:fill="auto"/>
          </w:tcPr>
          <w:p w:rsidR="00651CC5" w:rsidRPr="00243ED2" w:rsidRDefault="00651CC5" w:rsidP="0056102D">
            <w:pPr>
              <w:spacing w:before="60"/>
              <w:ind w:left="34"/>
              <w:rPr>
                <w:sz w:val="20"/>
              </w:rPr>
            </w:pPr>
            <w:r w:rsidRPr="00243ED2">
              <w:rPr>
                <w:sz w:val="20"/>
              </w:rPr>
              <w:t>Sub</w:t>
            </w:r>
            <w:r w:rsidR="00243ED2">
              <w:rPr>
                <w:sz w:val="20"/>
              </w:rPr>
              <w:noBreakHyphen/>
            </w:r>
            <w:r w:rsidRPr="00243ED2">
              <w:rPr>
                <w:sz w:val="20"/>
              </w:rPr>
              <w:t>Ch = Sub</w:t>
            </w:r>
            <w:r w:rsidR="00243ED2">
              <w:rPr>
                <w:sz w:val="20"/>
              </w:rPr>
              <w:noBreakHyphen/>
            </w:r>
            <w:r w:rsidRPr="00243ED2">
              <w:rPr>
                <w:sz w:val="20"/>
              </w:rPr>
              <w:t>Chapter(s)</w:t>
            </w:r>
          </w:p>
        </w:tc>
      </w:tr>
      <w:tr w:rsidR="00651CC5" w:rsidRPr="00243ED2" w:rsidTr="0056102D">
        <w:tc>
          <w:tcPr>
            <w:tcW w:w="4253" w:type="dxa"/>
            <w:shd w:val="clear" w:color="auto" w:fill="auto"/>
          </w:tcPr>
          <w:p w:rsidR="00651CC5" w:rsidRPr="00243ED2" w:rsidRDefault="00651CC5" w:rsidP="0056102D">
            <w:pPr>
              <w:spacing w:before="60"/>
              <w:ind w:left="34"/>
              <w:rPr>
                <w:sz w:val="20"/>
              </w:rPr>
            </w:pPr>
            <w:r w:rsidRPr="00243ED2">
              <w:rPr>
                <w:sz w:val="20"/>
              </w:rPr>
              <w:t>mod = modified/modification</w:t>
            </w:r>
          </w:p>
        </w:tc>
        <w:tc>
          <w:tcPr>
            <w:tcW w:w="3686" w:type="dxa"/>
            <w:shd w:val="clear" w:color="auto" w:fill="auto"/>
          </w:tcPr>
          <w:p w:rsidR="00651CC5" w:rsidRPr="00243ED2" w:rsidRDefault="00651CC5" w:rsidP="0056102D">
            <w:pPr>
              <w:spacing w:before="60"/>
              <w:ind w:left="34"/>
              <w:rPr>
                <w:sz w:val="20"/>
              </w:rPr>
            </w:pPr>
            <w:r w:rsidRPr="00243ED2">
              <w:rPr>
                <w:sz w:val="20"/>
              </w:rPr>
              <w:t>SubPt = Subpart(s)</w:t>
            </w:r>
          </w:p>
        </w:tc>
      </w:tr>
      <w:tr w:rsidR="00651CC5" w:rsidRPr="00243ED2" w:rsidTr="0056102D">
        <w:tc>
          <w:tcPr>
            <w:tcW w:w="4253" w:type="dxa"/>
            <w:shd w:val="clear" w:color="auto" w:fill="auto"/>
          </w:tcPr>
          <w:p w:rsidR="00651CC5" w:rsidRPr="00243ED2" w:rsidRDefault="00651CC5" w:rsidP="0056102D">
            <w:pPr>
              <w:spacing w:before="60"/>
              <w:ind w:left="34"/>
              <w:rPr>
                <w:sz w:val="20"/>
              </w:rPr>
            </w:pPr>
            <w:r w:rsidRPr="00243ED2">
              <w:rPr>
                <w:sz w:val="20"/>
              </w:rPr>
              <w:t>No. = Number(s)</w:t>
            </w:r>
          </w:p>
        </w:tc>
        <w:tc>
          <w:tcPr>
            <w:tcW w:w="3686" w:type="dxa"/>
            <w:shd w:val="clear" w:color="auto" w:fill="auto"/>
          </w:tcPr>
          <w:p w:rsidR="00651CC5" w:rsidRPr="00243ED2" w:rsidRDefault="00651CC5" w:rsidP="0056102D">
            <w:pPr>
              <w:spacing w:before="60"/>
              <w:ind w:left="34"/>
              <w:rPr>
                <w:sz w:val="20"/>
              </w:rPr>
            </w:pPr>
            <w:r w:rsidRPr="00243ED2">
              <w:rPr>
                <w:sz w:val="20"/>
                <w:u w:val="single"/>
              </w:rPr>
              <w:t>underlining</w:t>
            </w:r>
            <w:r w:rsidRPr="00243ED2">
              <w:rPr>
                <w:sz w:val="20"/>
              </w:rPr>
              <w:t xml:space="preserve"> = whole or part not</w:t>
            </w:r>
          </w:p>
        </w:tc>
      </w:tr>
      <w:tr w:rsidR="00651CC5" w:rsidRPr="00243ED2" w:rsidTr="0056102D">
        <w:tc>
          <w:tcPr>
            <w:tcW w:w="4253" w:type="dxa"/>
            <w:shd w:val="clear" w:color="auto" w:fill="auto"/>
          </w:tcPr>
          <w:p w:rsidR="00651CC5" w:rsidRPr="00243ED2" w:rsidRDefault="00651CC5" w:rsidP="0056102D">
            <w:pPr>
              <w:spacing w:before="60"/>
              <w:ind w:left="34"/>
              <w:rPr>
                <w:sz w:val="20"/>
              </w:rPr>
            </w:pPr>
          </w:p>
        </w:tc>
        <w:tc>
          <w:tcPr>
            <w:tcW w:w="3686" w:type="dxa"/>
            <w:shd w:val="clear" w:color="auto" w:fill="auto"/>
          </w:tcPr>
          <w:p w:rsidR="00651CC5" w:rsidRPr="00243ED2" w:rsidRDefault="00651CC5" w:rsidP="0056102D">
            <w:pPr>
              <w:ind w:left="34"/>
              <w:rPr>
                <w:sz w:val="20"/>
              </w:rPr>
            </w:pPr>
            <w:r w:rsidRPr="00243ED2">
              <w:rPr>
                <w:sz w:val="20"/>
              </w:rPr>
              <w:t xml:space="preserve">    commenced or to be commenced</w:t>
            </w:r>
          </w:p>
        </w:tc>
      </w:tr>
    </w:tbl>
    <w:p w:rsidR="00651CC5" w:rsidRPr="00243ED2" w:rsidRDefault="00651CC5" w:rsidP="00317FDA">
      <w:pPr>
        <w:pStyle w:val="Tabletext"/>
      </w:pPr>
    </w:p>
    <w:p w:rsidR="00331BA8" w:rsidRPr="00243ED2" w:rsidRDefault="00331BA8" w:rsidP="00651CC5">
      <w:pPr>
        <w:pStyle w:val="ENotesHeading2"/>
        <w:pageBreakBefore/>
        <w:outlineLvl w:val="9"/>
      </w:pPr>
      <w:bookmarkStart w:id="57" w:name="_Toc429131046"/>
      <w:r w:rsidRPr="00243ED2">
        <w:lastRenderedPageBreak/>
        <w:t xml:space="preserve">Endnote </w:t>
      </w:r>
      <w:r w:rsidR="00651CC5" w:rsidRPr="00243ED2">
        <w:t>3</w:t>
      </w:r>
      <w:r w:rsidRPr="00243ED2">
        <w:t>—Legislation history</w:t>
      </w:r>
      <w:bookmarkEnd w:id="57"/>
    </w:p>
    <w:tbl>
      <w:tblPr>
        <w:tblW w:w="722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1806"/>
        <w:gridCol w:w="1806"/>
      </w:tblGrid>
      <w:tr w:rsidR="00331BA8" w:rsidRPr="00243ED2" w:rsidTr="00331BA8">
        <w:trPr>
          <w:cantSplit/>
          <w:tblHeader/>
        </w:trPr>
        <w:tc>
          <w:tcPr>
            <w:tcW w:w="1806" w:type="dxa"/>
            <w:tcBorders>
              <w:top w:val="single" w:sz="12" w:space="0" w:color="auto"/>
              <w:bottom w:val="single" w:sz="12" w:space="0" w:color="auto"/>
            </w:tcBorders>
            <w:shd w:val="clear" w:color="auto" w:fill="auto"/>
          </w:tcPr>
          <w:p w:rsidR="00331BA8" w:rsidRPr="00243ED2" w:rsidRDefault="00331BA8" w:rsidP="000C5962">
            <w:pPr>
              <w:pStyle w:val="ENoteTableHeading"/>
            </w:pPr>
            <w:r w:rsidRPr="00243ED2">
              <w:t>Number and year</w:t>
            </w:r>
          </w:p>
        </w:tc>
        <w:tc>
          <w:tcPr>
            <w:tcW w:w="1806" w:type="dxa"/>
            <w:tcBorders>
              <w:top w:val="single" w:sz="12" w:space="0" w:color="auto"/>
              <w:bottom w:val="single" w:sz="12" w:space="0" w:color="auto"/>
            </w:tcBorders>
            <w:shd w:val="clear" w:color="auto" w:fill="auto"/>
          </w:tcPr>
          <w:p w:rsidR="00331BA8" w:rsidRPr="00243ED2" w:rsidRDefault="00331BA8" w:rsidP="000C5962">
            <w:pPr>
              <w:pStyle w:val="ENoteTableHeading"/>
            </w:pPr>
            <w:r w:rsidRPr="00243ED2">
              <w:t>FRLI registration or gazettal</w:t>
            </w:r>
          </w:p>
        </w:tc>
        <w:tc>
          <w:tcPr>
            <w:tcW w:w="1806" w:type="dxa"/>
            <w:tcBorders>
              <w:top w:val="single" w:sz="12" w:space="0" w:color="auto"/>
              <w:bottom w:val="single" w:sz="12" w:space="0" w:color="auto"/>
            </w:tcBorders>
            <w:shd w:val="clear" w:color="auto" w:fill="auto"/>
          </w:tcPr>
          <w:p w:rsidR="00331BA8" w:rsidRPr="00243ED2" w:rsidRDefault="00331BA8" w:rsidP="00EB0D1D">
            <w:pPr>
              <w:pStyle w:val="ENoteTableHeading"/>
            </w:pPr>
            <w:r w:rsidRPr="00243ED2">
              <w:t>Commencement</w:t>
            </w:r>
          </w:p>
        </w:tc>
        <w:tc>
          <w:tcPr>
            <w:tcW w:w="1806" w:type="dxa"/>
            <w:tcBorders>
              <w:top w:val="single" w:sz="12" w:space="0" w:color="auto"/>
              <w:bottom w:val="single" w:sz="12" w:space="0" w:color="auto"/>
            </w:tcBorders>
            <w:shd w:val="clear" w:color="auto" w:fill="auto"/>
          </w:tcPr>
          <w:p w:rsidR="00331BA8" w:rsidRPr="00243ED2" w:rsidRDefault="00331BA8" w:rsidP="000C5962">
            <w:pPr>
              <w:pStyle w:val="ENoteTableHeading"/>
            </w:pPr>
            <w:r w:rsidRPr="00243ED2">
              <w:t>Application, saving and transitional provisions</w:t>
            </w:r>
          </w:p>
        </w:tc>
      </w:tr>
      <w:tr w:rsidR="00331BA8" w:rsidRPr="00243ED2" w:rsidTr="00331BA8">
        <w:trPr>
          <w:cantSplit/>
        </w:trPr>
        <w:tc>
          <w:tcPr>
            <w:tcW w:w="1806" w:type="dxa"/>
            <w:tcBorders>
              <w:top w:val="single" w:sz="12" w:space="0" w:color="auto"/>
              <w:bottom w:val="single" w:sz="4" w:space="0" w:color="auto"/>
            </w:tcBorders>
            <w:shd w:val="clear" w:color="auto" w:fill="auto"/>
          </w:tcPr>
          <w:p w:rsidR="00331BA8" w:rsidRPr="00243ED2" w:rsidRDefault="00331BA8" w:rsidP="00331BA8">
            <w:pPr>
              <w:pStyle w:val="ENoteTableText"/>
            </w:pPr>
            <w:r w:rsidRPr="00243ED2">
              <w:t>2001 No.</w:t>
            </w:r>
            <w:r w:rsidR="00243ED2">
              <w:t> </w:t>
            </w:r>
            <w:r w:rsidRPr="00243ED2">
              <w:t>65</w:t>
            </w:r>
          </w:p>
        </w:tc>
        <w:tc>
          <w:tcPr>
            <w:tcW w:w="1806" w:type="dxa"/>
            <w:tcBorders>
              <w:top w:val="single" w:sz="12" w:space="0" w:color="auto"/>
              <w:bottom w:val="single" w:sz="4" w:space="0" w:color="auto"/>
            </w:tcBorders>
            <w:shd w:val="clear" w:color="auto" w:fill="auto"/>
          </w:tcPr>
          <w:p w:rsidR="00331BA8" w:rsidRPr="00243ED2" w:rsidRDefault="00331BA8" w:rsidP="00331BA8">
            <w:pPr>
              <w:pStyle w:val="ENoteTableText"/>
            </w:pPr>
            <w:r w:rsidRPr="00243ED2">
              <w:t>12 Apr 2001</w:t>
            </w:r>
          </w:p>
        </w:tc>
        <w:tc>
          <w:tcPr>
            <w:tcW w:w="1806" w:type="dxa"/>
            <w:tcBorders>
              <w:top w:val="single" w:sz="12" w:space="0" w:color="auto"/>
              <w:bottom w:val="single" w:sz="4" w:space="0" w:color="auto"/>
            </w:tcBorders>
            <w:shd w:val="clear" w:color="auto" w:fill="auto"/>
          </w:tcPr>
          <w:p w:rsidR="00331BA8" w:rsidRPr="00243ED2" w:rsidRDefault="00331BA8" w:rsidP="00331BA8">
            <w:pPr>
              <w:pStyle w:val="ENoteTableText"/>
            </w:pPr>
            <w:r w:rsidRPr="00243ED2">
              <w:t>12 Apr 2001</w:t>
            </w:r>
            <w:r w:rsidR="00EB0D1D" w:rsidRPr="00243ED2">
              <w:t xml:space="preserve"> (r 1.2)</w:t>
            </w:r>
          </w:p>
        </w:tc>
        <w:tc>
          <w:tcPr>
            <w:tcW w:w="1806" w:type="dxa"/>
            <w:tcBorders>
              <w:top w:val="single" w:sz="12" w:space="0" w:color="auto"/>
              <w:bottom w:val="single" w:sz="4" w:space="0" w:color="auto"/>
            </w:tcBorders>
            <w:shd w:val="clear" w:color="auto" w:fill="auto"/>
          </w:tcPr>
          <w:p w:rsidR="00331BA8" w:rsidRPr="00243ED2" w:rsidRDefault="00331BA8" w:rsidP="00331BA8">
            <w:pPr>
              <w:pStyle w:val="ENoteTableText"/>
            </w:pPr>
          </w:p>
        </w:tc>
      </w:tr>
      <w:tr w:rsidR="00331BA8" w:rsidRPr="00243ED2" w:rsidTr="00331BA8">
        <w:trPr>
          <w:cantSplit/>
        </w:trPr>
        <w:tc>
          <w:tcPr>
            <w:tcW w:w="1806" w:type="dxa"/>
            <w:shd w:val="clear" w:color="auto" w:fill="auto"/>
          </w:tcPr>
          <w:p w:rsidR="00331BA8" w:rsidRPr="00243ED2" w:rsidRDefault="00331BA8" w:rsidP="00331BA8">
            <w:pPr>
              <w:pStyle w:val="ENoteTableText"/>
            </w:pPr>
            <w:r w:rsidRPr="00243ED2">
              <w:t>2001 No.</w:t>
            </w:r>
            <w:r w:rsidR="00243ED2">
              <w:t> </w:t>
            </w:r>
            <w:r w:rsidRPr="00243ED2">
              <w:t>338</w:t>
            </w:r>
          </w:p>
        </w:tc>
        <w:tc>
          <w:tcPr>
            <w:tcW w:w="1806" w:type="dxa"/>
            <w:shd w:val="clear" w:color="auto" w:fill="auto"/>
          </w:tcPr>
          <w:p w:rsidR="00331BA8" w:rsidRPr="00243ED2" w:rsidRDefault="00331BA8" w:rsidP="00331BA8">
            <w:pPr>
              <w:pStyle w:val="ENoteTableText"/>
            </w:pPr>
            <w:r w:rsidRPr="00243ED2">
              <w:t>21 Dec 2001</w:t>
            </w:r>
          </w:p>
        </w:tc>
        <w:tc>
          <w:tcPr>
            <w:tcW w:w="1806" w:type="dxa"/>
            <w:shd w:val="clear" w:color="auto" w:fill="auto"/>
          </w:tcPr>
          <w:p w:rsidR="00331BA8" w:rsidRPr="00243ED2" w:rsidRDefault="00331BA8" w:rsidP="00331BA8">
            <w:pPr>
              <w:pStyle w:val="ENoteTableText"/>
            </w:pPr>
            <w:r w:rsidRPr="00243ED2">
              <w:t>21 Dec 2001</w:t>
            </w:r>
            <w:r w:rsidR="00DF1077" w:rsidRPr="00243ED2">
              <w:t xml:space="preserve"> (r 2)</w:t>
            </w:r>
          </w:p>
        </w:tc>
        <w:tc>
          <w:tcPr>
            <w:tcW w:w="1806" w:type="dxa"/>
            <w:shd w:val="clear" w:color="auto" w:fill="auto"/>
          </w:tcPr>
          <w:p w:rsidR="00331BA8" w:rsidRPr="00243ED2" w:rsidRDefault="00331BA8" w:rsidP="00331BA8">
            <w:pPr>
              <w:pStyle w:val="ENoteTableText"/>
            </w:pPr>
            <w:r w:rsidRPr="00243ED2">
              <w:t>—</w:t>
            </w:r>
          </w:p>
        </w:tc>
      </w:tr>
      <w:tr w:rsidR="00331BA8" w:rsidRPr="00243ED2" w:rsidTr="00331BA8">
        <w:trPr>
          <w:cantSplit/>
        </w:trPr>
        <w:tc>
          <w:tcPr>
            <w:tcW w:w="1806" w:type="dxa"/>
            <w:shd w:val="clear" w:color="auto" w:fill="auto"/>
          </w:tcPr>
          <w:p w:rsidR="00331BA8" w:rsidRPr="00243ED2" w:rsidRDefault="00331BA8" w:rsidP="00331BA8">
            <w:pPr>
              <w:pStyle w:val="ENoteTableText"/>
            </w:pPr>
            <w:r w:rsidRPr="00243ED2">
              <w:t>2002 No.</w:t>
            </w:r>
            <w:r w:rsidR="00243ED2">
              <w:t> </w:t>
            </w:r>
            <w:r w:rsidRPr="00243ED2">
              <w:t>99</w:t>
            </w:r>
          </w:p>
        </w:tc>
        <w:tc>
          <w:tcPr>
            <w:tcW w:w="1806" w:type="dxa"/>
            <w:shd w:val="clear" w:color="auto" w:fill="auto"/>
          </w:tcPr>
          <w:p w:rsidR="00331BA8" w:rsidRPr="00243ED2" w:rsidRDefault="00331BA8" w:rsidP="00331BA8">
            <w:pPr>
              <w:pStyle w:val="ENoteTableText"/>
            </w:pPr>
            <w:r w:rsidRPr="00243ED2">
              <w:t>23</w:t>
            </w:r>
            <w:r w:rsidR="00243ED2">
              <w:t> </w:t>
            </w:r>
            <w:r w:rsidRPr="00243ED2">
              <w:t>May 2002</w:t>
            </w:r>
          </w:p>
        </w:tc>
        <w:tc>
          <w:tcPr>
            <w:tcW w:w="1806" w:type="dxa"/>
            <w:shd w:val="clear" w:color="auto" w:fill="auto"/>
          </w:tcPr>
          <w:p w:rsidR="00331BA8" w:rsidRPr="00243ED2" w:rsidRDefault="00331BA8" w:rsidP="00331BA8">
            <w:pPr>
              <w:pStyle w:val="ENoteTableText"/>
            </w:pPr>
            <w:r w:rsidRPr="00243ED2">
              <w:t>23</w:t>
            </w:r>
            <w:r w:rsidR="00243ED2">
              <w:t> </w:t>
            </w:r>
            <w:r w:rsidRPr="00243ED2">
              <w:t>May 2002</w:t>
            </w:r>
            <w:r w:rsidR="00DF1077" w:rsidRPr="00243ED2">
              <w:t xml:space="preserve"> (r 2)</w:t>
            </w:r>
          </w:p>
        </w:tc>
        <w:tc>
          <w:tcPr>
            <w:tcW w:w="1806" w:type="dxa"/>
            <w:shd w:val="clear" w:color="auto" w:fill="auto"/>
          </w:tcPr>
          <w:p w:rsidR="00331BA8" w:rsidRPr="00243ED2" w:rsidRDefault="00331BA8" w:rsidP="00331BA8">
            <w:pPr>
              <w:pStyle w:val="ENoteTableText"/>
            </w:pPr>
            <w:r w:rsidRPr="00243ED2">
              <w:t>—</w:t>
            </w:r>
          </w:p>
        </w:tc>
      </w:tr>
      <w:tr w:rsidR="00331BA8" w:rsidRPr="00243ED2" w:rsidTr="00331BA8">
        <w:trPr>
          <w:cantSplit/>
        </w:trPr>
        <w:tc>
          <w:tcPr>
            <w:tcW w:w="1806" w:type="dxa"/>
            <w:shd w:val="clear" w:color="auto" w:fill="auto"/>
          </w:tcPr>
          <w:p w:rsidR="00331BA8" w:rsidRPr="00243ED2" w:rsidRDefault="00331BA8" w:rsidP="00331BA8">
            <w:pPr>
              <w:pStyle w:val="ENoteTableText"/>
            </w:pPr>
            <w:r w:rsidRPr="00243ED2">
              <w:t>2002 No.</w:t>
            </w:r>
            <w:r w:rsidR="00243ED2">
              <w:t> </w:t>
            </w:r>
            <w:r w:rsidRPr="00243ED2">
              <w:t>203</w:t>
            </w:r>
          </w:p>
        </w:tc>
        <w:tc>
          <w:tcPr>
            <w:tcW w:w="1806" w:type="dxa"/>
            <w:shd w:val="clear" w:color="auto" w:fill="auto"/>
          </w:tcPr>
          <w:p w:rsidR="00331BA8" w:rsidRPr="00243ED2" w:rsidRDefault="00331BA8" w:rsidP="00331BA8">
            <w:pPr>
              <w:pStyle w:val="ENoteTableText"/>
            </w:pPr>
            <w:r w:rsidRPr="00243ED2">
              <w:t>6 Sept 2002</w:t>
            </w:r>
          </w:p>
        </w:tc>
        <w:tc>
          <w:tcPr>
            <w:tcW w:w="1806" w:type="dxa"/>
            <w:shd w:val="clear" w:color="auto" w:fill="auto"/>
          </w:tcPr>
          <w:p w:rsidR="00331BA8" w:rsidRPr="00243ED2" w:rsidRDefault="00331BA8" w:rsidP="00331BA8">
            <w:pPr>
              <w:pStyle w:val="ENoteTableText"/>
            </w:pPr>
            <w:r w:rsidRPr="00243ED2">
              <w:t>6 Sept 2002</w:t>
            </w:r>
            <w:r w:rsidR="00BF2E84" w:rsidRPr="00243ED2">
              <w:t xml:space="preserve"> (r 2)</w:t>
            </w:r>
          </w:p>
        </w:tc>
        <w:tc>
          <w:tcPr>
            <w:tcW w:w="1806" w:type="dxa"/>
            <w:shd w:val="clear" w:color="auto" w:fill="auto"/>
          </w:tcPr>
          <w:p w:rsidR="00331BA8" w:rsidRPr="00243ED2" w:rsidRDefault="00331BA8" w:rsidP="00331BA8">
            <w:pPr>
              <w:pStyle w:val="ENoteTableText"/>
            </w:pPr>
            <w:r w:rsidRPr="00243ED2">
              <w:t>—</w:t>
            </w:r>
          </w:p>
        </w:tc>
      </w:tr>
      <w:tr w:rsidR="00331BA8" w:rsidRPr="00243ED2" w:rsidTr="00331BA8">
        <w:trPr>
          <w:cantSplit/>
        </w:trPr>
        <w:tc>
          <w:tcPr>
            <w:tcW w:w="1806" w:type="dxa"/>
            <w:shd w:val="clear" w:color="auto" w:fill="auto"/>
          </w:tcPr>
          <w:p w:rsidR="00331BA8" w:rsidRPr="00243ED2" w:rsidRDefault="00331BA8" w:rsidP="00331BA8">
            <w:pPr>
              <w:pStyle w:val="ENoteTableText"/>
            </w:pPr>
            <w:r w:rsidRPr="00243ED2">
              <w:t>2002 No.</w:t>
            </w:r>
            <w:r w:rsidR="00243ED2">
              <w:t> </w:t>
            </w:r>
            <w:r w:rsidRPr="00243ED2">
              <w:t>297</w:t>
            </w:r>
          </w:p>
        </w:tc>
        <w:tc>
          <w:tcPr>
            <w:tcW w:w="1806" w:type="dxa"/>
            <w:shd w:val="clear" w:color="auto" w:fill="auto"/>
          </w:tcPr>
          <w:p w:rsidR="00331BA8" w:rsidRPr="00243ED2" w:rsidRDefault="00331BA8" w:rsidP="00331BA8">
            <w:pPr>
              <w:pStyle w:val="ENoteTableText"/>
            </w:pPr>
            <w:r w:rsidRPr="00243ED2">
              <w:t>4 Dec 2002</w:t>
            </w:r>
          </w:p>
        </w:tc>
        <w:tc>
          <w:tcPr>
            <w:tcW w:w="1806" w:type="dxa"/>
            <w:shd w:val="clear" w:color="auto" w:fill="auto"/>
          </w:tcPr>
          <w:p w:rsidR="00331BA8" w:rsidRPr="00243ED2" w:rsidRDefault="00331BA8" w:rsidP="00331BA8">
            <w:pPr>
              <w:pStyle w:val="ENoteTableText"/>
            </w:pPr>
            <w:r w:rsidRPr="00243ED2">
              <w:t>4 Dec 2002</w:t>
            </w:r>
            <w:r w:rsidR="00BF2E84" w:rsidRPr="00243ED2">
              <w:t xml:space="preserve"> (r 2)</w:t>
            </w:r>
          </w:p>
        </w:tc>
        <w:tc>
          <w:tcPr>
            <w:tcW w:w="1806" w:type="dxa"/>
            <w:shd w:val="clear" w:color="auto" w:fill="auto"/>
          </w:tcPr>
          <w:p w:rsidR="00331BA8" w:rsidRPr="00243ED2" w:rsidRDefault="00331BA8" w:rsidP="00331BA8">
            <w:pPr>
              <w:pStyle w:val="ENoteTableText"/>
            </w:pPr>
            <w:r w:rsidRPr="00243ED2">
              <w:t>—</w:t>
            </w:r>
          </w:p>
        </w:tc>
      </w:tr>
      <w:tr w:rsidR="00331BA8" w:rsidRPr="00243ED2" w:rsidTr="00331BA8">
        <w:trPr>
          <w:cantSplit/>
        </w:trPr>
        <w:tc>
          <w:tcPr>
            <w:tcW w:w="1806" w:type="dxa"/>
            <w:shd w:val="clear" w:color="auto" w:fill="auto"/>
          </w:tcPr>
          <w:p w:rsidR="00331BA8" w:rsidRPr="00243ED2" w:rsidRDefault="00331BA8" w:rsidP="00331BA8">
            <w:pPr>
              <w:pStyle w:val="ENoteTableText"/>
            </w:pPr>
            <w:r w:rsidRPr="00243ED2">
              <w:t>2003 No.</w:t>
            </w:r>
            <w:r w:rsidR="00243ED2">
              <w:t> </w:t>
            </w:r>
            <w:r w:rsidRPr="00243ED2">
              <w:t>346</w:t>
            </w:r>
          </w:p>
        </w:tc>
        <w:tc>
          <w:tcPr>
            <w:tcW w:w="1806" w:type="dxa"/>
            <w:shd w:val="clear" w:color="auto" w:fill="auto"/>
          </w:tcPr>
          <w:p w:rsidR="00331BA8" w:rsidRPr="00243ED2" w:rsidRDefault="00331BA8" w:rsidP="00331BA8">
            <w:pPr>
              <w:pStyle w:val="ENoteTableText"/>
            </w:pPr>
            <w:r w:rsidRPr="00243ED2">
              <w:t>23 Dec 2003</w:t>
            </w:r>
          </w:p>
        </w:tc>
        <w:tc>
          <w:tcPr>
            <w:tcW w:w="1806" w:type="dxa"/>
            <w:shd w:val="clear" w:color="auto" w:fill="auto"/>
          </w:tcPr>
          <w:p w:rsidR="00331BA8" w:rsidRPr="00243ED2" w:rsidRDefault="00331BA8" w:rsidP="00331BA8">
            <w:pPr>
              <w:pStyle w:val="ENoteTableText"/>
            </w:pPr>
            <w:r w:rsidRPr="00243ED2">
              <w:t>23 Dec 2003</w:t>
            </w:r>
            <w:r w:rsidR="00DA1DC0" w:rsidRPr="00243ED2">
              <w:t xml:space="preserve"> (r 2)</w:t>
            </w:r>
          </w:p>
        </w:tc>
        <w:tc>
          <w:tcPr>
            <w:tcW w:w="1806" w:type="dxa"/>
            <w:shd w:val="clear" w:color="auto" w:fill="auto"/>
          </w:tcPr>
          <w:p w:rsidR="00331BA8" w:rsidRPr="00243ED2" w:rsidRDefault="00331BA8" w:rsidP="00331BA8">
            <w:pPr>
              <w:pStyle w:val="ENoteTableText"/>
            </w:pPr>
            <w:r w:rsidRPr="00243ED2">
              <w:t>—</w:t>
            </w:r>
          </w:p>
        </w:tc>
      </w:tr>
      <w:tr w:rsidR="00331BA8" w:rsidRPr="00243ED2" w:rsidTr="00331BA8">
        <w:trPr>
          <w:cantSplit/>
        </w:trPr>
        <w:tc>
          <w:tcPr>
            <w:tcW w:w="1806" w:type="dxa"/>
            <w:shd w:val="clear" w:color="auto" w:fill="auto"/>
          </w:tcPr>
          <w:p w:rsidR="00331BA8" w:rsidRPr="00243ED2" w:rsidRDefault="00331BA8" w:rsidP="00331BA8">
            <w:pPr>
              <w:pStyle w:val="ENoteTableText"/>
            </w:pPr>
            <w:r w:rsidRPr="00243ED2">
              <w:t>2004 No.</w:t>
            </w:r>
            <w:r w:rsidR="00243ED2">
              <w:t> </w:t>
            </w:r>
            <w:r w:rsidRPr="00243ED2">
              <w:t>59</w:t>
            </w:r>
          </w:p>
        </w:tc>
        <w:tc>
          <w:tcPr>
            <w:tcW w:w="1806" w:type="dxa"/>
            <w:shd w:val="clear" w:color="auto" w:fill="auto"/>
          </w:tcPr>
          <w:p w:rsidR="00331BA8" w:rsidRPr="00243ED2" w:rsidRDefault="00331BA8" w:rsidP="00331BA8">
            <w:pPr>
              <w:pStyle w:val="ENoteTableText"/>
            </w:pPr>
            <w:r w:rsidRPr="00243ED2">
              <w:t>13 Apr 2004</w:t>
            </w:r>
          </w:p>
        </w:tc>
        <w:tc>
          <w:tcPr>
            <w:tcW w:w="1806" w:type="dxa"/>
            <w:shd w:val="clear" w:color="auto" w:fill="auto"/>
          </w:tcPr>
          <w:p w:rsidR="00331BA8" w:rsidRPr="00243ED2" w:rsidRDefault="00331BA8" w:rsidP="00331BA8">
            <w:pPr>
              <w:pStyle w:val="ENoteTableText"/>
            </w:pPr>
            <w:r w:rsidRPr="00243ED2">
              <w:t>13 Apr 2004</w:t>
            </w:r>
            <w:r w:rsidR="00DA1DC0" w:rsidRPr="00243ED2">
              <w:t xml:space="preserve"> (r 2)</w:t>
            </w:r>
          </w:p>
        </w:tc>
        <w:tc>
          <w:tcPr>
            <w:tcW w:w="1806" w:type="dxa"/>
            <w:shd w:val="clear" w:color="auto" w:fill="auto"/>
          </w:tcPr>
          <w:p w:rsidR="00331BA8" w:rsidRPr="00243ED2" w:rsidRDefault="00331BA8" w:rsidP="00331BA8">
            <w:pPr>
              <w:pStyle w:val="ENoteTableText"/>
            </w:pPr>
            <w:r w:rsidRPr="00243ED2">
              <w:t>—</w:t>
            </w:r>
          </w:p>
        </w:tc>
      </w:tr>
      <w:tr w:rsidR="00331BA8" w:rsidRPr="00243ED2" w:rsidTr="00331BA8">
        <w:trPr>
          <w:cantSplit/>
        </w:trPr>
        <w:tc>
          <w:tcPr>
            <w:tcW w:w="1806" w:type="dxa"/>
            <w:shd w:val="clear" w:color="auto" w:fill="auto"/>
          </w:tcPr>
          <w:p w:rsidR="00331BA8" w:rsidRPr="00243ED2" w:rsidRDefault="00331BA8" w:rsidP="00331BA8">
            <w:pPr>
              <w:pStyle w:val="ENoteTableText"/>
            </w:pPr>
            <w:r w:rsidRPr="00243ED2">
              <w:t>2005 No.</w:t>
            </w:r>
            <w:r w:rsidR="00243ED2">
              <w:t> </w:t>
            </w:r>
            <w:r w:rsidRPr="00243ED2">
              <w:t>176</w:t>
            </w:r>
          </w:p>
        </w:tc>
        <w:tc>
          <w:tcPr>
            <w:tcW w:w="1806" w:type="dxa"/>
            <w:shd w:val="clear" w:color="auto" w:fill="auto"/>
          </w:tcPr>
          <w:p w:rsidR="00331BA8" w:rsidRPr="00243ED2" w:rsidRDefault="00331BA8">
            <w:pPr>
              <w:pStyle w:val="ENoteTableText"/>
            </w:pPr>
            <w:r w:rsidRPr="00243ED2">
              <w:t>9 Aug 2005 (F2005L02192)</w:t>
            </w:r>
          </w:p>
        </w:tc>
        <w:tc>
          <w:tcPr>
            <w:tcW w:w="1806" w:type="dxa"/>
            <w:shd w:val="clear" w:color="auto" w:fill="auto"/>
          </w:tcPr>
          <w:p w:rsidR="00331BA8" w:rsidRPr="00243ED2" w:rsidRDefault="00331BA8" w:rsidP="00331BA8">
            <w:pPr>
              <w:pStyle w:val="ENoteTableText"/>
            </w:pPr>
            <w:r w:rsidRPr="00243ED2">
              <w:t xml:space="preserve">10 Aug 2005 </w:t>
            </w:r>
            <w:r w:rsidR="00501920" w:rsidRPr="00243ED2">
              <w:t>(r 2)</w:t>
            </w:r>
          </w:p>
        </w:tc>
        <w:tc>
          <w:tcPr>
            <w:tcW w:w="1806" w:type="dxa"/>
            <w:shd w:val="clear" w:color="auto" w:fill="auto"/>
          </w:tcPr>
          <w:p w:rsidR="00331BA8" w:rsidRPr="00243ED2" w:rsidRDefault="00331BA8" w:rsidP="00331BA8">
            <w:pPr>
              <w:pStyle w:val="ENoteTableText"/>
            </w:pPr>
            <w:r w:rsidRPr="00243ED2">
              <w:t>—</w:t>
            </w:r>
          </w:p>
        </w:tc>
      </w:tr>
      <w:tr w:rsidR="00331BA8" w:rsidRPr="00243ED2" w:rsidTr="00331BA8">
        <w:trPr>
          <w:cantSplit/>
        </w:trPr>
        <w:tc>
          <w:tcPr>
            <w:tcW w:w="1806" w:type="dxa"/>
            <w:shd w:val="clear" w:color="auto" w:fill="auto"/>
          </w:tcPr>
          <w:p w:rsidR="00331BA8" w:rsidRPr="00243ED2" w:rsidRDefault="00331BA8" w:rsidP="00331BA8">
            <w:pPr>
              <w:pStyle w:val="ENoteTableText"/>
            </w:pPr>
            <w:r w:rsidRPr="00243ED2">
              <w:t>2006 No.</w:t>
            </w:r>
            <w:r w:rsidR="00243ED2">
              <w:t> </w:t>
            </w:r>
            <w:r w:rsidRPr="00243ED2">
              <w:t>236</w:t>
            </w:r>
          </w:p>
        </w:tc>
        <w:tc>
          <w:tcPr>
            <w:tcW w:w="1806" w:type="dxa"/>
            <w:shd w:val="clear" w:color="auto" w:fill="auto"/>
          </w:tcPr>
          <w:p w:rsidR="00331BA8" w:rsidRPr="00243ED2" w:rsidRDefault="00331BA8">
            <w:pPr>
              <w:pStyle w:val="ENoteTableText"/>
            </w:pPr>
            <w:r w:rsidRPr="00243ED2">
              <w:t>8 Sept 2006 (F2006L02964)</w:t>
            </w:r>
          </w:p>
        </w:tc>
        <w:tc>
          <w:tcPr>
            <w:tcW w:w="1806" w:type="dxa"/>
            <w:shd w:val="clear" w:color="auto" w:fill="auto"/>
          </w:tcPr>
          <w:p w:rsidR="00331BA8" w:rsidRPr="00243ED2" w:rsidRDefault="00331BA8" w:rsidP="00331BA8">
            <w:pPr>
              <w:pStyle w:val="ENoteTableText"/>
            </w:pPr>
            <w:r w:rsidRPr="00243ED2">
              <w:t>9 Sept 2006</w:t>
            </w:r>
            <w:r w:rsidR="00501920" w:rsidRPr="00243ED2">
              <w:t xml:space="preserve"> (r 2)</w:t>
            </w:r>
          </w:p>
        </w:tc>
        <w:tc>
          <w:tcPr>
            <w:tcW w:w="1806" w:type="dxa"/>
            <w:shd w:val="clear" w:color="auto" w:fill="auto"/>
          </w:tcPr>
          <w:p w:rsidR="00331BA8" w:rsidRPr="00243ED2" w:rsidRDefault="00331BA8" w:rsidP="00331BA8">
            <w:pPr>
              <w:pStyle w:val="ENoteTableText"/>
            </w:pPr>
            <w:r w:rsidRPr="00243ED2">
              <w:t>—</w:t>
            </w:r>
          </w:p>
        </w:tc>
      </w:tr>
      <w:tr w:rsidR="00331BA8" w:rsidRPr="00243ED2" w:rsidTr="00331BA8">
        <w:trPr>
          <w:cantSplit/>
        </w:trPr>
        <w:tc>
          <w:tcPr>
            <w:tcW w:w="1806" w:type="dxa"/>
            <w:shd w:val="clear" w:color="auto" w:fill="auto"/>
          </w:tcPr>
          <w:p w:rsidR="00331BA8" w:rsidRPr="00243ED2" w:rsidRDefault="00331BA8" w:rsidP="00331BA8">
            <w:pPr>
              <w:pStyle w:val="ENoteTableText"/>
            </w:pPr>
            <w:r w:rsidRPr="00243ED2">
              <w:t>2009 No.</w:t>
            </w:r>
            <w:r w:rsidR="00243ED2">
              <w:t> </w:t>
            </w:r>
            <w:r w:rsidRPr="00243ED2">
              <w:t>31</w:t>
            </w:r>
          </w:p>
        </w:tc>
        <w:tc>
          <w:tcPr>
            <w:tcW w:w="1806" w:type="dxa"/>
            <w:shd w:val="clear" w:color="auto" w:fill="auto"/>
          </w:tcPr>
          <w:p w:rsidR="00331BA8" w:rsidRPr="00243ED2" w:rsidRDefault="00331BA8">
            <w:pPr>
              <w:pStyle w:val="ENoteTableText"/>
            </w:pPr>
            <w:r w:rsidRPr="00243ED2">
              <w:t>23 Feb 2009 (F2009L00697)</w:t>
            </w:r>
          </w:p>
        </w:tc>
        <w:tc>
          <w:tcPr>
            <w:tcW w:w="1806" w:type="dxa"/>
            <w:shd w:val="clear" w:color="auto" w:fill="auto"/>
          </w:tcPr>
          <w:p w:rsidR="00331BA8" w:rsidRPr="00243ED2" w:rsidRDefault="00331BA8" w:rsidP="00331BA8">
            <w:pPr>
              <w:pStyle w:val="ENoteTableText"/>
            </w:pPr>
            <w:r w:rsidRPr="00243ED2">
              <w:t>24 Feb 2009</w:t>
            </w:r>
            <w:r w:rsidR="00501920" w:rsidRPr="00243ED2">
              <w:t xml:space="preserve"> (r 2)</w:t>
            </w:r>
          </w:p>
        </w:tc>
        <w:tc>
          <w:tcPr>
            <w:tcW w:w="1806" w:type="dxa"/>
            <w:shd w:val="clear" w:color="auto" w:fill="auto"/>
          </w:tcPr>
          <w:p w:rsidR="00331BA8" w:rsidRPr="00243ED2" w:rsidRDefault="00331BA8" w:rsidP="00331BA8">
            <w:pPr>
              <w:pStyle w:val="ENoteTableText"/>
            </w:pPr>
            <w:r w:rsidRPr="00243ED2">
              <w:t>—</w:t>
            </w:r>
          </w:p>
        </w:tc>
      </w:tr>
      <w:tr w:rsidR="00331BA8" w:rsidRPr="00243ED2" w:rsidTr="00331BA8">
        <w:trPr>
          <w:cantSplit/>
        </w:trPr>
        <w:tc>
          <w:tcPr>
            <w:tcW w:w="1806" w:type="dxa"/>
            <w:shd w:val="clear" w:color="auto" w:fill="auto"/>
          </w:tcPr>
          <w:p w:rsidR="00331BA8" w:rsidRPr="00243ED2" w:rsidRDefault="00331BA8" w:rsidP="00331BA8">
            <w:pPr>
              <w:pStyle w:val="ENoteTableText"/>
            </w:pPr>
            <w:r w:rsidRPr="00243ED2">
              <w:t>2010 No.</w:t>
            </w:r>
            <w:r w:rsidR="00243ED2">
              <w:t> </w:t>
            </w:r>
            <w:r w:rsidRPr="00243ED2">
              <w:t>19</w:t>
            </w:r>
          </w:p>
        </w:tc>
        <w:tc>
          <w:tcPr>
            <w:tcW w:w="1806" w:type="dxa"/>
            <w:shd w:val="clear" w:color="auto" w:fill="auto"/>
          </w:tcPr>
          <w:p w:rsidR="00331BA8" w:rsidRPr="00243ED2" w:rsidRDefault="00331BA8">
            <w:pPr>
              <w:pStyle w:val="ENoteTableText"/>
            </w:pPr>
            <w:r w:rsidRPr="00243ED2">
              <w:t>26 Feb 2010 (F2010L00440)</w:t>
            </w:r>
          </w:p>
        </w:tc>
        <w:tc>
          <w:tcPr>
            <w:tcW w:w="1806" w:type="dxa"/>
            <w:shd w:val="clear" w:color="auto" w:fill="auto"/>
          </w:tcPr>
          <w:p w:rsidR="00331BA8" w:rsidRPr="00243ED2" w:rsidRDefault="00331BA8" w:rsidP="00331BA8">
            <w:pPr>
              <w:pStyle w:val="ENoteTableText"/>
            </w:pPr>
            <w:r w:rsidRPr="00243ED2">
              <w:t>27 Feb 2010</w:t>
            </w:r>
            <w:r w:rsidR="00501920" w:rsidRPr="00243ED2">
              <w:t xml:space="preserve"> (r 2)</w:t>
            </w:r>
          </w:p>
        </w:tc>
        <w:tc>
          <w:tcPr>
            <w:tcW w:w="1806" w:type="dxa"/>
            <w:shd w:val="clear" w:color="auto" w:fill="auto"/>
          </w:tcPr>
          <w:p w:rsidR="00331BA8" w:rsidRPr="00243ED2" w:rsidRDefault="00331BA8" w:rsidP="00331BA8">
            <w:pPr>
              <w:pStyle w:val="ENoteTableText"/>
            </w:pPr>
            <w:r w:rsidRPr="00243ED2">
              <w:t>—</w:t>
            </w:r>
          </w:p>
        </w:tc>
      </w:tr>
      <w:tr w:rsidR="00331BA8" w:rsidRPr="00243ED2" w:rsidTr="00331BA8">
        <w:trPr>
          <w:cantSplit/>
        </w:trPr>
        <w:tc>
          <w:tcPr>
            <w:tcW w:w="1806" w:type="dxa"/>
            <w:shd w:val="clear" w:color="auto" w:fill="auto"/>
          </w:tcPr>
          <w:p w:rsidR="00331BA8" w:rsidRPr="00243ED2" w:rsidRDefault="00331BA8" w:rsidP="00331BA8">
            <w:pPr>
              <w:pStyle w:val="ENoteTableText"/>
            </w:pPr>
            <w:r w:rsidRPr="00243ED2">
              <w:t>2011 No.</w:t>
            </w:r>
            <w:r w:rsidR="00243ED2">
              <w:t> </w:t>
            </w:r>
            <w:r w:rsidRPr="00243ED2">
              <w:t>209</w:t>
            </w:r>
          </w:p>
        </w:tc>
        <w:tc>
          <w:tcPr>
            <w:tcW w:w="1806" w:type="dxa"/>
            <w:shd w:val="clear" w:color="auto" w:fill="auto"/>
          </w:tcPr>
          <w:p w:rsidR="00331BA8" w:rsidRPr="00243ED2" w:rsidRDefault="00331BA8">
            <w:pPr>
              <w:pStyle w:val="ENoteTableText"/>
            </w:pPr>
            <w:r w:rsidRPr="00243ED2">
              <w:t>15 Dec 2011 (F2011L02695)</w:t>
            </w:r>
          </w:p>
        </w:tc>
        <w:tc>
          <w:tcPr>
            <w:tcW w:w="1806" w:type="dxa"/>
            <w:shd w:val="clear" w:color="auto" w:fill="auto"/>
          </w:tcPr>
          <w:p w:rsidR="00331BA8" w:rsidRPr="00243ED2" w:rsidRDefault="00331BA8" w:rsidP="00331BA8">
            <w:pPr>
              <w:pStyle w:val="ENoteTableText"/>
            </w:pPr>
            <w:r w:rsidRPr="00243ED2">
              <w:t>16 Dec 2011</w:t>
            </w:r>
            <w:r w:rsidR="00501920" w:rsidRPr="00243ED2">
              <w:t xml:space="preserve"> (r 2)</w:t>
            </w:r>
          </w:p>
        </w:tc>
        <w:tc>
          <w:tcPr>
            <w:tcW w:w="1806" w:type="dxa"/>
            <w:shd w:val="clear" w:color="auto" w:fill="auto"/>
          </w:tcPr>
          <w:p w:rsidR="00331BA8" w:rsidRPr="00243ED2" w:rsidRDefault="00331BA8" w:rsidP="00331BA8">
            <w:pPr>
              <w:pStyle w:val="ENoteTableText"/>
            </w:pPr>
            <w:r w:rsidRPr="00243ED2">
              <w:t>—</w:t>
            </w:r>
          </w:p>
        </w:tc>
      </w:tr>
      <w:tr w:rsidR="00331BA8" w:rsidRPr="00243ED2" w:rsidTr="00331BA8">
        <w:trPr>
          <w:cantSplit/>
        </w:trPr>
        <w:tc>
          <w:tcPr>
            <w:tcW w:w="1806" w:type="dxa"/>
            <w:shd w:val="clear" w:color="auto" w:fill="auto"/>
          </w:tcPr>
          <w:p w:rsidR="00331BA8" w:rsidRPr="00243ED2" w:rsidRDefault="00331BA8" w:rsidP="00331BA8">
            <w:pPr>
              <w:pStyle w:val="ENoteTableText"/>
            </w:pPr>
            <w:r w:rsidRPr="00243ED2">
              <w:t>2012 No.</w:t>
            </w:r>
            <w:r w:rsidR="00243ED2">
              <w:t> </w:t>
            </w:r>
            <w:r w:rsidRPr="00243ED2">
              <w:t>216</w:t>
            </w:r>
          </w:p>
        </w:tc>
        <w:tc>
          <w:tcPr>
            <w:tcW w:w="1806" w:type="dxa"/>
            <w:shd w:val="clear" w:color="auto" w:fill="auto"/>
          </w:tcPr>
          <w:p w:rsidR="00331BA8" w:rsidRPr="00243ED2" w:rsidRDefault="00331BA8">
            <w:pPr>
              <w:pStyle w:val="ENoteTableText"/>
            </w:pPr>
            <w:r w:rsidRPr="00243ED2">
              <w:t>14 Sept 2012 (F2012L01876)</w:t>
            </w:r>
          </w:p>
        </w:tc>
        <w:tc>
          <w:tcPr>
            <w:tcW w:w="1806" w:type="dxa"/>
            <w:shd w:val="clear" w:color="auto" w:fill="auto"/>
          </w:tcPr>
          <w:p w:rsidR="00331BA8" w:rsidRPr="00243ED2" w:rsidRDefault="00331BA8" w:rsidP="00331BA8">
            <w:pPr>
              <w:pStyle w:val="ENoteTableText"/>
            </w:pPr>
            <w:r w:rsidRPr="00243ED2">
              <w:t>15 Sept 2012</w:t>
            </w:r>
            <w:r w:rsidR="00501920" w:rsidRPr="00243ED2">
              <w:t xml:space="preserve"> (s 2)</w:t>
            </w:r>
          </w:p>
        </w:tc>
        <w:tc>
          <w:tcPr>
            <w:tcW w:w="1806" w:type="dxa"/>
            <w:shd w:val="clear" w:color="auto" w:fill="auto"/>
          </w:tcPr>
          <w:p w:rsidR="00331BA8" w:rsidRPr="00243ED2" w:rsidRDefault="00331BA8" w:rsidP="00331BA8">
            <w:pPr>
              <w:pStyle w:val="ENoteTableText"/>
            </w:pPr>
            <w:r w:rsidRPr="00243ED2">
              <w:t>—</w:t>
            </w:r>
          </w:p>
        </w:tc>
      </w:tr>
      <w:tr w:rsidR="00331BA8" w:rsidRPr="00243ED2" w:rsidTr="00F35905">
        <w:trPr>
          <w:cantSplit/>
        </w:trPr>
        <w:tc>
          <w:tcPr>
            <w:tcW w:w="1806" w:type="dxa"/>
            <w:shd w:val="clear" w:color="auto" w:fill="auto"/>
          </w:tcPr>
          <w:p w:rsidR="00331BA8" w:rsidRPr="00243ED2" w:rsidRDefault="00331BA8" w:rsidP="00331BA8">
            <w:pPr>
              <w:pStyle w:val="ENoteTableText"/>
            </w:pPr>
            <w:r w:rsidRPr="00243ED2">
              <w:t>2012 No.</w:t>
            </w:r>
            <w:r w:rsidR="00243ED2">
              <w:t> </w:t>
            </w:r>
            <w:r w:rsidRPr="00243ED2">
              <w:t>286</w:t>
            </w:r>
          </w:p>
        </w:tc>
        <w:tc>
          <w:tcPr>
            <w:tcW w:w="1806" w:type="dxa"/>
            <w:shd w:val="clear" w:color="auto" w:fill="auto"/>
          </w:tcPr>
          <w:p w:rsidR="00331BA8" w:rsidRPr="00243ED2" w:rsidRDefault="00331BA8">
            <w:pPr>
              <w:pStyle w:val="ENoteTableText"/>
            </w:pPr>
            <w:r w:rsidRPr="00243ED2">
              <w:t>10 Dec 2012 (F2012L02374)</w:t>
            </w:r>
          </w:p>
        </w:tc>
        <w:tc>
          <w:tcPr>
            <w:tcW w:w="1806" w:type="dxa"/>
            <w:shd w:val="clear" w:color="auto" w:fill="auto"/>
          </w:tcPr>
          <w:p w:rsidR="00331BA8" w:rsidRPr="00243ED2" w:rsidRDefault="00331BA8" w:rsidP="00331BA8">
            <w:pPr>
              <w:pStyle w:val="ENoteTableText"/>
            </w:pPr>
            <w:r w:rsidRPr="00243ED2">
              <w:t>11 Dec 2012</w:t>
            </w:r>
            <w:r w:rsidR="00501920" w:rsidRPr="00243ED2">
              <w:t xml:space="preserve"> (s 2)</w:t>
            </w:r>
          </w:p>
        </w:tc>
        <w:tc>
          <w:tcPr>
            <w:tcW w:w="1806" w:type="dxa"/>
            <w:shd w:val="clear" w:color="auto" w:fill="auto"/>
          </w:tcPr>
          <w:p w:rsidR="00331BA8" w:rsidRPr="00243ED2" w:rsidRDefault="00331BA8" w:rsidP="00331BA8">
            <w:pPr>
              <w:pStyle w:val="ENoteTableText"/>
            </w:pPr>
            <w:r w:rsidRPr="00243ED2">
              <w:t>—</w:t>
            </w:r>
          </w:p>
        </w:tc>
      </w:tr>
      <w:tr w:rsidR="00501920" w:rsidRPr="00243ED2" w:rsidTr="00331BA8">
        <w:trPr>
          <w:cantSplit/>
        </w:trPr>
        <w:tc>
          <w:tcPr>
            <w:tcW w:w="1806" w:type="dxa"/>
            <w:tcBorders>
              <w:bottom w:val="single" w:sz="12" w:space="0" w:color="auto"/>
            </w:tcBorders>
            <w:shd w:val="clear" w:color="auto" w:fill="auto"/>
          </w:tcPr>
          <w:p w:rsidR="00501920" w:rsidRPr="00243ED2" w:rsidRDefault="00501920" w:rsidP="00331BA8">
            <w:pPr>
              <w:pStyle w:val="ENoteTableText"/>
            </w:pPr>
            <w:r w:rsidRPr="00243ED2">
              <w:t>139, 2015</w:t>
            </w:r>
          </w:p>
        </w:tc>
        <w:tc>
          <w:tcPr>
            <w:tcW w:w="1806" w:type="dxa"/>
            <w:tcBorders>
              <w:bottom w:val="single" w:sz="12" w:space="0" w:color="auto"/>
            </w:tcBorders>
            <w:shd w:val="clear" w:color="auto" w:fill="auto"/>
          </w:tcPr>
          <w:p w:rsidR="00501920" w:rsidRPr="00243ED2" w:rsidRDefault="00501920" w:rsidP="00331BA8">
            <w:pPr>
              <w:pStyle w:val="ENoteTableText"/>
            </w:pPr>
            <w:r w:rsidRPr="00243ED2">
              <w:t>20 Aug 2015 (F2015L01296)</w:t>
            </w:r>
          </w:p>
        </w:tc>
        <w:tc>
          <w:tcPr>
            <w:tcW w:w="1806" w:type="dxa"/>
            <w:tcBorders>
              <w:bottom w:val="single" w:sz="12" w:space="0" w:color="auto"/>
            </w:tcBorders>
            <w:shd w:val="clear" w:color="auto" w:fill="auto"/>
          </w:tcPr>
          <w:p w:rsidR="00501920" w:rsidRPr="00243ED2" w:rsidRDefault="00501920" w:rsidP="00331BA8">
            <w:pPr>
              <w:pStyle w:val="ENoteTableText"/>
            </w:pPr>
            <w:r w:rsidRPr="00243ED2">
              <w:t>21 Aug 2015 (s 2(1) item</w:t>
            </w:r>
            <w:r w:rsidR="00243ED2">
              <w:t> </w:t>
            </w:r>
            <w:r w:rsidRPr="00243ED2">
              <w:t>1)</w:t>
            </w:r>
          </w:p>
        </w:tc>
        <w:tc>
          <w:tcPr>
            <w:tcW w:w="1806" w:type="dxa"/>
            <w:tcBorders>
              <w:bottom w:val="single" w:sz="12" w:space="0" w:color="auto"/>
            </w:tcBorders>
            <w:shd w:val="clear" w:color="auto" w:fill="auto"/>
          </w:tcPr>
          <w:p w:rsidR="00501920" w:rsidRPr="00243ED2" w:rsidRDefault="00501920" w:rsidP="00331BA8">
            <w:pPr>
              <w:pStyle w:val="ENoteTableText"/>
            </w:pPr>
            <w:r w:rsidRPr="00243ED2">
              <w:t>—</w:t>
            </w:r>
          </w:p>
        </w:tc>
      </w:tr>
    </w:tbl>
    <w:p w:rsidR="00331BA8" w:rsidRPr="00243ED2" w:rsidRDefault="00331BA8" w:rsidP="000C5962"/>
    <w:p w:rsidR="00331BA8" w:rsidRPr="00243ED2" w:rsidRDefault="00331BA8" w:rsidP="0082647E">
      <w:pPr>
        <w:pStyle w:val="ENotesHeading2"/>
        <w:pageBreakBefore/>
        <w:outlineLvl w:val="9"/>
      </w:pPr>
      <w:bookmarkStart w:id="58" w:name="_Toc429131047"/>
      <w:r w:rsidRPr="00243ED2">
        <w:lastRenderedPageBreak/>
        <w:t xml:space="preserve">Endnote </w:t>
      </w:r>
      <w:r w:rsidR="00651CC5" w:rsidRPr="00243ED2">
        <w:t>4</w:t>
      </w:r>
      <w:r w:rsidRPr="00243ED2">
        <w:t>—Amendment history</w:t>
      </w:r>
      <w:bookmarkEnd w:id="58"/>
    </w:p>
    <w:tbl>
      <w:tblPr>
        <w:tblW w:w="7082" w:type="dxa"/>
        <w:tblLayout w:type="fixed"/>
        <w:tblLook w:val="0000" w:firstRow="0" w:lastRow="0" w:firstColumn="0" w:lastColumn="0" w:noHBand="0" w:noVBand="0"/>
      </w:tblPr>
      <w:tblGrid>
        <w:gridCol w:w="2139"/>
        <w:gridCol w:w="4943"/>
      </w:tblGrid>
      <w:tr w:rsidR="00331BA8" w:rsidRPr="00243ED2" w:rsidTr="00651CC5">
        <w:trPr>
          <w:cantSplit/>
          <w:tblHeader/>
        </w:trPr>
        <w:tc>
          <w:tcPr>
            <w:tcW w:w="2139" w:type="dxa"/>
            <w:tcBorders>
              <w:top w:val="single" w:sz="12" w:space="0" w:color="auto"/>
              <w:bottom w:val="single" w:sz="12" w:space="0" w:color="auto"/>
            </w:tcBorders>
            <w:shd w:val="clear" w:color="auto" w:fill="auto"/>
          </w:tcPr>
          <w:p w:rsidR="00331BA8" w:rsidRPr="00243ED2" w:rsidRDefault="00331BA8" w:rsidP="005838A0">
            <w:pPr>
              <w:pStyle w:val="ENoteTableHeading"/>
              <w:tabs>
                <w:tab w:val="center" w:leader="dot" w:pos="2268"/>
              </w:tabs>
            </w:pPr>
            <w:r w:rsidRPr="00243ED2">
              <w:t>Provision affected</w:t>
            </w:r>
          </w:p>
        </w:tc>
        <w:tc>
          <w:tcPr>
            <w:tcW w:w="4943" w:type="dxa"/>
            <w:tcBorders>
              <w:top w:val="single" w:sz="12" w:space="0" w:color="auto"/>
              <w:bottom w:val="single" w:sz="12" w:space="0" w:color="auto"/>
            </w:tcBorders>
            <w:shd w:val="clear" w:color="auto" w:fill="auto"/>
          </w:tcPr>
          <w:p w:rsidR="00331BA8" w:rsidRPr="00243ED2" w:rsidRDefault="00331BA8" w:rsidP="005838A0">
            <w:pPr>
              <w:pStyle w:val="ENoteTableHeading"/>
            </w:pPr>
            <w:r w:rsidRPr="00243ED2">
              <w:t>How affected</w:t>
            </w:r>
          </w:p>
        </w:tc>
      </w:tr>
      <w:tr w:rsidR="00331BA8" w:rsidRPr="00243ED2" w:rsidTr="00331BA8">
        <w:trPr>
          <w:cantSplit/>
        </w:trPr>
        <w:tc>
          <w:tcPr>
            <w:tcW w:w="2139" w:type="dxa"/>
            <w:tcBorders>
              <w:top w:val="single" w:sz="12" w:space="0" w:color="auto"/>
            </w:tcBorders>
            <w:shd w:val="clear" w:color="auto" w:fill="auto"/>
          </w:tcPr>
          <w:p w:rsidR="00331BA8" w:rsidRPr="00243ED2" w:rsidRDefault="00331BA8" w:rsidP="00331BA8">
            <w:pPr>
              <w:pStyle w:val="ENoteTableText"/>
            </w:pPr>
            <w:r w:rsidRPr="00243ED2">
              <w:rPr>
                <w:b/>
              </w:rPr>
              <w:t>Part</w:t>
            </w:r>
            <w:r w:rsidR="00243ED2">
              <w:rPr>
                <w:b/>
              </w:rPr>
              <w:t> </w:t>
            </w:r>
            <w:r w:rsidRPr="00243ED2">
              <w:rPr>
                <w:b/>
              </w:rPr>
              <w:t>1</w:t>
            </w:r>
          </w:p>
        </w:tc>
        <w:tc>
          <w:tcPr>
            <w:tcW w:w="4943" w:type="dxa"/>
            <w:tcBorders>
              <w:top w:val="single" w:sz="12" w:space="0" w:color="auto"/>
            </w:tcBorders>
            <w:shd w:val="clear" w:color="auto" w:fill="auto"/>
          </w:tcPr>
          <w:p w:rsidR="00331BA8" w:rsidRPr="00243ED2" w:rsidRDefault="00331BA8" w:rsidP="00331BA8">
            <w:pPr>
              <w:pStyle w:val="ENoteTableText"/>
            </w:pPr>
          </w:p>
        </w:tc>
      </w:tr>
      <w:tr w:rsidR="00331BA8" w:rsidRPr="00243ED2" w:rsidTr="00331BA8">
        <w:trPr>
          <w:cantSplit/>
        </w:trPr>
        <w:tc>
          <w:tcPr>
            <w:tcW w:w="2139" w:type="dxa"/>
            <w:shd w:val="clear" w:color="auto" w:fill="auto"/>
          </w:tcPr>
          <w:p w:rsidR="00331BA8" w:rsidRPr="00243ED2" w:rsidRDefault="0082647E" w:rsidP="0082647E">
            <w:pPr>
              <w:pStyle w:val="ENoteTableText"/>
              <w:tabs>
                <w:tab w:val="center" w:leader="dot" w:pos="2268"/>
              </w:tabs>
            </w:pPr>
            <w:r w:rsidRPr="00243ED2">
              <w:t xml:space="preserve">r. </w:t>
            </w:r>
            <w:r w:rsidR="00331BA8" w:rsidRPr="00243ED2">
              <w:t>1.3</w:t>
            </w:r>
            <w:r w:rsidR="00331BA8" w:rsidRPr="00243ED2">
              <w:tab/>
            </w:r>
          </w:p>
        </w:tc>
        <w:tc>
          <w:tcPr>
            <w:tcW w:w="4943" w:type="dxa"/>
            <w:shd w:val="clear" w:color="auto" w:fill="auto"/>
          </w:tcPr>
          <w:p w:rsidR="00331BA8" w:rsidRPr="00243ED2" w:rsidRDefault="00331BA8" w:rsidP="00331BA8">
            <w:pPr>
              <w:pStyle w:val="ENoteTableText"/>
            </w:pPr>
            <w:r w:rsidRPr="00243ED2">
              <w:t>rep. 2012 No.</w:t>
            </w:r>
            <w:r w:rsidR="00243ED2">
              <w:t> </w:t>
            </w:r>
            <w:r w:rsidRPr="00243ED2">
              <w:t>286</w:t>
            </w:r>
          </w:p>
        </w:tc>
      </w:tr>
      <w:tr w:rsidR="00331BA8" w:rsidRPr="00243ED2" w:rsidTr="00331BA8">
        <w:trPr>
          <w:cantSplit/>
        </w:trPr>
        <w:tc>
          <w:tcPr>
            <w:tcW w:w="2139" w:type="dxa"/>
            <w:shd w:val="clear" w:color="auto" w:fill="auto"/>
          </w:tcPr>
          <w:p w:rsidR="00331BA8" w:rsidRPr="00243ED2" w:rsidRDefault="0082647E" w:rsidP="0082647E">
            <w:pPr>
              <w:pStyle w:val="ENoteTableText"/>
              <w:tabs>
                <w:tab w:val="center" w:leader="dot" w:pos="2268"/>
              </w:tabs>
            </w:pPr>
            <w:r w:rsidRPr="00243ED2">
              <w:t xml:space="preserve">r. </w:t>
            </w:r>
            <w:r w:rsidR="00331BA8" w:rsidRPr="00243ED2">
              <w:t>1.4</w:t>
            </w:r>
            <w:r w:rsidR="00331BA8" w:rsidRPr="00243ED2">
              <w:tab/>
            </w:r>
          </w:p>
        </w:tc>
        <w:tc>
          <w:tcPr>
            <w:tcW w:w="4943" w:type="dxa"/>
            <w:shd w:val="clear" w:color="auto" w:fill="auto"/>
          </w:tcPr>
          <w:p w:rsidR="00331BA8" w:rsidRPr="00243ED2" w:rsidRDefault="00331BA8" w:rsidP="00331BA8">
            <w:pPr>
              <w:pStyle w:val="ENoteTableText"/>
            </w:pPr>
            <w:r w:rsidRPr="00243ED2">
              <w:t>rep. 2012 No.</w:t>
            </w:r>
            <w:r w:rsidR="00243ED2">
              <w:t> </w:t>
            </w:r>
            <w:r w:rsidRPr="00243ED2">
              <w:t>286</w:t>
            </w:r>
          </w:p>
        </w:tc>
      </w:tr>
      <w:tr w:rsidR="00331BA8" w:rsidRPr="00243ED2" w:rsidTr="00331BA8">
        <w:trPr>
          <w:cantSplit/>
        </w:trPr>
        <w:tc>
          <w:tcPr>
            <w:tcW w:w="2139" w:type="dxa"/>
            <w:shd w:val="clear" w:color="auto" w:fill="auto"/>
          </w:tcPr>
          <w:p w:rsidR="00331BA8" w:rsidRPr="00243ED2" w:rsidRDefault="0082647E" w:rsidP="0082647E">
            <w:pPr>
              <w:pStyle w:val="ENoteTableText"/>
              <w:tabs>
                <w:tab w:val="center" w:leader="dot" w:pos="2268"/>
              </w:tabs>
            </w:pPr>
            <w:r w:rsidRPr="00243ED2">
              <w:t xml:space="preserve">r. </w:t>
            </w:r>
            <w:r w:rsidR="00331BA8" w:rsidRPr="00243ED2">
              <w:t>1.5</w:t>
            </w:r>
            <w:r w:rsidR="00331BA8" w:rsidRPr="00243ED2">
              <w:tab/>
            </w:r>
          </w:p>
        </w:tc>
        <w:tc>
          <w:tcPr>
            <w:tcW w:w="4943" w:type="dxa"/>
            <w:shd w:val="clear" w:color="auto" w:fill="auto"/>
          </w:tcPr>
          <w:p w:rsidR="00331BA8" w:rsidRPr="00243ED2" w:rsidRDefault="00331BA8" w:rsidP="00331BA8">
            <w:pPr>
              <w:pStyle w:val="ENoteTableText"/>
            </w:pPr>
            <w:r w:rsidRPr="00243ED2">
              <w:t>rep. 2012 No.</w:t>
            </w:r>
            <w:r w:rsidR="00243ED2">
              <w:t> </w:t>
            </w:r>
            <w:r w:rsidRPr="00243ED2">
              <w:t>286</w:t>
            </w:r>
          </w:p>
        </w:tc>
      </w:tr>
      <w:tr w:rsidR="00331BA8" w:rsidRPr="00243ED2" w:rsidTr="00331BA8">
        <w:trPr>
          <w:cantSplit/>
        </w:trPr>
        <w:tc>
          <w:tcPr>
            <w:tcW w:w="2139" w:type="dxa"/>
            <w:shd w:val="clear" w:color="auto" w:fill="auto"/>
          </w:tcPr>
          <w:p w:rsidR="00331BA8" w:rsidRPr="00243ED2" w:rsidRDefault="0082647E" w:rsidP="0082647E">
            <w:pPr>
              <w:pStyle w:val="ENoteTableText"/>
              <w:tabs>
                <w:tab w:val="center" w:leader="dot" w:pos="2268"/>
              </w:tabs>
            </w:pPr>
            <w:r w:rsidRPr="00243ED2">
              <w:t xml:space="preserve">r. </w:t>
            </w:r>
            <w:r w:rsidR="00331BA8" w:rsidRPr="00243ED2">
              <w:t>1.6</w:t>
            </w:r>
            <w:r w:rsidR="00331BA8" w:rsidRPr="00243ED2">
              <w:tab/>
            </w:r>
          </w:p>
        </w:tc>
        <w:tc>
          <w:tcPr>
            <w:tcW w:w="4943" w:type="dxa"/>
            <w:shd w:val="clear" w:color="auto" w:fill="auto"/>
          </w:tcPr>
          <w:p w:rsidR="00331BA8" w:rsidRPr="00243ED2" w:rsidRDefault="00331BA8" w:rsidP="00331BA8">
            <w:pPr>
              <w:pStyle w:val="ENoteTableText"/>
            </w:pPr>
            <w:r w:rsidRPr="00243ED2">
              <w:t>rep. 2012 No.</w:t>
            </w:r>
            <w:r w:rsidR="00243ED2">
              <w:t> </w:t>
            </w:r>
            <w:r w:rsidRPr="00243ED2">
              <w:t>286</w:t>
            </w:r>
          </w:p>
        </w:tc>
      </w:tr>
      <w:tr w:rsidR="00331BA8" w:rsidRPr="00243ED2" w:rsidTr="00331BA8">
        <w:trPr>
          <w:cantSplit/>
        </w:trPr>
        <w:tc>
          <w:tcPr>
            <w:tcW w:w="2139" w:type="dxa"/>
            <w:shd w:val="clear" w:color="auto" w:fill="auto"/>
          </w:tcPr>
          <w:p w:rsidR="00331BA8" w:rsidRPr="00243ED2" w:rsidRDefault="0082647E" w:rsidP="0082647E">
            <w:pPr>
              <w:pStyle w:val="ENoteTableText"/>
              <w:tabs>
                <w:tab w:val="center" w:leader="dot" w:pos="2268"/>
              </w:tabs>
            </w:pPr>
            <w:r w:rsidRPr="00243ED2">
              <w:t xml:space="preserve">r. </w:t>
            </w:r>
            <w:r w:rsidR="00331BA8" w:rsidRPr="00243ED2">
              <w:t>1.7</w:t>
            </w:r>
            <w:r w:rsidR="00331BA8" w:rsidRPr="00243ED2">
              <w:tab/>
            </w:r>
          </w:p>
        </w:tc>
        <w:tc>
          <w:tcPr>
            <w:tcW w:w="4943" w:type="dxa"/>
            <w:shd w:val="clear" w:color="auto" w:fill="auto"/>
          </w:tcPr>
          <w:p w:rsidR="00331BA8" w:rsidRPr="00243ED2" w:rsidRDefault="00331BA8" w:rsidP="00331BA8">
            <w:pPr>
              <w:pStyle w:val="ENoteTableText"/>
            </w:pPr>
            <w:r w:rsidRPr="00243ED2">
              <w:t>am. 2003 No.</w:t>
            </w:r>
            <w:r w:rsidR="00243ED2">
              <w:t> </w:t>
            </w:r>
            <w:r w:rsidRPr="00243ED2">
              <w:t>346; 2012 No.</w:t>
            </w:r>
            <w:r w:rsidR="00243ED2">
              <w:t> </w:t>
            </w:r>
            <w:r w:rsidRPr="00243ED2">
              <w:t>286</w:t>
            </w:r>
          </w:p>
        </w:tc>
      </w:tr>
      <w:tr w:rsidR="00331BA8" w:rsidRPr="00243ED2" w:rsidTr="00331BA8">
        <w:trPr>
          <w:cantSplit/>
        </w:trPr>
        <w:tc>
          <w:tcPr>
            <w:tcW w:w="2139" w:type="dxa"/>
            <w:shd w:val="clear" w:color="auto" w:fill="auto"/>
          </w:tcPr>
          <w:p w:rsidR="00331BA8" w:rsidRPr="00243ED2" w:rsidRDefault="00331BA8" w:rsidP="00331BA8">
            <w:pPr>
              <w:pStyle w:val="ENoteTableText"/>
            </w:pPr>
            <w:r w:rsidRPr="00243ED2">
              <w:rPr>
                <w:b/>
              </w:rPr>
              <w:t>Part</w:t>
            </w:r>
            <w:r w:rsidR="00243ED2">
              <w:rPr>
                <w:b/>
              </w:rPr>
              <w:t> </w:t>
            </w:r>
            <w:r w:rsidRPr="00243ED2">
              <w:rPr>
                <w:b/>
              </w:rPr>
              <w:t>3</w:t>
            </w:r>
          </w:p>
        </w:tc>
        <w:tc>
          <w:tcPr>
            <w:tcW w:w="4943" w:type="dxa"/>
            <w:shd w:val="clear" w:color="auto" w:fill="auto"/>
          </w:tcPr>
          <w:p w:rsidR="00331BA8" w:rsidRPr="00243ED2" w:rsidRDefault="00331BA8" w:rsidP="00331BA8">
            <w:pPr>
              <w:pStyle w:val="ENoteTableText"/>
            </w:pPr>
          </w:p>
        </w:tc>
      </w:tr>
      <w:tr w:rsidR="00331BA8" w:rsidRPr="00243ED2" w:rsidTr="00331BA8">
        <w:trPr>
          <w:cantSplit/>
        </w:trPr>
        <w:tc>
          <w:tcPr>
            <w:tcW w:w="2139" w:type="dxa"/>
            <w:shd w:val="clear" w:color="auto" w:fill="auto"/>
          </w:tcPr>
          <w:p w:rsidR="00331BA8" w:rsidRPr="00243ED2" w:rsidRDefault="00331BA8" w:rsidP="0082647E">
            <w:pPr>
              <w:pStyle w:val="ENoteTableText"/>
              <w:tabs>
                <w:tab w:val="center" w:leader="dot" w:pos="2268"/>
              </w:tabs>
            </w:pPr>
            <w:r w:rsidRPr="00243ED2">
              <w:t>Part</w:t>
            </w:r>
            <w:r w:rsidR="00243ED2">
              <w:t> </w:t>
            </w:r>
            <w:r w:rsidRPr="00243ED2">
              <w:t>3</w:t>
            </w:r>
            <w:r w:rsidR="00BB204B" w:rsidRPr="00243ED2">
              <w:t xml:space="preserve"> heading</w:t>
            </w:r>
            <w:r w:rsidRPr="00243ED2">
              <w:tab/>
            </w:r>
          </w:p>
        </w:tc>
        <w:tc>
          <w:tcPr>
            <w:tcW w:w="4943" w:type="dxa"/>
            <w:shd w:val="clear" w:color="auto" w:fill="auto"/>
          </w:tcPr>
          <w:p w:rsidR="00331BA8" w:rsidRPr="00243ED2" w:rsidRDefault="00331BA8" w:rsidP="00331BA8">
            <w:pPr>
              <w:pStyle w:val="ENoteTableText"/>
            </w:pPr>
            <w:r w:rsidRPr="00243ED2">
              <w:t>rs. 2012 No.</w:t>
            </w:r>
            <w:r w:rsidR="00243ED2">
              <w:t> </w:t>
            </w:r>
            <w:r w:rsidRPr="00243ED2">
              <w:t>286</w:t>
            </w:r>
          </w:p>
        </w:tc>
      </w:tr>
      <w:tr w:rsidR="00331BA8" w:rsidRPr="00243ED2" w:rsidTr="00331BA8">
        <w:trPr>
          <w:cantSplit/>
        </w:trPr>
        <w:tc>
          <w:tcPr>
            <w:tcW w:w="2139" w:type="dxa"/>
            <w:shd w:val="clear" w:color="auto" w:fill="auto"/>
          </w:tcPr>
          <w:p w:rsidR="00331BA8" w:rsidRPr="00243ED2" w:rsidRDefault="00331BA8" w:rsidP="00331BA8">
            <w:pPr>
              <w:pStyle w:val="ENoteTableText"/>
            </w:pPr>
            <w:r w:rsidRPr="00243ED2">
              <w:rPr>
                <w:b/>
              </w:rPr>
              <w:t>Division</w:t>
            </w:r>
            <w:r w:rsidR="00243ED2">
              <w:rPr>
                <w:b/>
              </w:rPr>
              <w:t> </w:t>
            </w:r>
            <w:r w:rsidRPr="00243ED2">
              <w:rPr>
                <w:b/>
              </w:rPr>
              <w:t>3.1</w:t>
            </w:r>
          </w:p>
        </w:tc>
        <w:tc>
          <w:tcPr>
            <w:tcW w:w="4943" w:type="dxa"/>
            <w:shd w:val="clear" w:color="auto" w:fill="auto"/>
          </w:tcPr>
          <w:p w:rsidR="00331BA8" w:rsidRPr="00243ED2" w:rsidRDefault="00331BA8" w:rsidP="00331BA8">
            <w:pPr>
              <w:pStyle w:val="ENoteTableText"/>
            </w:pPr>
          </w:p>
        </w:tc>
      </w:tr>
      <w:tr w:rsidR="00331BA8" w:rsidRPr="00243ED2" w:rsidTr="00331BA8">
        <w:trPr>
          <w:cantSplit/>
        </w:trPr>
        <w:tc>
          <w:tcPr>
            <w:tcW w:w="2139" w:type="dxa"/>
            <w:shd w:val="clear" w:color="auto" w:fill="auto"/>
          </w:tcPr>
          <w:p w:rsidR="00331BA8" w:rsidRPr="00243ED2" w:rsidRDefault="0082647E" w:rsidP="0082647E">
            <w:pPr>
              <w:pStyle w:val="ENoteTableText"/>
              <w:tabs>
                <w:tab w:val="center" w:leader="dot" w:pos="2268"/>
              </w:tabs>
            </w:pPr>
            <w:r w:rsidRPr="00243ED2">
              <w:t xml:space="preserve">r. </w:t>
            </w:r>
            <w:r w:rsidR="00331BA8" w:rsidRPr="00243ED2">
              <w:t>3.1</w:t>
            </w:r>
            <w:r w:rsidR="00331BA8" w:rsidRPr="00243ED2">
              <w:tab/>
            </w:r>
          </w:p>
        </w:tc>
        <w:tc>
          <w:tcPr>
            <w:tcW w:w="4943" w:type="dxa"/>
            <w:shd w:val="clear" w:color="auto" w:fill="auto"/>
          </w:tcPr>
          <w:p w:rsidR="00331BA8" w:rsidRPr="00243ED2" w:rsidRDefault="00331BA8" w:rsidP="00331BA8">
            <w:pPr>
              <w:pStyle w:val="ENoteTableText"/>
            </w:pPr>
            <w:r w:rsidRPr="00243ED2">
              <w:t>rs. 2012 No.</w:t>
            </w:r>
            <w:r w:rsidR="00243ED2">
              <w:t> </w:t>
            </w:r>
            <w:r w:rsidRPr="00243ED2">
              <w:t>286</w:t>
            </w:r>
          </w:p>
        </w:tc>
      </w:tr>
      <w:tr w:rsidR="00331BA8" w:rsidRPr="00243ED2" w:rsidTr="00331BA8">
        <w:trPr>
          <w:cantSplit/>
        </w:trPr>
        <w:tc>
          <w:tcPr>
            <w:tcW w:w="2139" w:type="dxa"/>
            <w:shd w:val="clear" w:color="auto" w:fill="auto"/>
          </w:tcPr>
          <w:p w:rsidR="00331BA8" w:rsidRPr="00243ED2" w:rsidRDefault="0082647E" w:rsidP="0082647E">
            <w:pPr>
              <w:pStyle w:val="ENoteTableText"/>
              <w:tabs>
                <w:tab w:val="center" w:leader="dot" w:pos="2268"/>
              </w:tabs>
            </w:pPr>
            <w:r w:rsidRPr="00243ED2">
              <w:t xml:space="preserve">r. </w:t>
            </w:r>
            <w:r w:rsidR="00331BA8" w:rsidRPr="00243ED2">
              <w:t>3.2</w:t>
            </w:r>
            <w:r w:rsidR="00331BA8" w:rsidRPr="00243ED2">
              <w:tab/>
            </w:r>
          </w:p>
        </w:tc>
        <w:tc>
          <w:tcPr>
            <w:tcW w:w="4943" w:type="dxa"/>
            <w:shd w:val="clear" w:color="auto" w:fill="auto"/>
          </w:tcPr>
          <w:p w:rsidR="00331BA8" w:rsidRPr="00243ED2" w:rsidRDefault="00331BA8" w:rsidP="00331BA8">
            <w:pPr>
              <w:pStyle w:val="ENoteTableText"/>
            </w:pPr>
            <w:r w:rsidRPr="00243ED2">
              <w:t>rep. 2012 No.</w:t>
            </w:r>
            <w:r w:rsidR="00243ED2">
              <w:t> </w:t>
            </w:r>
            <w:r w:rsidRPr="00243ED2">
              <w:t>286</w:t>
            </w:r>
          </w:p>
        </w:tc>
      </w:tr>
      <w:tr w:rsidR="00331BA8" w:rsidRPr="00243ED2" w:rsidTr="00331BA8">
        <w:trPr>
          <w:cantSplit/>
        </w:trPr>
        <w:tc>
          <w:tcPr>
            <w:tcW w:w="2139" w:type="dxa"/>
            <w:shd w:val="clear" w:color="auto" w:fill="auto"/>
          </w:tcPr>
          <w:p w:rsidR="00331BA8" w:rsidRPr="00243ED2" w:rsidRDefault="00331BA8" w:rsidP="00331BA8">
            <w:pPr>
              <w:pStyle w:val="ENoteTableText"/>
            </w:pPr>
            <w:r w:rsidRPr="00243ED2">
              <w:rPr>
                <w:b/>
              </w:rPr>
              <w:t>Division</w:t>
            </w:r>
            <w:r w:rsidR="00243ED2">
              <w:rPr>
                <w:b/>
              </w:rPr>
              <w:t> </w:t>
            </w:r>
            <w:r w:rsidRPr="00243ED2">
              <w:rPr>
                <w:b/>
              </w:rPr>
              <w:t>3.2</w:t>
            </w:r>
          </w:p>
        </w:tc>
        <w:tc>
          <w:tcPr>
            <w:tcW w:w="4943" w:type="dxa"/>
            <w:shd w:val="clear" w:color="auto" w:fill="auto"/>
          </w:tcPr>
          <w:p w:rsidR="00331BA8" w:rsidRPr="00243ED2" w:rsidRDefault="00331BA8" w:rsidP="00331BA8">
            <w:pPr>
              <w:pStyle w:val="ENoteTableText"/>
            </w:pPr>
          </w:p>
        </w:tc>
      </w:tr>
      <w:tr w:rsidR="00331BA8" w:rsidRPr="00243ED2" w:rsidTr="00331BA8">
        <w:trPr>
          <w:cantSplit/>
        </w:trPr>
        <w:tc>
          <w:tcPr>
            <w:tcW w:w="2139" w:type="dxa"/>
            <w:shd w:val="clear" w:color="auto" w:fill="auto"/>
          </w:tcPr>
          <w:p w:rsidR="00331BA8" w:rsidRPr="00243ED2" w:rsidRDefault="00331BA8" w:rsidP="00BB204B">
            <w:pPr>
              <w:pStyle w:val="ENoteTableText"/>
              <w:tabs>
                <w:tab w:val="center" w:leader="dot" w:pos="2268"/>
              </w:tabs>
            </w:pPr>
            <w:r w:rsidRPr="00243ED2">
              <w:t>Div</w:t>
            </w:r>
            <w:r w:rsidR="00BB204B" w:rsidRPr="00243ED2">
              <w:t>ision</w:t>
            </w:r>
            <w:r w:rsidR="00243ED2">
              <w:t> </w:t>
            </w:r>
            <w:r w:rsidRPr="00243ED2">
              <w:t>3.2</w:t>
            </w:r>
            <w:r w:rsidRPr="00243ED2">
              <w:tab/>
            </w:r>
          </w:p>
        </w:tc>
        <w:tc>
          <w:tcPr>
            <w:tcW w:w="4943" w:type="dxa"/>
            <w:shd w:val="clear" w:color="auto" w:fill="auto"/>
          </w:tcPr>
          <w:p w:rsidR="00331BA8" w:rsidRPr="00243ED2" w:rsidRDefault="00331BA8" w:rsidP="00331BA8">
            <w:pPr>
              <w:pStyle w:val="ENoteTableText"/>
            </w:pPr>
            <w:r w:rsidRPr="00243ED2">
              <w:t>rs. 2012 No.</w:t>
            </w:r>
            <w:r w:rsidR="00243ED2">
              <w:t> </w:t>
            </w:r>
            <w:r w:rsidRPr="00243ED2">
              <w:t>286</w:t>
            </w:r>
          </w:p>
        </w:tc>
      </w:tr>
      <w:tr w:rsidR="00331BA8" w:rsidRPr="00243ED2" w:rsidTr="00331BA8">
        <w:trPr>
          <w:cantSplit/>
        </w:trPr>
        <w:tc>
          <w:tcPr>
            <w:tcW w:w="2139" w:type="dxa"/>
            <w:shd w:val="clear" w:color="auto" w:fill="auto"/>
          </w:tcPr>
          <w:p w:rsidR="00331BA8" w:rsidRPr="00243ED2" w:rsidRDefault="0082647E" w:rsidP="0082647E">
            <w:pPr>
              <w:pStyle w:val="ENoteTableText"/>
              <w:tabs>
                <w:tab w:val="center" w:leader="dot" w:pos="2268"/>
              </w:tabs>
            </w:pPr>
            <w:r w:rsidRPr="00243ED2">
              <w:t xml:space="preserve">r. </w:t>
            </w:r>
            <w:r w:rsidR="00331BA8" w:rsidRPr="00243ED2">
              <w:t>3.2</w:t>
            </w:r>
            <w:r w:rsidR="00331BA8" w:rsidRPr="00243ED2">
              <w:tab/>
            </w:r>
          </w:p>
        </w:tc>
        <w:tc>
          <w:tcPr>
            <w:tcW w:w="4943" w:type="dxa"/>
            <w:shd w:val="clear" w:color="auto" w:fill="auto"/>
          </w:tcPr>
          <w:p w:rsidR="00331BA8" w:rsidRPr="00243ED2" w:rsidRDefault="00331BA8" w:rsidP="00331BA8">
            <w:pPr>
              <w:pStyle w:val="ENoteTableText"/>
            </w:pPr>
            <w:r w:rsidRPr="00243ED2">
              <w:t>ad. 2012 No.</w:t>
            </w:r>
            <w:r w:rsidR="00243ED2">
              <w:t> </w:t>
            </w:r>
            <w:r w:rsidRPr="00243ED2">
              <w:t>286</w:t>
            </w:r>
          </w:p>
        </w:tc>
      </w:tr>
      <w:tr w:rsidR="00331BA8" w:rsidRPr="00243ED2" w:rsidTr="00331BA8">
        <w:trPr>
          <w:cantSplit/>
        </w:trPr>
        <w:tc>
          <w:tcPr>
            <w:tcW w:w="2139" w:type="dxa"/>
            <w:shd w:val="clear" w:color="auto" w:fill="auto"/>
          </w:tcPr>
          <w:p w:rsidR="00331BA8" w:rsidRPr="00243ED2" w:rsidRDefault="0082647E" w:rsidP="0082647E">
            <w:pPr>
              <w:pStyle w:val="ENoteTableText"/>
              <w:tabs>
                <w:tab w:val="center" w:leader="dot" w:pos="2268"/>
              </w:tabs>
            </w:pPr>
            <w:r w:rsidRPr="00243ED2">
              <w:t xml:space="preserve">r. </w:t>
            </w:r>
            <w:r w:rsidR="00331BA8" w:rsidRPr="00243ED2">
              <w:t>3.3</w:t>
            </w:r>
            <w:r w:rsidR="00331BA8" w:rsidRPr="00243ED2">
              <w:tab/>
            </w:r>
          </w:p>
        </w:tc>
        <w:tc>
          <w:tcPr>
            <w:tcW w:w="4943" w:type="dxa"/>
            <w:shd w:val="clear" w:color="auto" w:fill="auto"/>
          </w:tcPr>
          <w:p w:rsidR="00331BA8" w:rsidRPr="00243ED2" w:rsidRDefault="00331BA8" w:rsidP="00331BA8">
            <w:pPr>
              <w:pStyle w:val="ENoteTableText"/>
            </w:pPr>
            <w:r w:rsidRPr="00243ED2">
              <w:t>rep. 2012 No.</w:t>
            </w:r>
            <w:r w:rsidR="00243ED2">
              <w:t> </w:t>
            </w:r>
            <w:r w:rsidRPr="00243ED2">
              <w:t>286</w:t>
            </w:r>
          </w:p>
        </w:tc>
      </w:tr>
      <w:tr w:rsidR="00331BA8" w:rsidRPr="00243ED2" w:rsidTr="00331BA8">
        <w:trPr>
          <w:cantSplit/>
        </w:trPr>
        <w:tc>
          <w:tcPr>
            <w:tcW w:w="2139" w:type="dxa"/>
            <w:shd w:val="clear" w:color="auto" w:fill="auto"/>
          </w:tcPr>
          <w:p w:rsidR="00331BA8" w:rsidRPr="00243ED2" w:rsidRDefault="0082647E" w:rsidP="0082647E">
            <w:pPr>
              <w:pStyle w:val="ENoteTableText"/>
              <w:tabs>
                <w:tab w:val="center" w:leader="dot" w:pos="2268"/>
              </w:tabs>
            </w:pPr>
            <w:r w:rsidRPr="00243ED2">
              <w:t xml:space="preserve">r. </w:t>
            </w:r>
            <w:r w:rsidR="00331BA8" w:rsidRPr="00243ED2">
              <w:t>3.4</w:t>
            </w:r>
            <w:r w:rsidR="00331BA8" w:rsidRPr="00243ED2">
              <w:tab/>
            </w:r>
          </w:p>
        </w:tc>
        <w:tc>
          <w:tcPr>
            <w:tcW w:w="4943" w:type="dxa"/>
            <w:shd w:val="clear" w:color="auto" w:fill="auto"/>
          </w:tcPr>
          <w:p w:rsidR="00331BA8" w:rsidRPr="00243ED2" w:rsidRDefault="00331BA8" w:rsidP="00331BA8">
            <w:pPr>
              <w:pStyle w:val="ENoteTableText"/>
            </w:pPr>
            <w:r w:rsidRPr="00243ED2">
              <w:t>rep. 2012 No.</w:t>
            </w:r>
            <w:r w:rsidR="00243ED2">
              <w:t> </w:t>
            </w:r>
            <w:r w:rsidRPr="00243ED2">
              <w:t>286</w:t>
            </w:r>
          </w:p>
        </w:tc>
      </w:tr>
      <w:tr w:rsidR="00331BA8" w:rsidRPr="00243ED2" w:rsidTr="00331BA8">
        <w:trPr>
          <w:cantSplit/>
        </w:trPr>
        <w:tc>
          <w:tcPr>
            <w:tcW w:w="2139" w:type="dxa"/>
            <w:shd w:val="clear" w:color="auto" w:fill="auto"/>
          </w:tcPr>
          <w:p w:rsidR="00331BA8" w:rsidRPr="00243ED2" w:rsidRDefault="0082647E" w:rsidP="0082647E">
            <w:pPr>
              <w:pStyle w:val="ENoteTableText"/>
              <w:tabs>
                <w:tab w:val="center" w:leader="dot" w:pos="2268"/>
              </w:tabs>
            </w:pPr>
            <w:r w:rsidRPr="00243ED2">
              <w:t xml:space="preserve">r. </w:t>
            </w:r>
            <w:r w:rsidR="00331BA8" w:rsidRPr="00243ED2">
              <w:t>3.5</w:t>
            </w:r>
            <w:r w:rsidR="00331BA8" w:rsidRPr="00243ED2">
              <w:tab/>
            </w:r>
          </w:p>
        </w:tc>
        <w:tc>
          <w:tcPr>
            <w:tcW w:w="4943" w:type="dxa"/>
            <w:shd w:val="clear" w:color="auto" w:fill="auto"/>
          </w:tcPr>
          <w:p w:rsidR="00331BA8" w:rsidRPr="00243ED2" w:rsidRDefault="00331BA8" w:rsidP="00331BA8">
            <w:pPr>
              <w:pStyle w:val="ENoteTableText"/>
            </w:pPr>
            <w:r w:rsidRPr="00243ED2">
              <w:t>rep. 2012 No.</w:t>
            </w:r>
            <w:r w:rsidR="00243ED2">
              <w:t> </w:t>
            </w:r>
            <w:r w:rsidRPr="00243ED2">
              <w:t>286</w:t>
            </w:r>
          </w:p>
        </w:tc>
      </w:tr>
      <w:tr w:rsidR="00331BA8" w:rsidRPr="00243ED2" w:rsidTr="00331BA8">
        <w:trPr>
          <w:cantSplit/>
        </w:trPr>
        <w:tc>
          <w:tcPr>
            <w:tcW w:w="2139" w:type="dxa"/>
            <w:shd w:val="clear" w:color="auto" w:fill="auto"/>
          </w:tcPr>
          <w:p w:rsidR="00331BA8" w:rsidRPr="00243ED2" w:rsidRDefault="0082647E" w:rsidP="0082647E">
            <w:pPr>
              <w:pStyle w:val="ENoteTableText"/>
              <w:tabs>
                <w:tab w:val="center" w:leader="dot" w:pos="2268"/>
              </w:tabs>
            </w:pPr>
            <w:r w:rsidRPr="00243ED2">
              <w:t xml:space="preserve">r. </w:t>
            </w:r>
            <w:r w:rsidR="00331BA8" w:rsidRPr="00243ED2">
              <w:t>3.6</w:t>
            </w:r>
            <w:r w:rsidR="00331BA8" w:rsidRPr="00243ED2">
              <w:tab/>
            </w:r>
          </w:p>
        </w:tc>
        <w:tc>
          <w:tcPr>
            <w:tcW w:w="4943" w:type="dxa"/>
            <w:shd w:val="clear" w:color="auto" w:fill="auto"/>
          </w:tcPr>
          <w:p w:rsidR="00331BA8" w:rsidRPr="00243ED2" w:rsidRDefault="00331BA8" w:rsidP="00331BA8">
            <w:pPr>
              <w:pStyle w:val="ENoteTableText"/>
            </w:pPr>
            <w:r w:rsidRPr="00243ED2">
              <w:t>rep. 2012 No.</w:t>
            </w:r>
            <w:r w:rsidR="00243ED2">
              <w:t> </w:t>
            </w:r>
            <w:r w:rsidRPr="00243ED2">
              <w:t>286</w:t>
            </w:r>
          </w:p>
        </w:tc>
      </w:tr>
      <w:tr w:rsidR="00331BA8" w:rsidRPr="00243ED2" w:rsidTr="00331BA8">
        <w:trPr>
          <w:cantSplit/>
        </w:trPr>
        <w:tc>
          <w:tcPr>
            <w:tcW w:w="2139" w:type="dxa"/>
            <w:shd w:val="clear" w:color="auto" w:fill="auto"/>
          </w:tcPr>
          <w:p w:rsidR="00331BA8" w:rsidRPr="00243ED2" w:rsidRDefault="0082647E" w:rsidP="0082647E">
            <w:pPr>
              <w:pStyle w:val="ENoteTableText"/>
              <w:tabs>
                <w:tab w:val="center" w:leader="dot" w:pos="2268"/>
              </w:tabs>
            </w:pPr>
            <w:r w:rsidRPr="00243ED2">
              <w:t xml:space="preserve">r. </w:t>
            </w:r>
            <w:r w:rsidR="00331BA8" w:rsidRPr="00243ED2">
              <w:t>3.7</w:t>
            </w:r>
            <w:r w:rsidR="00331BA8" w:rsidRPr="00243ED2">
              <w:tab/>
            </w:r>
          </w:p>
        </w:tc>
        <w:tc>
          <w:tcPr>
            <w:tcW w:w="4943" w:type="dxa"/>
            <w:shd w:val="clear" w:color="auto" w:fill="auto"/>
          </w:tcPr>
          <w:p w:rsidR="00331BA8" w:rsidRPr="00243ED2" w:rsidRDefault="00331BA8" w:rsidP="00331BA8">
            <w:pPr>
              <w:pStyle w:val="ENoteTableText"/>
            </w:pPr>
            <w:r w:rsidRPr="00243ED2">
              <w:t>rep. 2012 No.</w:t>
            </w:r>
            <w:r w:rsidR="00243ED2">
              <w:t> </w:t>
            </w:r>
            <w:r w:rsidRPr="00243ED2">
              <w:t>286</w:t>
            </w:r>
          </w:p>
        </w:tc>
      </w:tr>
      <w:tr w:rsidR="00331BA8" w:rsidRPr="00243ED2" w:rsidTr="00331BA8">
        <w:trPr>
          <w:cantSplit/>
        </w:trPr>
        <w:tc>
          <w:tcPr>
            <w:tcW w:w="2139" w:type="dxa"/>
            <w:shd w:val="clear" w:color="auto" w:fill="auto"/>
          </w:tcPr>
          <w:p w:rsidR="00331BA8" w:rsidRPr="00243ED2" w:rsidRDefault="0082647E" w:rsidP="0082647E">
            <w:pPr>
              <w:pStyle w:val="ENoteTableText"/>
              <w:tabs>
                <w:tab w:val="center" w:leader="dot" w:pos="2268"/>
              </w:tabs>
            </w:pPr>
            <w:r w:rsidRPr="00243ED2">
              <w:t xml:space="preserve">r. </w:t>
            </w:r>
            <w:r w:rsidR="00331BA8" w:rsidRPr="00243ED2">
              <w:t>3.8</w:t>
            </w:r>
            <w:r w:rsidR="00331BA8" w:rsidRPr="00243ED2">
              <w:tab/>
            </w:r>
          </w:p>
        </w:tc>
        <w:tc>
          <w:tcPr>
            <w:tcW w:w="4943" w:type="dxa"/>
            <w:shd w:val="clear" w:color="auto" w:fill="auto"/>
          </w:tcPr>
          <w:p w:rsidR="00331BA8" w:rsidRPr="00243ED2" w:rsidRDefault="00331BA8" w:rsidP="00331BA8">
            <w:pPr>
              <w:pStyle w:val="ENoteTableText"/>
            </w:pPr>
            <w:r w:rsidRPr="00243ED2">
              <w:t>rep. 2012 No.</w:t>
            </w:r>
            <w:r w:rsidR="00243ED2">
              <w:t> </w:t>
            </w:r>
            <w:r w:rsidRPr="00243ED2">
              <w:t>286</w:t>
            </w:r>
          </w:p>
        </w:tc>
      </w:tr>
      <w:tr w:rsidR="00331BA8" w:rsidRPr="00243ED2" w:rsidTr="00331BA8">
        <w:trPr>
          <w:cantSplit/>
        </w:trPr>
        <w:tc>
          <w:tcPr>
            <w:tcW w:w="2139" w:type="dxa"/>
            <w:shd w:val="clear" w:color="auto" w:fill="auto"/>
          </w:tcPr>
          <w:p w:rsidR="00331BA8" w:rsidRPr="00243ED2" w:rsidRDefault="0082647E" w:rsidP="0082647E">
            <w:pPr>
              <w:pStyle w:val="ENoteTableText"/>
              <w:tabs>
                <w:tab w:val="center" w:leader="dot" w:pos="2268"/>
              </w:tabs>
            </w:pPr>
            <w:r w:rsidRPr="00243ED2">
              <w:t xml:space="preserve">r. </w:t>
            </w:r>
            <w:r w:rsidR="00331BA8" w:rsidRPr="00243ED2">
              <w:t>3.9</w:t>
            </w:r>
            <w:r w:rsidR="00331BA8" w:rsidRPr="00243ED2">
              <w:tab/>
            </w:r>
          </w:p>
        </w:tc>
        <w:tc>
          <w:tcPr>
            <w:tcW w:w="4943" w:type="dxa"/>
            <w:shd w:val="clear" w:color="auto" w:fill="auto"/>
          </w:tcPr>
          <w:p w:rsidR="00331BA8" w:rsidRPr="00243ED2" w:rsidRDefault="00331BA8" w:rsidP="00331BA8">
            <w:pPr>
              <w:pStyle w:val="ENoteTableText"/>
            </w:pPr>
            <w:r w:rsidRPr="00243ED2">
              <w:t>rep. 2012 No.</w:t>
            </w:r>
            <w:r w:rsidR="00243ED2">
              <w:t> </w:t>
            </w:r>
            <w:r w:rsidRPr="00243ED2">
              <w:t>286</w:t>
            </w:r>
          </w:p>
        </w:tc>
      </w:tr>
      <w:tr w:rsidR="00331BA8" w:rsidRPr="00243ED2" w:rsidTr="00331BA8">
        <w:trPr>
          <w:cantSplit/>
        </w:trPr>
        <w:tc>
          <w:tcPr>
            <w:tcW w:w="2139" w:type="dxa"/>
            <w:shd w:val="clear" w:color="auto" w:fill="auto"/>
          </w:tcPr>
          <w:p w:rsidR="00331BA8" w:rsidRPr="00243ED2" w:rsidRDefault="0082647E" w:rsidP="0082647E">
            <w:pPr>
              <w:pStyle w:val="ENoteTableText"/>
              <w:tabs>
                <w:tab w:val="center" w:leader="dot" w:pos="2268"/>
              </w:tabs>
            </w:pPr>
            <w:r w:rsidRPr="00243ED2">
              <w:t xml:space="preserve">r. </w:t>
            </w:r>
            <w:r w:rsidR="00331BA8" w:rsidRPr="00243ED2">
              <w:t>3.10</w:t>
            </w:r>
            <w:r w:rsidR="00331BA8" w:rsidRPr="00243ED2">
              <w:tab/>
            </w:r>
          </w:p>
        </w:tc>
        <w:tc>
          <w:tcPr>
            <w:tcW w:w="4943" w:type="dxa"/>
            <w:shd w:val="clear" w:color="auto" w:fill="auto"/>
          </w:tcPr>
          <w:p w:rsidR="00331BA8" w:rsidRPr="00243ED2" w:rsidRDefault="00331BA8" w:rsidP="00331BA8">
            <w:pPr>
              <w:pStyle w:val="ENoteTableText"/>
            </w:pPr>
            <w:r w:rsidRPr="00243ED2">
              <w:t>rep. 2012 No.</w:t>
            </w:r>
            <w:r w:rsidR="00243ED2">
              <w:t> </w:t>
            </w:r>
            <w:r w:rsidRPr="00243ED2">
              <w:t>286</w:t>
            </w:r>
          </w:p>
        </w:tc>
      </w:tr>
      <w:tr w:rsidR="00331BA8" w:rsidRPr="00243ED2" w:rsidTr="00331BA8">
        <w:trPr>
          <w:cantSplit/>
        </w:trPr>
        <w:tc>
          <w:tcPr>
            <w:tcW w:w="2139" w:type="dxa"/>
            <w:shd w:val="clear" w:color="auto" w:fill="auto"/>
          </w:tcPr>
          <w:p w:rsidR="00331BA8" w:rsidRPr="00243ED2" w:rsidRDefault="0082647E" w:rsidP="0082647E">
            <w:pPr>
              <w:pStyle w:val="ENoteTableText"/>
              <w:tabs>
                <w:tab w:val="center" w:leader="dot" w:pos="2268"/>
              </w:tabs>
            </w:pPr>
            <w:r w:rsidRPr="00243ED2">
              <w:t xml:space="preserve">r. </w:t>
            </w:r>
            <w:r w:rsidR="00331BA8" w:rsidRPr="00243ED2">
              <w:t>3.11</w:t>
            </w:r>
            <w:r w:rsidR="00331BA8" w:rsidRPr="00243ED2">
              <w:tab/>
            </w:r>
          </w:p>
        </w:tc>
        <w:tc>
          <w:tcPr>
            <w:tcW w:w="4943" w:type="dxa"/>
            <w:shd w:val="clear" w:color="auto" w:fill="auto"/>
          </w:tcPr>
          <w:p w:rsidR="00331BA8" w:rsidRPr="00243ED2" w:rsidRDefault="00331BA8" w:rsidP="00331BA8">
            <w:pPr>
              <w:pStyle w:val="ENoteTableText"/>
            </w:pPr>
            <w:r w:rsidRPr="00243ED2">
              <w:t>rep. 2012 No.</w:t>
            </w:r>
            <w:r w:rsidR="00243ED2">
              <w:t> </w:t>
            </w:r>
            <w:r w:rsidRPr="00243ED2">
              <w:t>286</w:t>
            </w:r>
          </w:p>
        </w:tc>
      </w:tr>
      <w:tr w:rsidR="00331BA8" w:rsidRPr="00243ED2" w:rsidTr="00331BA8">
        <w:trPr>
          <w:cantSplit/>
        </w:trPr>
        <w:tc>
          <w:tcPr>
            <w:tcW w:w="2139" w:type="dxa"/>
            <w:shd w:val="clear" w:color="auto" w:fill="auto"/>
          </w:tcPr>
          <w:p w:rsidR="00331BA8" w:rsidRPr="00243ED2" w:rsidRDefault="00331BA8" w:rsidP="00331BA8">
            <w:pPr>
              <w:pStyle w:val="ENoteTableText"/>
            </w:pPr>
            <w:r w:rsidRPr="00243ED2">
              <w:rPr>
                <w:b/>
              </w:rPr>
              <w:t>Division</w:t>
            </w:r>
            <w:r w:rsidR="00243ED2">
              <w:rPr>
                <w:b/>
              </w:rPr>
              <w:t> </w:t>
            </w:r>
            <w:r w:rsidRPr="00243ED2">
              <w:rPr>
                <w:b/>
              </w:rPr>
              <w:t>3.3</w:t>
            </w:r>
          </w:p>
        </w:tc>
        <w:tc>
          <w:tcPr>
            <w:tcW w:w="4943" w:type="dxa"/>
            <w:shd w:val="clear" w:color="auto" w:fill="auto"/>
          </w:tcPr>
          <w:p w:rsidR="00331BA8" w:rsidRPr="00243ED2" w:rsidRDefault="00331BA8" w:rsidP="00331BA8">
            <w:pPr>
              <w:pStyle w:val="ENoteTableText"/>
            </w:pPr>
          </w:p>
        </w:tc>
      </w:tr>
      <w:tr w:rsidR="00331BA8" w:rsidRPr="00243ED2" w:rsidTr="00331BA8">
        <w:trPr>
          <w:cantSplit/>
        </w:trPr>
        <w:tc>
          <w:tcPr>
            <w:tcW w:w="2139" w:type="dxa"/>
            <w:shd w:val="clear" w:color="auto" w:fill="auto"/>
          </w:tcPr>
          <w:p w:rsidR="00331BA8" w:rsidRPr="00243ED2" w:rsidRDefault="00331BA8" w:rsidP="00BB204B">
            <w:pPr>
              <w:pStyle w:val="ENoteTableText"/>
              <w:tabs>
                <w:tab w:val="center" w:leader="dot" w:pos="2268"/>
              </w:tabs>
            </w:pPr>
            <w:r w:rsidRPr="00243ED2">
              <w:t>Div</w:t>
            </w:r>
            <w:r w:rsidR="00BB204B" w:rsidRPr="00243ED2">
              <w:t>ision</w:t>
            </w:r>
            <w:r w:rsidR="00243ED2">
              <w:t> </w:t>
            </w:r>
            <w:r w:rsidRPr="00243ED2">
              <w:t>3.3</w:t>
            </w:r>
            <w:r w:rsidRPr="00243ED2">
              <w:tab/>
            </w:r>
          </w:p>
        </w:tc>
        <w:tc>
          <w:tcPr>
            <w:tcW w:w="4943" w:type="dxa"/>
            <w:shd w:val="clear" w:color="auto" w:fill="auto"/>
          </w:tcPr>
          <w:p w:rsidR="00331BA8" w:rsidRPr="00243ED2" w:rsidRDefault="00331BA8" w:rsidP="00331BA8">
            <w:pPr>
              <w:pStyle w:val="ENoteTableText"/>
            </w:pPr>
            <w:r w:rsidRPr="00243ED2">
              <w:t>ad. 2002 No.</w:t>
            </w:r>
            <w:r w:rsidR="00243ED2">
              <w:t> </w:t>
            </w:r>
            <w:r w:rsidRPr="00243ED2">
              <w:t>297</w:t>
            </w:r>
          </w:p>
        </w:tc>
      </w:tr>
      <w:tr w:rsidR="00331BA8" w:rsidRPr="00243ED2" w:rsidTr="00331BA8">
        <w:trPr>
          <w:cantSplit/>
        </w:trPr>
        <w:tc>
          <w:tcPr>
            <w:tcW w:w="2139" w:type="dxa"/>
            <w:shd w:val="clear" w:color="auto" w:fill="auto"/>
          </w:tcPr>
          <w:p w:rsidR="00331BA8" w:rsidRPr="00243ED2" w:rsidRDefault="0082647E" w:rsidP="0082647E">
            <w:pPr>
              <w:pStyle w:val="ENoteTableText"/>
              <w:tabs>
                <w:tab w:val="center" w:leader="dot" w:pos="2268"/>
              </w:tabs>
            </w:pPr>
            <w:r w:rsidRPr="00243ED2">
              <w:t xml:space="preserve">r. </w:t>
            </w:r>
            <w:r w:rsidR="00331BA8" w:rsidRPr="00243ED2">
              <w:t>3.12</w:t>
            </w:r>
            <w:r w:rsidR="00331BA8" w:rsidRPr="00243ED2">
              <w:tab/>
            </w:r>
          </w:p>
        </w:tc>
        <w:tc>
          <w:tcPr>
            <w:tcW w:w="4943" w:type="dxa"/>
            <w:shd w:val="clear" w:color="auto" w:fill="auto"/>
          </w:tcPr>
          <w:p w:rsidR="00331BA8" w:rsidRPr="00243ED2" w:rsidRDefault="00331BA8" w:rsidP="00331BA8">
            <w:pPr>
              <w:pStyle w:val="ENoteTableText"/>
            </w:pPr>
            <w:r w:rsidRPr="00243ED2">
              <w:t>ad. 2002 No.</w:t>
            </w:r>
            <w:r w:rsidR="00243ED2">
              <w:t> </w:t>
            </w:r>
            <w:r w:rsidRPr="00243ED2">
              <w:t>297</w:t>
            </w:r>
          </w:p>
        </w:tc>
      </w:tr>
      <w:tr w:rsidR="00331BA8" w:rsidRPr="00243ED2" w:rsidTr="00331BA8">
        <w:trPr>
          <w:cantSplit/>
        </w:trPr>
        <w:tc>
          <w:tcPr>
            <w:tcW w:w="2139" w:type="dxa"/>
            <w:shd w:val="clear" w:color="auto" w:fill="auto"/>
          </w:tcPr>
          <w:p w:rsidR="00331BA8" w:rsidRPr="00243ED2" w:rsidRDefault="00331BA8" w:rsidP="00331BA8">
            <w:pPr>
              <w:pStyle w:val="ENoteTableText"/>
            </w:pPr>
            <w:r w:rsidRPr="00243ED2">
              <w:rPr>
                <w:b/>
              </w:rPr>
              <w:t>Division</w:t>
            </w:r>
            <w:r w:rsidR="00243ED2">
              <w:rPr>
                <w:b/>
              </w:rPr>
              <w:t> </w:t>
            </w:r>
            <w:r w:rsidRPr="00243ED2">
              <w:rPr>
                <w:b/>
              </w:rPr>
              <w:t>3.4</w:t>
            </w:r>
          </w:p>
        </w:tc>
        <w:tc>
          <w:tcPr>
            <w:tcW w:w="4943" w:type="dxa"/>
            <w:shd w:val="clear" w:color="auto" w:fill="auto"/>
          </w:tcPr>
          <w:p w:rsidR="00331BA8" w:rsidRPr="00243ED2" w:rsidRDefault="00331BA8" w:rsidP="00331BA8">
            <w:pPr>
              <w:pStyle w:val="ENoteTableText"/>
            </w:pPr>
          </w:p>
        </w:tc>
      </w:tr>
      <w:tr w:rsidR="00331BA8" w:rsidRPr="00243ED2" w:rsidTr="00331BA8">
        <w:trPr>
          <w:cantSplit/>
        </w:trPr>
        <w:tc>
          <w:tcPr>
            <w:tcW w:w="2139" w:type="dxa"/>
            <w:shd w:val="clear" w:color="auto" w:fill="auto"/>
          </w:tcPr>
          <w:p w:rsidR="00331BA8" w:rsidRPr="00243ED2" w:rsidRDefault="00331BA8" w:rsidP="00BB204B">
            <w:pPr>
              <w:pStyle w:val="ENoteTableText"/>
              <w:tabs>
                <w:tab w:val="center" w:leader="dot" w:pos="2268"/>
              </w:tabs>
            </w:pPr>
            <w:r w:rsidRPr="00243ED2">
              <w:t>Div</w:t>
            </w:r>
            <w:r w:rsidR="00BB204B" w:rsidRPr="00243ED2">
              <w:t>ision</w:t>
            </w:r>
            <w:r w:rsidR="00243ED2">
              <w:t> </w:t>
            </w:r>
            <w:r w:rsidRPr="00243ED2">
              <w:t>3.4</w:t>
            </w:r>
            <w:r w:rsidRPr="00243ED2">
              <w:tab/>
            </w:r>
          </w:p>
        </w:tc>
        <w:tc>
          <w:tcPr>
            <w:tcW w:w="4943" w:type="dxa"/>
            <w:shd w:val="clear" w:color="auto" w:fill="auto"/>
          </w:tcPr>
          <w:p w:rsidR="00331BA8" w:rsidRPr="00243ED2" w:rsidRDefault="00331BA8" w:rsidP="00331BA8">
            <w:pPr>
              <w:pStyle w:val="ENoteTableText"/>
            </w:pPr>
            <w:r w:rsidRPr="00243ED2">
              <w:t>ad. 2012 No.</w:t>
            </w:r>
            <w:r w:rsidR="00243ED2">
              <w:t> </w:t>
            </w:r>
            <w:r w:rsidRPr="00243ED2">
              <w:t>216</w:t>
            </w:r>
          </w:p>
        </w:tc>
      </w:tr>
      <w:tr w:rsidR="00331BA8" w:rsidRPr="00243ED2" w:rsidTr="00331BA8">
        <w:trPr>
          <w:cantSplit/>
        </w:trPr>
        <w:tc>
          <w:tcPr>
            <w:tcW w:w="2139" w:type="dxa"/>
            <w:shd w:val="clear" w:color="auto" w:fill="auto"/>
          </w:tcPr>
          <w:p w:rsidR="00331BA8" w:rsidRPr="00243ED2" w:rsidRDefault="0082647E" w:rsidP="0082647E">
            <w:pPr>
              <w:pStyle w:val="ENoteTableText"/>
              <w:tabs>
                <w:tab w:val="center" w:leader="dot" w:pos="2268"/>
              </w:tabs>
            </w:pPr>
            <w:r w:rsidRPr="00243ED2">
              <w:t xml:space="preserve">r. </w:t>
            </w:r>
            <w:r w:rsidR="00331BA8" w:rsidRPr="00243ED2">
              <w:t>3.13</w:t>
            </w:r>
            <w:r w:rsidR="00331BA8" w:rsidRPr="00243ED2">
              <w:tab/>
            </w:r>
          </w:p>
        </w:tc>
        <w:tc>
          <w:tcPr>
            <w:tcW w:w="4943" w:type="dxa"/>
            <w:shd w:val="clear" w:color="auto" w:fill="auto"/>
          </w:tcPr>
          <w:p w:rsidR="00331BA8" w:rsidRPr="00243ED2" w:rsidRDefault="00331BA8" w:rsidP="00331BA8">
            <w:pPr>
              <w:pStyle w:val="ENoteTableText"/>
            </w:pPr>
            <w:r w:rsidRPr="00243ED2">
              <w:t>ad. 2012 No.</w:t>
            </w:r>
            <w:r w:rsidR="00243ED2">
              <w:t> </w:t>
            </w:r>
            <w:r w:rsidRPr="00243ED2">
              <w:t>216</w:t>
            </w:r>
          </w:p>
        </w:tc>
      </w:tr>
      <w:tr w:rsidR="00331BA8" w:rsidRPr="00243ED2" w:rsidTr="00331BA8">
        <w:trPr>
          <w:cantSplit/>
        </w:trPr>
        <w:tc>
          <w:tcPr>
            <w:tcW w:w="2139" w:type="dxa"/>
            <w:shd w:val="clear" w:color="auto" w:fill="auto"/>
          </w:tcPr>
          <w:p w:rsidR="00331BA8" w:rsidRPr="00243ED2" w:rsidRDefault="00331BA8" w:rsidP="00331BA8">
            <w:pPr>
              <w:pStyle w:val="ENoteTableText"/>
            </w:pPr>
            <w:r w:rsidRPr="00243ED2">
              <w:rPr>
                <w:b/>
              </w:rPr>
              <w:lastRenderedPageBreak/>
              <w:t>Division</w:t>
            </w:r>
            <w:r w:rsidR="00243ED2">
              <w:rPr>
                <w:b/>
              </w:rPr>
              <w:t> </w:t>
            </w:r>
            <w:r w:rsidRPr="00243ED2">
              <w:rPr>
                <w:b/>
              </w:rPr>
              <w:t>3.5</w:t>
            </w:r>
          </w:p>
        </w:tc>
        <w:tc>
          <w:tcPr>
            <w:tcW w:w="4943" w:type="dxa"/>
            <w:shd w:val="clear" w:color="auto" w:fill="auto"/>
          </w:tcPr>
          <w:p w:rsidR="00331BA8" w:rsidRPr="00243ED2" w:rsidRDefault="00331BA8" w:rsidP="00331BA8">
            <w:pPr>
              <w:pStyle w:val="ENoteTableText"/>
            </w:pPr>
          </w:p>
        </w:tc>
      </w:tr>
      <w:tr w:rsidR="00331BA8" w:rsidRPr="00243ED2" w:rsidTr="00331BA8">
        <w:trPr>
          <w:cantSplit/>
        </w:trPr>
        <w:tc>
          <w:tcPr>
            <w:tcW w:w="2139" w:type="dxa"/>
            <w:shd w:val="clear" w:color="auto" w:fill="auto"/>
          </w:tcPr>
          <w:p w:rsidR="00331BA8" w:rsidRPr="00243ED2" w:rsidRDefault="00331BA8" w:rsidP="00BB204B">
            <w:pPr>
              <w:pStyle w:val="ENoteTableText"/>
              <w:tabs>
                <w:tab w:val="center" w:leader="dot" w:pos="2268"/>
              </w:tabs>
            </w:pPr>
            <w:r w:rsidRPr="00243ED2">
              <w:t>Div</w:t>
            </w:r>
            <w:r w:rsidR="00BB204B" w:rsidRPr="00243ED2">
              <w:t>ision</w:t>
            </w:r>
            <w:r w:rsidR="00243ED2">
              <w:t> </w:t>
            </w:r>
            <w:r w:rsidRPr="00243ED2">
              <w:t>3.5</w:t>
            </w:r>
            <w:r w:rsidRPr="00243ED2">
              <w:tab/>
            </w:r>
          </w:p>
        </w:tc>
        <w:tc>
          <w:tcPr>
            <w:tcW w:w="4943" w:type="dxa"/>
            <w:shd w:val="clear" w:color="auto" w:fill="auto"/>
          </w:tcPr>
          <w:p w:rsidR="00331BA8" w:rsidRPr="00243ED2" w:rsidRDefault="00331BA8" w:rsidP="00331BA8">
            <w:pPr>
              <w:pStyle w:val="ENoteTableText"/>
            </w:pPr>
            <w:r w:rsidRPr="00243ED2">
              <w:t>ad. 2012 No.</w:t>
            </w:r>
            <w:r w:rsidR="00243ED2">
              <w:t> </w:t>
            </w:r>
            <w:r w:rsidRPr="00243ED2">
              <w:t>286</w:t>
            </w:r>
          </w:p>
        </w:tc>
      </w:tr>
      <w:tr w:rsidR="00331BA8" w:rsidRPr="00243ED2" w:rsidTr="00331BA8">
        <w:trPr>
          <w:cantSplit/>
        </w:trPr>
        <w:tc>
          <w:tcPr>
            <w:tcW w:w="2139" w:type="dxa"/>
            <w:shd w:val="clear" w:color="auto" w:fill="auto"/>
          </w:tcPr>
          <w:p w:rsidR="00331BA8" w:rsidRPr="00243ED2" w:rsidRDefault="0082647E" w:rsidP="0082647E">
            <w:pPr>
              <w:pStyle w:val="ENoteTableText"/>
              <w:tabs>
                <w:tab w:val="center" w:leader="dot" w:pos="2268"/>
              </w:tabs>
            </w:pPr>
            <w:r w:rsidRPr="00243ED2">
              <w:t xml:space="preserve">r. </w:t>
            </w:r>
            <w:r w:rsidR="00331BA8" w:rsidRPr="00243ED2">
              <w:t>3.14</w:t>
            </w:r>
            <w:r w:rsidR="00331BA8" w:rsidRPr="00243ED2">
              <w:tab/>
            </w:r>
          </w:p>
        </w:tc>
        <w:tc>
          <w:tcPr>
            <w:tcW w:w="4943" w:type="dxa"/>
            <w:shd w:val="clear" w:color="auto" w:fill="auto"/>
          </w:tcPr>
          <w:p w:rsidR="00331BA8" w:rsidRPr="00243ED2" w:rsidRDefault="00331BA8" w:rsidP="00331BA8">
            <w:pPr>
              <w:pStyle w:val="ENoteTableText"/>
            </w:pPr>
            <w:r w:rsidRPr="00243ED2">
              <w:t>ad. 2012 No.</w:t>
            </w:r>
            <w:r w:rsidR="00243ED2">
              <w:t> </w:t>
            </w:r>
            <w:r w:rsidRPr="00243ED2">
              <w:t>286</w:t>
            </w:r>
          </w:p>
        </w:tc>
      </w:tr>
      <w:tr w:rsidR="00331BA8" w:rsidRPr="00243ED2" w:rsidTr="00331BA8">
        <w:trPr>
          <w:cantSplit/>
        </w:trPr>
        <w:tc>
          <w:tcPr>
            <w:tcW w:w="2139" w:type="dxa"/>
            <w:shd w:val="clear" w:color="auto" w:fill="auto"/>
          </w:tcPr>
          <w:p w:rsidR="00331BA8" w:rsidRPr="00243ED2" w:rsidRDefault="00331BA8" w:rsidP="00331BA8">
            <w:pPr>
              <w:pStyle w:val="ENoteTableText"/>
            </w:pPr>
            <w:r w:rsidRPr="00243ED2">
              <w:rPr>
                <w:b/>
              </w:rPr>
              <w:t>Part</w:t>
            </w:r>
            <w:r w:rsidR="00243ED2">
              <w:rPr>
                <w:b/>
              </w:rPr>
              <w:t> </w:t>
            </w:r>
            <w:r w:rsidRPr="00243ED2">
              <w:rPr>
                <w:b/>
              </w:rPr>
              <w:t>5</w:t>
            </w:r>
          </w:p>
        </w:tc>
        <w:tc>
          <w:tcPr>
            <w:tcW w:w="4943" w:type="dxa"/>
            <w:shd w:val="clear" w:color="auto" w:fill="auto"/>
          </w:tcPr>
          <w:p w:rsidR="00331BA8" w:rsidRPr="00243ED2" w:rsidRDefault="00331BA8" w:rsidP="00331BA8">
            <w:pPr>
              <w:pStyle w:val="ENoteTableText"/>
            </w:pPr>
          </w:p>
        </w:tc>
      </w:tr>
      <w:tr w:rsidR="00331BA8" w:rsidRPr="00243ED2" w:rsidTr="00331BA8">
        <w:trPr>
          <w:cantSplit/>
        </w:trPr>
        <w:tc>
          <w:tcPr>
            <w:tcW w:w="2139" w:type="dxa"/>
            <w:shd w:val="clear" w:color="auto" w:fill="auto"/>
          </w:tcPr>
          <w:p w:rsidR="00331BA8" w:rsidRPr="00243ED2" w:rsidRDefault="0082647E" w:rsidP="0082647E">
            <w:pPr>
              <w:pStyle w:val="ENoteTableText"/>
              <w:tabs>
                <w:tab w:val="center" w:leader="dot" w:pos="2268"/>
              </w:tabs>
            </w:pPr>
            <w:r w:rsidRPr="00243ED2">
              <w:t xml:space="preserve">r. </w:t>
            </w:r>
            <w:r w:rsidR="00331BA8" w:rsidRPr="00243ED2">
              <w:t>5.1</w:t>
            </w:r>
            <w:r w:rsidR="00331BA8" w:rsidRPr="00243ED2">
              <w:tab/>
            </w:r>
          </w:p>
        </w:tc>
        <w:tc>
          <w:tcPr>
            <w:tcW w:w="4943" w:type="dxa"/>
            <w:shd w:val="clear" w:color="auto" w:fill="auto"/>
          </w:tcPr>
          <w:p w:rsidR="00331BA8" w:rsidRPr="00243ED2" w:rsidRDefault="00331BA8" w:rsidP="00331BA8">
            <w:pPr>
              <w:pStyle w:val="ENoteTableText"/>
            </w:pPr>
            <w:r w:rsidRPr="00243ED2">
              <w:t>am. 2002 No.</w:t>
            </w:r>
            <w:r w:rsidR="00243ED2">
              <w:t> </w:t>
            </w:r>
            <w:r w:rsidRPr="00243ED2">
              <w:t>297; 2004 No.</w:t>
            </w:r>
            <w:r w:rsidR="00243ED2">
              <w:t> </w:t>
            </w:r>
            <w:r w:rsidRPr="00243ED2">
              <w:t>59; 2006 No.</w:t>
            </w:r>
            <w:r w:rsidR="00243ED2">
              <w:t> </w:t>
            </w:r>
            <w:r w:rsidRPr="00243ED2">
              <w:t>236</w:t>
            </w:r>
          </w:p>
        </w:tc>
      </w:tr>
      <w:tr w:rsidR="00331BA8" w:rsidRPr="00243ED2" w:rsidTr="00331BA8">
        <w:trPr>
          <w:cantSplit/>
        </w:trPr>
        <w:tc>
          <w:tcPr>
            <w:tcW w:w="2139" w:type="dxa"/>
            <w:shd w:val="clear" w:color="auto" w:fill="auto"/>
          </w:tcPr>
          <w:p w:rsidR="00331BA8" w:rsidRPr="00243ED2" w:rsidRDefault="00331BA8" w:rsidP="00331BA8">
            <w:pPr>
              <w:pStyle w:val="ENoteTableText"/>
            </w:pPr>
          </w:p>
        </w:tc>
        <w:tc>
          <w:tcPr>
            <w:tcW w:w="4943" w:type="dxa"/>
            <w:shd w:val="clear" w:color="auto" w:fill="auto"/>
          </w:tcPr>
          <w:p w:rsidR="00331BA8" w:rsidRPr="00243ED2" w:rsidRDefault="00331BA8" w:rsidP="00331BA8">
            <w:pPr>
              <w:pStyle w:val="ENoteTableText"/>
            </w:pPr>
            <w:r w:rsidRPr="00243ED2">
              <w:t>rep. 2012 No.</w:t>
            </w:r>
            <w:r w:rsidR="00243ED2">
              <w:t> </w:t>
            </w:r>
            <w:r w:rsidRPr="00243ED2">
              <w:t>286</w:t>
            </w:r>
          </w:p>
        </w:tc>
      </w:tr>
      <w:tr w:rsidR="00331BA8" w:rsidRPr="00243ED2" w:rsidTr="00331BA8">
        <w:trPr>
          <w:cantSplit/>
        </w:trPr>
        <w:tc>
          <w:tcPr>
            <w:tcW w:w="2139" w:type="dxa"/>
            <w:shd w:val="clear" w:color="auto" w:fill="auto"/>
          </w:tcPr>
          <w:p w:rsidR="00331BA8" w:rsidRPr="00243ED2" w:rsidRDefault="0082647E" w:rsidP="0082647E">
            <w:pPr>
              <w:pStyle w:val="ENoteTableText"/>
              <w:tabs>
                <w:tab w:val="center" w:leader="dot" w:pos="2268"/>
              </w:tabs>
            </w:pPr>
            <w:r w:rsidRPr="00243ED2">
              <w:t xml:space="preserve">r. </w:t>
            </w:r>
            <w:r w:rsidR="00331BA8" w:rsidRPr="00243ED2">
              <w:t>5.1A</w:t>
            </w:r>
            <w:r w:rsidR="00331BA8" w:rsidRPr="00243ED2">
              <w:tab/>
            </w:r>
          </w:p>
        </w:tc>
        <w:tc>
          <w:tcPr>
            <w:tcW w:w="4943" w:type="dxa"/>
            <w:shd w:val="clear" w:color="auto" w:fill="auto"/>
          </w:tcPr>
          <w:p w:rsidR="00331BA8" w:rsidRPr="00243ED2" w:rsidRDefault="00331BA8" w:rsidP="00331BA8">
            <w:pPr>
              <w:pStyle w:val="ENoteTableText"/>
            </w:pPr>
            <w:r w:rsidRPr="00243ED2">
              <w:t>ad. 2002 No.</w:t>
            </w:r>
            <w:r w:rsidR="00243ED2">
              <w:t> </w:t>
            </w:r>
            <w:r w:rsidRPr="00243ED2">
              <w:t>99</w:t>
            </w:r>
          </w:p>
        </w:tc>
      </w:tr>
      <w:tr w:rsidR="00331BA8" w:rsidRPr="00243ED2" w:rsidTr="00331BA8">
        <w:trPr>
          <w:cantSplit/>
        </w:trPr>
        <w:tc>
          <w:tcPr>
            <w:tcW w:w="2139" w:type="dxa"/>
            <w:shd w:val="clear" w:color="auto" w:fill="auto"/>
          </w:tcPr>
          <w:p w:rsidR="00331BA8" w:rsidRPr="00243ED2" w:rsidRDefault="0082647E" w:rsidP="0082647E">
            <w:pPr>
              <w:pStyle w:val="ENoteTableText"/>
              <w:tabs>
                <w:tab w:val="center" w:leader="dot" w:pos="2268"/>
              </w:tabs>
            </w:pPr>
            <w:r w:rsidRPr="00243ED2">
              <w:t xml:space="preserve">r. </w:t>
            </w:r>
            <w:r w:rsidR="00331BA8" w:rsidRPr="00243ED2">
              <w:t>5.1B</w:t>
            </w:r>
            <w:r w:rsidR="00331BA8" w:rsidRPr="00243ED2">
              <w:tab/>
            </w:r>
          </w:p>
        </w:tc>
        <w:tc>
          <w:tcPr>
            <w:tcW w:w="4943" w:type="dxa"/>
            <w:shd w:val="clear" w:color="auto" w:fill="auto"/>
          </w:tcPr>
          <w:p w:rsidR="00331BA8" w:rsidRPr="00243ED2" w:rsidRDefault="00331BA8" w:rsidP="00331BA8">
            <w:pPr>
              <w:pStyle w:val="ENoteTableText"/>
            </w:pPr>
            <w:r w:rsidRPr="00243ED2">
              <w:t>ad. 2009 No.</w:t>
            </w:r>
            <w:r w:rsidR="00243ED2">
              <w:t> </w:t>
            </w:r>
            <w:r w:rsidRPr="00243ED2">
              <w:t>31</w:t>
            </w:r>
          </w:p>
        </w:tc>
      </w:tr>
      <w:tr w:rsidR="00331BA8" w:rsidRPr="00243ED2" w:rsidTr="00331BA8">
        <w:trPr>
          <w:cantSplit/>
        </w:trPr>
        <w:tc>
          <w:tcPr>
            <w:tcW w:w="2139" w:type="dxa"/>
            <w:shd w:val="clear" w:color="auto" w:fill="auto"/>
          </w:tcPr>
          <w:p w:rsidR="00331BA8" w:rsidRPr="00243ED2" w:rsidRDefault="00331BA8" w:rsidP="00331BA8">
            <w:pPr>
              <w:pStyle w:val="ENoteTableText"/>
            </w:pPr>
          </w:p>
        </w:tc>
        <w:tc>
          <w:tcPr>
            <w:tcW w:w="4943" w:type="dxa"/>
            <w:shd w:val="clear" w:color="auto" w:fill="auto"/>
          </w:tcPr>
          <w:p w:rsidR="00331BA8" w:rsidRPr="00243ED2" w:rsidRDefault="00331BA8" w:rsidP="00331BA8">
            <w:pPr>
              <w:pStyle w:val="ENoteTableText"/>
            </w:pPr>
            <w:r w:rsidRPr="00243ED2">
              <w:t>rep. 2010 No.</w:t>
            </w:r>
            <w:r w:rsidR="00243ED2">
              <w:t> </w:t>
            </w:r>
            <w:r w:rsidRPr="00243ED2">
              <w:t>19</w:t>
            </w:r>
          </w:p>
        </w:tc>
      </w:tr>
      <w:tr w:rsidR="00331BA8" w:rsidRPr="00243ED2" w:rsidTr="00331BA8">
        <w:trPr>
          <w:cantSplit/>
        </w:trPr>
        <w:tc>
          <w:tcPr>
            <w:tcW w:w="2139" w:type="dxa"/>
            <w:shd w:val="clear" w:color="auto" w:fill="auto"/>
          </w:tcPr>
          <w:p w:rsidR="00331BA8" w:rsidRPr="00243ED2" w:rsidRDefault="0082647E" w:rsidP="0082647E">
            <w:pPr>
              <w:pStyle w:val="ENoteTableText"/>
              <w:tabs>
                <w:tab w:val="center" w:leader="dot" w:pos="2268"/>
              </w:tabs>
            </w:pPr>
            <w:r w:rsidRPr="00243ED2">
              <w:t xml:space="preserve">r. </w:t>
            </w:r>
            <w:r w:rsidR="00331BA8" w:rsidRPr="00243ED2">
              <w:t>5.3</w:t>
            </w:r>
            <w:r w:rsidR="00331BA8" w:rsidRPr="00243ED2">
              <w:tab/>
            </w:r>
          </w:p>
        </w:tc>
        <w:tc>
          <w:tcPr>
            <w:tcW w:w="4943" w:type="dxa"/>
            <w:shd w:val="clear" w:color="auto" w:fill="auto"/>
          </w:tcPr>
          <w:p w:rsidR="00331BA8" w:rsidRPr="00243ED2" w:rsidRDefault="00331BA8" w:rsidP="00331BA8">
            <w:pPr>
              <w:pStyle w:val="ENoteTableText"/>
            </w:pPr>
            <w:r w:rsidRPr="00243ED2">
              <w:t>ad. 2001 No.</w:t>
            </w:r>
            <w:r w:rsidR="00243ED2">
              <w:t> </w:t>
            </w:r>
            <w:r w:rsidRPr="00243ED2">
              <w:t>338</w:t>
            </w:r>
          </w:p>
        </w:tc>
      </w:tr>
      <w:tr w:rsidR="00331BA8" w:rsidRPr="00243ED2" w:rsidTr="00331BA8">
        <w:trPr>
          <w:cantSplit/>
        </w:trPr>
        <w:tc>
          <w:tcPr>
            <w:tcW w:w="2139" w:type="dxa"/>
            <w:shd w:val="clear" w:color="auto" w:fill="auto"/>
          </w:tcPr>
          <w:p w:rsidR="00331BA8" w:rsidRPr="00243ED2" w:rsidRDefault="0082647E" w:rsidP="0082647E">
            <w:pPr>
              <w:pStyle w:val="ENoteTableText"/>
              <w:tabs>
                <w:tab w:val="center" w:leader="dot" w:pos="2268"/>
              </w:tabs>
            </w:pPr>
            <w:r w:rsidRPr="00243ED2">
              <w:t xml:space="preserve">r. </w:t>
            </w:r>
            <w:r w:rsidR="00331BA8" w:rsidRPr="00243ED2">
              <w:t>5.4</w:t>
            </w:r>
            <w:r w:rsidR="00331BA8" w:rsidRPr="00243ED2">
              <w:tab/>
            </w:r>
          </w:p>
        </w:tc>
        <w:tc>
          <w:tcPr>
            <w:tcW w:w="4943" w:type="dxa"/>
            <w:shd w:val="clear" w:color="auto" w:fill="auto"/>
          </w:tcPr>
          <w:p w:rsidR="00331BA8" w:rsidRPr="00243ED2" w:rsidRDefault="00331BA8" w:rsidP="00331BA8">
            <w:pPr>
              <w:pStyle w:val="ENoteTableText"/>
            </w:pPr>
            <w:r w:rsidRPr="00243ED2">
              <w:t>ad. 2002 No.</w:t>
            </w:r>
            <w:r w:rsidR="00243ED2">
              <w:t> </w:t>
            </w:r>
            <w:r w:rsidRPr="00243ED2">
              <w:t>203</w:t>
            </w:r>
          </w:p>
        </w:tc>
      </w:tr>
      <w:tr w:rsidR="00331BA8" w:rsidRPr="00243ED2" w:rsidTr="00331BA8">
        <w:trPr>
          <w:cantSplit/>
        </w:trPr>
        <w:tc>
          <w:tcPr>
            <w:tcW w:w="2139" w:type="dxa"/>
            <w:shd w:val="clear" w:color="auto" w:fill="auto"/>
          </w:tcPr>
          <w:p w:rsidR="00331BA8" w:rsidRPr="00243ED2" w:rsidRDefault="00331BA8" w:rsidP="00331BA8">
            <w:pPr>
              <w:pStyle w:val="ENoteTableText"/>
            </w:pPr>
            <w:r w:rsidRPr="00243ED2">
              <w:rPr>
                <w:b/>
              </w:rPr>
              <w:t>Part</w:t>
            </w:r>
            <w:r w:rsidR="00243ED2">
              <w:rPr>
                <w:b/>
              </w:rPr>
              <w:t> </w:t>
            </w:r>
            <w:r w:rsidRPr="00243ED2">
              <w:rPr>
                <w:b/>
              </w:rPr>
              <w:t>6</w:t>
            </w:r>
          </w:p>
        </w:tc>
        <w:tc>
          <w:tcPr>
            <w:tcW w:w="4943" w:type="dxa"/>
            <w:shd w:val="clear" w:color="auto" w:fill="auto"/>
          </w:tcPr>
          <w:p w:rsidR="00331BA8" w:rsidRPr="00243ED2" w:rsidRDefault="00331BA8" w:rsidP="00331BA8">
            <w:pPr>
              <w:pStyle w:val="ENoteTableText"/>
            </w:pPr>
          </w:p>
        </w:tc>
      </w:tr>
      <w:tr w:rsidR="00331BA8" w:rsidRPr="00243ED2" w:rsidTr="00331BA8">
        <w:trPr>
          <w:cantSplit/>
        </w:trPr>
        <w:tc>
          <w:tcPr>
            <w:tcW w:w="2139" w:type="dxa"/>
            <w:shd w:val="clear" w:color="auto" w:fill="auto"/>
          </w:tcPr>
          <w:p w:rsidR="00331BA8" w:rsidRPr="00243ED2" w:rsidRDefault="00331BA8" w:rsidP="0082647E">
            <w:pPr>
              <w:pStyle w:val="ENoteTableText"/>
              <w:tabs>
                <w:tab w:val="center" w:leader="dot" w:pos="2268"/>
              </w:tabs>
            </w:pPr>
            <w:r w:rsidRPr="00243ED2">
              <w:t>Part</w:t>
            </w:r>
            <w:r w:rsidR="00243ED2">
              <w:t> </w:t>
            </w:r>
            <w:r w:rsidRPr="00243ED2">
              <w:t>6</w:t>
            </w:r>
            <w:r w:rsidR="00BB204B" w:rsidRPr="00243ED2">
              <w:t xml:space="preserve"> heading</w:t>
            </w:r>
            <w:r w:rsidRPr="00243ED2">
              <w:tab/>
            </w:r>
          </w:p>
        </w:tc>
        <w:tc>
          <w:tcPr>
            <w:tcW w:w="4943" w:type="dxa"/>
            <w:shd w:val="clear" w:color="auto" w:fill="auto"/>
          </w:tcPr>
          <w:p w:rsidR="00331BA8" w:rsidRPr="00243ED2" w:rsidRDefault="00331BA8" w:rsidP="00331BA8">
            <w:pPr>
              <w:pStyle w:val="ENoteTableText"/>
            </w:pPr>
            <w:r w:rsidRPr="00243ED2">
              <w:t>rs. 2003 No.</w:t>
            </w:r>
            <w:r w:rsidR="00243ED2">
              <w:t> </w:t>
            </w:r>
            <w:r w:rsidRPr="00243ED2">
              <w:t>346</w:t>
            </w:r>
          </w:p>
        </w:tc>
      </w:tr>
      <w:tr w:rsidR="00331BA8" w:rsidRPr="00243ED2" w:rsidTr="00331BA8">
        <w:trPr>
          <w:cantSplit/>
        </w:trPr>
        <w:tc>
          <w:tcPr>
            <w:tcW w:w="2139" w:type="dxa"/>
            <w:shd w:val="clear" w:color="auto" w:fill="auto"/>
          </w:tcPr>
          <w:p w:rsidR="00331BA8" w:rsidRPr="00243ED2" w:rsidRDefault="00331BA8" w:rsidP="008C3D40">
            <w:pPr>
              <w:pStyle w:val="ENoteTableText"/>
              <w:tabs>
                <w:tab w:val="center" w:leader="dot" w:pos="2268"/>
              </w:tabs>
            </w:pPr>
            <w:r w:rsidRPr="00243ED2">
              <w:t>Part</w:t>
            </w:r>
            <w:r w:rsidR="00243ED2">
              <w:t> </w:t>
            </w:r>
            <w:r w:rsidRPr="00243ED2">
              <w:t>6</w:t>
            </w:r>
            <w:r w:rsidRPr="00243ED2">
              <w:tab/>
            </w:r>
          </w:p>
        </w:tc>
        <w:tc>
          <w:tcPr>
            <w:tcW w:w="4943" w:type="dxa"/>
            <w:shd w:val="clear" w:color="auto" w:fill="auto"/>
          </w:tcPr>
          <w:p w:rsidR="00331BA8" w:rsidRPr="00243ED2" w:rsidRDefault="008C3D40" w:rsidP="00331BA8">
            <w:pPr>
              <w:pStyle w:val="ENoteTableText"/>
            </w:pPr>
            <w:r w:rsidRPr="00243ED2">
              <w:t>am</w:t>
            </w:r>
            <w:r w:rsidR="00331BA8" w:rsidRPr="00243ED2">
              <w:t>. 2003 No.</w:t>
            </w:r>
            <w:r w:rsidR="00243ED2">
              <w:t> </w:t>
            </w:r>
            <w:r w:rsidR="00331BA8" w:rsidRPr="00243ED2">
              <w:t>346</w:t>
            </w:r>
          </w:p>
        </w:tc>
      </w:tr>
      <w:tr w:rsidR="00331BA8" w:rsidRPr="00243ED2" w:rsidTr="00331BA8">
        <w:trPr>
          <w:cantSplit/>
        </w:trPr>
        <w:tc>
          <w:tcPr>
            <w:tcW w:w="2139" w:type="dxa"/>
            <w:shd w:val="clear" w:color="auto" w:fill="auto"/>
          </w:tcPr>
          <w:p w:rsidR="00331BA8" w:rsidRPr="00243ED2" w:rsidRDefault="0082647E" w:rsidP="0082647E">
            <w:pPr>
              <w:pStyle w:val="ENoteTableText"/>
              <w:tabs>
                <w:tab w:val="center" w:leader="dot" w:pos="2268"/>
              </w:tabs>
            </w:pPr>
            <w:r w:rsidRPr="00243ED2">
              <w:t xml:space="preserve">r. </w:t>
            </w:r>
            <w:r w:rsidR="00331BA8" w:rsidRPr="00243ED2">
              <w:t>6.1</w:t>
            </w:r>
            <w:r w:rsidR="00331BA8" w:rsidRPr="00243ED2">
              <w:tab/>
            </w:r>
          </w:p>
        </w:tc>
        <w:tc>
          <w:tcPr>
            <w:tcW w:w="4943" w:type="dxa"/>
            <w:shd w:val="clear" w:color="auto" w:fill="auto"/>
          </w:tcPr>
          <w:p w:rsidR="00331BA8" w:rsidRPr="00243ED2" w:rsidRDefault="00331BA8" w:rsidP="00331BA8">
            <w:pPr>
              <w:pStyle w:val="ENoteTableText"/>
            </w:pPr>
            <w:r w:rsidRPr="00243ED2">
              <w:t>ad. 2003 No.</w:t>
            </w:r>
            <w:r w:rsidR="00243ED2">
              <w:t> </w:t>
            </w:r>
            <w:r w:rsidRPr="00243ED2">
              <w:t>346</w:t>
            </w:r>
          </w:p>
        </w:tc>
      </w:tr>
      <w:tr w:rsidR="00331BA8" w:rsidRPr="00243ED2" w:rsidTr="00331BA8">
        <w:trPr>
          <w:cantSplit/>
        </w:trPr>
        <w:tc>
          <w:tcPr>
            <w:tcW w:w="2139" w:type="dxa"/>
            <w:shd w:val="clear" w:color="auto" w:fill="auto"/>
          </w:tcPr>
          <w:p w:rsidR="00331BA8" w:rsidRPr="00243ED2" w:rsidRDefault="0082647E" w:rsidP="0082647E">
            <w:pPr>
              <w:pStyle w:val="ENoteTableText"/>
              <w:tabs>
                <w:tab w:val="center" w:leader="dot" w:pos="2268"/>
              </w:tabs>
            </w:pPr>
            <w:r w:rsidRPr="00243ED2">
              <w:t xml:space="preserve">r. </w:t>
            </w:r>
            <w:r w:rsidR="00331BA8" w:rsidRPr="00243ED2">
              <w:t>6.2</w:t>
            </w:r>
            <w:r w:rsidR="00331BA8" w:rsidRPr="00243ED2">
              <w:tab/>
            </w:r>
          </w:p>
        </w:tc>
        <w:tc>
          <w:tcPr>
            <w:tcW w:w="4943" w:type="dxa"/>
            <w:shd w:val="clear" w:color="auto" w:fill="auto"/>
          </w:tcPr>
          <w:p w:rsidR="00331BA8" w:rsidRPr="00243ED2" w:rsidRDefault="00331BA8" w:rsidP="00331BA8">
            <w:pPr>
              <w:pStyle w:val="ENoteTableText"/>
            </w:pPr>
            <w:r w:rsidRPr="00243ED2">
              <w:t>ad. 2003 No.</w:t>
            </w:r>
            <w:r w:rsidR="00243ED2">
              <w:t> </w:t>
            </w:r>
            <w:r w:rsidRPr="00243ED2">
              <w:t>346</w:t>
            </w:r>
          </w:p>
        </w:tc>
      </w:tr>
      <w:tr w:rsidR="00331BA8" w:rsidRPr="00243ED2" w:rsidTr="00331BA8">
        <w:trPr>
          <w:cantSplit/>
        </w:trPr>
        <w:tc>
          <w:tcPr>
            <w:tcW w:w="2139" w:type="dxa"/>
            <w:shd w:val="clear" w:color="auto" w:fill="auto"/>
          </w:tcPr>
          <w:p w:rsidR="00331BA8" w:rsidRPr="00243ED2" w:rsidRDefault="0082647E" w:rsidP="0082647E">
            <w:pPr>
              <w:pStyle w:val="ENoteTableText"/>
              <w:tabs>
                <w:tab w:val="center" w:leader="dot" w:pos="2268"/>
              </w:tabs>
            </w:pPr>
            <w:r w:rsidRPr="00243ED2">
              <w:t xml:space="preserve">r. </w:t>
            </w:r>
            <w:r w:rsidR="00331BA8" w:rsidRPr="00243ED2">
              <w:t>6.3</w:t>
            </w:r>
            <w:r w:rsidR="00331BA8" w:rsidRPr="00243ED2">
              <w:tab/>
            </w:r>
          </w:p>
        </w:tc>
        <w:tc>
          <w:tcPr>
            <w:tcW w:w="4943" w:type="dxa"/>
            <w:shd w:val="clear" w:color="auto" w:fill="auto"/>
          </w:tcPr>
          <w:p w:rsidR="00331BA8" w:rsidRPr="00243ED2" w:rsidRDefault="00331BA8" w:rsidP="00331BA8">
            <w:pPr>
              <w:pStyle w:val="ENoteTableText"/>
            </w:pPr>
            <w:r w:rsidRPr="00243ED2">
              <w:t>ad. 2003 No.</w:t>
            </w:r>
            <w:r w:rsidR="00243ED2">
              <w:t> </w:t>
            </w:r>
            <w:r w:rsidRPr="00243ED2">
              <w:t>346</w:t>
            </w:r>
          </w:p>
        </w:tc>
      </w:tr>
      <w:tr w:rsidR="00331BA8" w:rsidRPr="00243ED2" w:rsidTr="00331BA8">
        <w:trPr>
          <w:cantSplit/>
        </w:trPr>
        <w:tc>
          <w:tcPr>
            <w:tcW w:w="2139" w:type="dxa"/>
            <w:shd w:val="clear" w:color="auto" w:fill="auto"/>
          </w:tcPr>
          <w:p w:rsidR="00331BA8" w:rsidRPr="00243ED2" w:rsidRDefault="0082647E" w:rsidP="0082647E">
            <w:pPr>
              <w:pStyle w:val="ENoteTableText"/>
              <w:tabs>
                <w:tab w:val="center" w:leader="dot" w:pos="2268"/>
              </w:tabs>
            </w:pPr>
            <w:r w:rsidRPr="00243ED2">
              <w:t xml:space="preserve">r. </w:t>
            </w:r>
            <w:r w:rsidR="00331BA8" w:rsidRPr="00243ED2">
              <w:t>6.4</w:t>
            </w:r>
            <w:r w:rsidR="00331BA8" w:rsidRPr="00243ED2">
              <w:tab/>
            </w:r>
          </w:p>
        </w:tc>
        <w:tc>
          <w:tcPr>
            <w:tcW w:w="4943" w:type="dxa"/>
            <w:shd w:val="clear" w:color="auto" w:fill="auto"/>
          </w:tcPr>
          <w:p w:rsidR="00331BA8" w:rsidRPr="00243ED2" w:rsidRDefault="00331BA8" w:rsidP="00331BA8">
            <w:pPr>
              <w:pStyle w:val="ENoteTableText"/>
            </w:pPr>
            <w:r w:rsidRPr="00243ED2">
              <w:t>ad. 2003 No.</w:t>
            </w:r>
            <w:r w:rsidR="00243ED2">
              <w:t> </w:t>
            </w:r>
            <w:r w:rsidRPr="00243ED2">
              <w:t>346</w:t>
            </w:r>
          </w:p>
        </w:tc>
      </w:tr>
      <w:tr w:rsidR="00331BA8" w:rsidRPr="00243ED2" w:rsidTr="00331BA8">
        <w:trPr>
          <w:cantSplit/>
        </w:trPr>
        <w:tc>
          <w:tcPr>
            <w:tcW w:w="2139" w:type="dxa"/>
            <w:shd w:val="clear" w:color="auto" w:fill="auto"/>
          </w:tcPr>
          <w:p w:rsidR="00331BA8" w:rsidRPr="00243ED2" w:rsidRDefault="0082647E" w:rsidP="0082647E">
            <w:pPr>
              <w:pStyle w:val="ENoteTableText"/>
              <w:tabs>
                <w:tab w:val="center" w:leader="dot" w:pos="2268"/>
              </w:tabs>
            </w:pPr>
            <w:r w:rsidRPr="00243ED2">
              <w:t xml:space="preserve">r. </w:t>
            </w:r>
            <w:r w:rsidR="00331BA8" w:rsidRPr="00243ED2">
              <w:t>6.5</w:t>
            </w:r>
            <w:r w:rsidR="00331BA8" w:rsidRPr="00243ED2">
              <w:tab/>
            </w:r>
          </w:p>
        </w:tc>
        <w:tc>
          <w:tcPr>
            <w:tcW w:w="4943" w:type="dxa"/>
            <w:shd w:val="clear" w:color="auto" w:fill="auto"/>
          </w:tcPr>
          <w:p w:rsidR="00331BA8" w:rsidRPr="00243ED2" w:rsidRDefault="00331BA8" w:rsidP="00331BA8">
            <w:pPr>
              <w:pStyle w:val="ENoteTableText"/>
            </w:pPr>
            <w:r w:rsidRPr="00243ED2">
              <w:t>ad. 2003 No.</w:t>
            </w:r>
            <w:r w:rsidR="00243ED2">
              <w:t> </w:t>
            </w:r>
            <w:r w:rsidRPr="00243ED2">
              <w:t>346</w:t>
            </w:r>
          </w:p>
        </w:tc>
      </w:tr>
      <w:tr w:rsidR="00331BA8" w:rsidRPr="00243ED2" w:rsidTr="00331BA8">
        <w:trPr>
          <w:cantSplit/>
        </w:trPr>
        <w:tc>
          <w:tcPr>
            <w:tcW w:w="2139" w:type="dxa"/>
            <w:shd w:val="clear" w:color="auto" w:fill="auto"/>
          </w:tcPr>
          <w:p w:rsidR="00331BA8" w:rsidRPr="00243ED2" w:rsidRDefault="0082647E" w:rsidP="0082647E">
            <w:pPr>
              <w:pStyle w:val="ENoteTableText"/>
              <w:tabs>
                <w:tab w:val="center" w:leader="dot" w:pos="2268"/>
              </w:tabs>
            </w:pPr>
            <w:r w:rsidRPr="00243ED2">
              <w:t xml:space="preserve">r. </w:t>
            </w:r>
            <w:r w:rsidR="00331BA8" w:rsidRPr="00243ED2">
              <w:t>6.6</w:t>
            </w:r>
            <w:r w:rsidR="00331BA8" w:rsidRPr="00243ED2">
              <w:tab/>
            </w:r>
          </w:p>
        </w:tc>
        <w:tc>
          <w:tcPr>
            <w:tcW w:w="4943" w:type="dxa"/>
            <w:shd w:val="clear" w:color="auto" w:fill="auto"/>
          </w:tcPr>
          <w:p w:rsidR="00331BA8" w:rsidRPr="00243ED2" w:rsidRDefault="00331BA8" w:rsidP="00331BA8">
            <w:pPr>
              <w:pStyle w:val="ENoteTableText"/>
            </w:pPr>
            <w:r w:rsidRPr="00243ED2">
              <w:t>ad. 2003 No.</w:t>
            </w:r>
            <w:r w:rsidR="00243ED2">
              <w:t> </w:t>
            </w:r>
            <w:r w:rsidRPr="00243ED2">
              <w:t>346</w:t>
            </w:r>
          </w:p>
        </w:tc>
      </w:tr>
      <w:tr w:rsidR="00331BA8" w:rsidRPr="00243ED2" w:rsidTr="00331BA8">
        <w:trPr>
          <w:cantSplit/>
        </w:trPr>
        <w:tc>
          <w:tcPr>
            <w:tcW w:w="2139" w:type="dxa"/>
            <w:shd w:val="clear" w:color="auto" w:fill="auto"/>
          </w:tcPr>
          <w:p w:rsidR="00331BA8" w:rsidRPr="00243ED2" w:rsidRDefault="0082647E" w:rsidP="0082647E">
            <w:pPr>
              <w:pStyle w:val="ENoteTableText"/>
              <w:tabs>
                <w:tab w:val="center" w:leader="dot" w:pos="2268"/>
              </w:tabs>
            </w:pPr>
            <w:r w:rsidRPr="00243ED2">
              <w:t xml:space="preserve">r. </w:t>
            </w:r>
            <w:r w:rsidR="00331BA8" w:rsidRPr="00243ED2">
              <w:t>6.7</w:t>
            </w:r>
            <w:r w:rsidR="00331BA8" w:rsidRPr="00243ED2">
              <w:tab/>
            </w:r>
          </w:p>
        </w:tc>
        <w:tc>
          <w:tcPr>
            <w:tcW w:w="4943" w:type="dxa"/>
            <w:shd w:val="clear" w:color="auto" w:fill="auto"/>
          </w:tcPr>
          <w:p w:rsidR="00331BA8" w:rsidRPr="00243ED2" w:rsidRDefault="00331BA8" w:rsidP="00331BA8">
            <w:pPr>
              <w:pStyle w:val="ENoteTableText"/>
            </w:pPr>
            <w:r w:rsidRPr="00243ED2">
              <w:t>ad. 2003 No.</w:t>
            </w:r>
            <w:r w:rsidR="00243ED2">
              <w:t> </w:t>
            </w:r>
            <w:r w:rsidRPr="00243ED2">
              <w:t>346</w:t>
            </w:r>
          </w:p>
        </w:tc>
      </w:tr>
      <w:tr w:rsidR="00331BA8" w:rsidRPr="00243ED2" w:rsidTr="00331BA8">
        <w:trPr>
          <w:cantSplit/>
        </w:trPr>
        <w:tc>
          <w:tcPr>
            <w:tcW w:w="2139" w:type="dxa"/>
            <w:shd w:val="clear" w:color="auto" w:fill="auto"/>
          </w:tcPr>
          <w:p w:rsidR="00331BA8" w:rsidRPr="00243ED2" w:rsidRDefault="0082647E" w:rsidP="0082647E">
            <w:pPr>
              <w:pStyle w:val="ENoteTableText"/>
              <w:tabs>
                <w:tab w:val="center" w:leader="dot" w:pos="2268"/>
              </w:tabs>
            </w:pPr>
            <w:r w:rsidRPr="00243ED2">
              <w:t xml:space="preserve">r. </w:t>
            </w:r>
            <w:r w:rsidR="00331BA8" w:rsidRPr="00243ED2">
              <w:t>6.8</w:t>
            </w:r>
            <w:r w:rsidR="00331BA8" w:rsidRPr="00243ED2">
              <w:tab/>
            </w:r>
          </w:p>
        </w:tc>
        <w:tc>
          <w:tcPr>
            <w:tcW w:w="4943" w:type="dxa"/>
            <w:shd w:val="clear" w:color="auto" w:fill="auto"/>
          </w:tcPr>
          <w:p w:rsidR="00331BA8" w:rsidRPr="00243ED2" w:rsidRDefault="00331BA8" w:rsidP="00331BA8">
            <w:pPr>
              <w:pStyle w:val="ENoteTableText"/>
            </w:pPr>
            <w:r w:rsidRPr="00243ED2">
              <w:t>ad. 2003 No.</w:t>
            </w:r>
            <w:r w:rsidR="00243ED2">
              <w:t> </w:t>
            </w:r>
            <w:r w:rsidRPr="00243ED2">
              <w:t>346</w:t>
            </w:r>
          </w:p>
        </w:tc>
      </w:tr>
      <w:tr w:rsidR="00331BA8" w:rsidRPr="00243ED2" w:rsidTr="00331BA8">
        <w:trPr>
          <w:cantSplit/>
        </w:trPr>
        <w:tc>
          <w:tcPr>
            <w:tcW w:w="2139" w:type="dxa"/>
            <w:shd w:val="clear" w:color="auto" w:fill="auto"/>
          </w:tcPr>
          <w:p w:rsidR="00331BA8" w:rsidRPr="00243ED2" w:rsidRDefault="0082647E" w:rsidP="0082647E">
            <w:pPr>
              <w:pStyle w:val="ENoteTableText"/>
              <w:tabs>
                <w:tab w:val="center" w:leader="dot" w:pos="2268"/>
              </w:tabs>
            </w:pPr>
            <w:r w:rsidRPr="00243ED2">
              <w:t xml:space="preserve">r. </w:t>
            </w:r>
            <w:r w:rsidR="00331BA8" w:rsidRPr="00243ED2">
              <w:t>6.9</w:t>
            </w:r>
            <w:r w:rsidR="00331BA8" w:rsidRPr="00243ED2">
              <w:tab/>
            </w:r>
          </w:p>
        </w:tc>
        <w:tc>
          <w:tcPr>
            <w:tcW w:w="4943" w:type="dxa"/>
            <w:shd w:val="clear" w:color="auto" w:fill="auto"/>
          </w:tcPr>
          <w:p w:rsidR="00331BA8" w:rsidRPr="00243ED2" w:rsidRDefault="00331BA8" w:rsidP="00331BA8">
            <w:pPr>
              <w:pStyle w:val="ENoteTableText"/>
            </w:pPr>
            <w:r w:rsidRPr="00243ED2">
              <w:t>ad. 2003 No.</w:t>
            </w:r>
            <w:r w:rsidR="00243ED2">
              <w:t> </w:t>
            </w:r>
            <w:r w:rsidRPr="00243ED2">
              <w:t>346</w:t>
            </w:r>
          </w:p>
        </w:tc>
      </w:tr>
      <w:tr w:rsidR="00331BA8" w:rsidRPr="00243ED2" w:rsidTr="00331BA8">
        <w:trPr>
          <w:cantSplit/>
        </w:trPr>
        <w:tc>
          <w:tcPr>
            <w:tcW w:w="2139" w:type="dxa"/>
            <w:shd w:val="clear" w:color="auto" w:fill="auto"/>
          </w:tcPr>
          <w:p w:rsidR="00331BA8" w:rsidRPr="00243ED2" w:rsidRDefault="0082647E" w:rsidP="0082647E">
            <w:pPr>
              <w:pStyle w:val="ENoteTableText"/>
              <w:tabs>
                <w:tab w:val="center" w:leader="dot" w:pos="2268"/>
              </w:tabs>
            </w:pPr>
            <w:r w:rsidRPr="00243ED2">
              <w:t xml:space="preserve">r. </w:t>
            </w:r>
            <w:r w:rsidR="00331BA8" w:rsidRPr="00243ED2">
              <w:t>6.10</w:t>
            </w:r>
            <w:r w:rsidR="00331BA8" w:rsidRPr="00243ED2">
              <w:tab/>
            </w:r>
          </w:p>
        </w:tc>
        <w:tc>
          <w:tcPr>
            <w:tcW w:w="4943" w:type="dxa"/>
            <w:shd w:val="clear" w:color="auto" w:fill="auto"/>
          </w:tcPr>
          <w:p w:rsidR="00331BA8" w:rsidRPr="00243ED2" w:rsidRDefault="00331BA8" w:rsidP="00331BA8">
            <w:pPr>
              <w:pStyle w:val="ENoteTableText"/>
            </w:pPr>
            <w:r w:rsidRPr="00243ED2">
              <w:t>ad. 2003 No.</w:t>
            </w:r>
            <w:r w:rsidR="00243ED2">
              <w:t> </w:t>
            </w:r>
            <w:r w:rsidRPr="00243ED2">
              <w:t>346</w:t>
            </w:r>
          </w:p>
        </w:tc>
      </w:tr>
      <w:tr w:rsidR="00331BA8" w:rsidRPr="00243ED2" w:rsidTr="00331BA8">
        <w:trPr>
          <w:cantSplit/>
        </w:trPr>
        <w:tc>
          <w:tcPr>
            <w:tcW w:w="2139" w:type="dxa"/>
            <w:shd w:val="clear" w:color="auto" w:fill="auto"/>
          </w:tcPr>
          <w:p w:rsidR="00331BA8" w:rsidRPr="00243ED2" w:rsidRDefault="0082647E" w:rsidP="0082647E">
            <w:pPr>
              <w:pStyle w:val="ENoteTableText"/>
              <w:tabs>
                <w:tab w:val="center" w:leader="dot" w:pos="2268"/>
              </w:tabs>
            </w:pPr>
            <w:r w:rsidRPr="00243ED2">
              <w:t xml:space="preserve">r. </w:t>
            </w:r>
            <w:r w:rsidR="00331BA8" w:rsidRPr="00243ED2">
              <w:t>6.11</w:t>
            </w:r>
            <w:r w:rsidR="00331BA8" w:rsidRPr="00243ED2">
              <w:tab/>
            </w:r>
          </w:p>
        </w:tc>
        <w:tc>
          <w:tcPr>
            <w:tcW w:w="4943" w:type="dxa"/>
            <w:shd w:val="clear" w:color="auto" w:fill="auto"/>
          </w:tcPr>
          <w:p w:rsidR="00331BA8" w:rsidRPr="00243ED2" w:rsidRDefault="00331BA8" w:rsidP="00331BA8">
            <w:pPr>
              <w:pStyle w:val="ENoteTableText"/>
            </w:pPr>
            <w:r w:rsidRPr="00243ED2">
              <w:t>ad. 2003 No.</w:t>
            </w:r>
            <w:r w:rsidR="00243ED2">
              <w:t> </w:t>
            </w:r>
            <w:r w:rsidRPr="00243ED2">
              <w:t>346</w:t>
            </w:r>
          </w:p>
        </w:tc>
      </w:tr>
      <w:tr w:rsidR="00331BA8" w:rsidRPr="00243ED2" w:rsidTr="00331BA8">
        <w:trPr>
          <w:cantSplit/>
        </w:trPr>
        <w:tc>
          <w:tcPr>
            <w:tcW w:w="2139" w:type="dxa"/>
            <w:shd w:val="clear" w:color="auto" w:fill="auto"/>
          </w:tcPr>
          <w:p w:rsidR="00331BA8" w:rsidRPr="00243ED2" w:rsidRDefault="0082647E" w:rsidP="0082647E">
            <w:pPr>
              <w:pStyle w:val="ENoteTableText"/>
              <w:tabs>
                <w:tab w:val="center" w:leader="dot" w:pos="2268"/>
              </w:tabs>
            </w:pPr>
            <w:r w:rsidRPr="00243ED2">
              <w:t xml:space="preserve">r. </w:t>
            </w:r>
            <w:r w:rsidR="00331BA8" w:rsidRPr="00243ED2">
              <w:t>6.12</w:t>
            </w:r>
            <w:r w:rsidR="00331BA8" w:rsidRPr="00243ED2">
              <w:tab/>
            </w:r>
          </w:p>
        </w:tc>
        <w:tc>
          <w:tcPr>
            <w:tcW w:w="4943" w:type="dxa"/>
            <w:shd w:val="clear" w:color="auto" w:fill="auto"/>
          </w:tcPr>
          <w:p w:rsidR="00331BA8" w:rsidRPr="00243ED2" w:rsidRDefault="00331BA8" w:rsidP="00331BA8">
            <w:pPr>
              <w:pStyle w:val="ENoteTableText"/>
            </w:pPr>
            <w:r w:rsidRPr="00243ED2">
              <w:t>ad. 2003 No.</w:t>
            </w:r>
            <w:r w:rsidR="00243ED2">
              <w:t> </w:t>
            </w:r>
            <w:r w:rsidRPr="00243ED2">
              <w:t>346</w:t>
            </w:r>
          </w:p>
        </w:tc>
      </w:tr>
      <w:tr w:rsidR="00331BA8" w:rsidRPr="00243ED2" w:rsidTr="00331BA8">
        <w:trPr>
          <w:cantSplit/>
        </w:trPr>
        <w:tc>
          <w:tcPr>
            <w:tcW w:w="2139" w:type="dxa"/>
            <w:shd w:val="clear" w:color="auto" w:fill="auto"/>
          </w:tcPr>
          <w:p w:rsidR="00331BA8" w:rsidRPr="00243ED2" w:rsidRDefault="00331BA8" w:rsidP="00331BA8">
            <w:pPr>
              <w:pStyle w:val="ENoteTableText"/>
            </w:pPr>
            <w:r w:rsidRPr="00243ED2">
              <w:rPr>
                <w:b/>
              </w:rPr>
              <w:t>Part</w:t>
            </w:r>
            <w:r w:rsidR="00243ED2">
              <w:rPr>
                <w:b/>
              </w:rPr>
              <w:t> </w:t>
            </w:r>
            <w:r w:rsidRPr="00243ED2">
              <w:rPr>
                <w:b/>
              </w:rPr>
              <w:t>11</w:t>
            </w:r>
          </w:p>
        </w:tc>
        <w:tc>
          <w:tcPr>
            <w:tcW w:w="4943" w:type="dxa"/>
            <w:shd w:val="clear" w:color="auto" w:fill="auto"/>
          </w:tcPr>
          <w:p w:rsidR="00331BA8" w:rsidRPr="00243ED2" w:rsidRDefault="00331BA8" w:rsidP="00331BA8">
            <w:pPr>
              <w:pStyle w:val="ENoteTableText"/>
            </w:pPr>
          </w:p>
        </w:tc>
      </w:tr>
      <w:tr w:rsidR="00331BA8" w:rsidRPr="00243ED2" w:rsidTr="00331BA8">
        <w:trPr>
          <w:cantSplit/>
        </w:trPr>
        <w:tc>
          <w:tcPr>
            <w:tcW w:w="2139" w:type="dxa"/>
            <w:shd w:val="clear" w:color="auto" w:fill="auto"/>
          </w:tcPr>
          <w:p w:rsidR="00331BA8" w:rsidRPr="00243ED2" w:rsidRDefault="0082647E" w:rsidP="0082647E">
            <w:pPr>
              <w:pStyle w:val="ENoteTableText"/>
              <w:tabs>
                <w:tab w:val="center" w:leader="dot" w:pos="2268"/>
              </w:tabs>
            </w:pPr>
            <w:r w:rsidRPr="00243ED2">
              <w:t xml:space="preserve">r. </w:t>
            </w:r>
            <w:r w:rsidR="00331BA8" w:rsidRPr="00243ED2">
              <w:t>11.2</w:t>
            </w:r>
            <w:r w:rsidR="00331BA8" w:rsidRPr="00243ED2">
              <w:tab/>
            </w:r>
          </w:p>
        </w:tc>
        <w:tc>
          <w:tcPr>
            <w:tcW w:w="4943" w:type="dxa"/>
            <w:shd w:val="clear" w:color="auto" w:fill="auto"/>
          </w:tcPr>
          <w:p w:rsidR="00331BA8" w:rsidRPr="00243ED2" w:rsidRDefault="00331BA8" w:rsidP="00331BA8">
            <w:pPr>
              <w:pStyle w:val="ENoteTableText"/>
            </w:pPr>
            <w:r w:rsidRPr="00243ED2">
              <w:t>ad. 2011 No.</w:t>
            </w:r>
            <w:r w:rsidR="00243ED2">
              <w:t> </w:t>
            </w:r>
            <w:r w:rsidRPr="00243ED2">
              <w:t>209</w:t>
            </w:r>
          </w:p>
        </w:tc>
      </w:tr>
      <w:tr w:rsidR="00501920" w:rsidRPr="00243ED2" w:rsidTr="00331BA8">
        <w:trPr>
          <w:cantSplit/>
        </w:trPr>
        <w:tc>
          <w:tcPr>
            <w:tcW w:w="2139" w:type="dxa"/>
            <w:shd w:val="clear" w:color="auto" w:fill="auto"/>
          </w:tcPr>
          <w:p w:rsidR="00501920" w:rsidRPr="00243ED2" w:rsidRDefault="00501920" w:rsidP="0082647E">
            <w:pPr>
              <w:pStyle w:val="ENoteTableText"/>
              <w:tabs>
                <w:tab w:val="center" w:leader="dot" w:pos="2268"/>
              </w:tabs>
            </w:pPr>
          </w:p>
        </w:tc>
        <w:tc>
          <w:tcPr>
            <w:tcW w:w="4943" w:type="dxa"/>
            <w:shd w:val="clear" w:color="auto" w:fill="auto"/>
          </w:tcPr>
          <w:p w:rsidR="00501920" w:rsidRPr="00243ED2" w:rsidRDefault="00501920" w:rsidP="00331BA8">
            <w:pPr>
              <w:pStyle w:val="ENoteTableText"/>
            </w:pPr>
            <w:r w:rsidRPr="00243ED2">
              <w:t>am No 139, 2015</w:t>
            </w:r>
          </w:p>
        </w:tc>
      </w:tr>
      <w:tr w:rsidR="00331BA8" w:rsidRPr="00243ED2" w:rsidTr="00331BA8">
        <w:trPr>
          <w:cantSplit/>
        </w:trPr>
        <w:tc>
          <w:tcPr>
            <w:tcW w:w="2139" w:type="dxa"/>
            <w:shd w:val="clear" w:color="auto" w:fill="auto"/>
          </w:tcPr>
          <w:p w:rsidR="00331BA8" w:rsidRPr="00243ED2" w:rsidRDefault="00331BA8" w:rsidP="00732E22">
            <w:pPr>
              <w:pStyle w:val="ENoteTableText"/>
              <w:keepNext/>
              <w:keepLines/>
              <w:pageBreakBefore/>
            </w:pPr>
            <w:r w:rsidRPr="00243ED2">
              <w:rPr>
                <w:b/>
              </w:rPr>
              <w:lastRenderedPageBreak/>
              <w:t>Schedule</w:t>
            </w:r>
            <w:r w:rsidR="00243ED2">
              <w:rPr>
                <w:b/>
              </w:rPr>
              <w:t> </w:t>
            </w:r>
            <w:r w:rsidRPr="00243ED2">
              <w:rPr>
                <w:b/>
              </w:rPr>
              <w:t>1</w:t>
            </w:r>
          </w:p>
        </w:tc>
        <w:tc>
          <w:tcPr>
            <w:tcW w:w="4943" w:type="dxa"/>
            <w:shd w:val="clear" w:color="auto" w:fill="auto"/>
          </w:tcPr>
          <w:p w:rsidR="00331BA8" w:rsidRPr="00243ED2" w:rsidRDefault="00331BA8" w:rsidP="00331BA8">
            <w:pPr>
              <w:pStyle w:val="ENoteTableText"/>
            </w:pPr>
          </w:p>
        </w:tc>
      </w:tr>
      <w:tr w:rsidR="00331BA8" w:rsidRPr="00243ED2" w:rsidTr="00331BA8">
        <w:trPr>
          <w:cantSplit/>
        </w:trPr>
        <w:tc>
          <w:tcPr>
            <w:tcW w:w="2139" w:type="dxa"/>
            <w:tcBorders>
              <w:bottom w:val="single" w:sz="12" w:space="0" w:color="auto"/>
            </w:tcBorders>
            <w:shd w:val="clear" w:color="auto" w:fill="auto"/>
          </w:tcPr>
          <w:p w:rsidR="00331BA8" w:rsidRPr="00243ED2" w:rsidRDefault="00331BA8" w:rsidP="0082647E">
            <w:pPr>
              <w:pStyle w:val="ENoteTableText"/>
              <w:tabs>
                <w:tab w:val="center" w:leader="dot" w:pos="2268"/>
              </w:tabs>
            </w:pPr>
            <w:r w:rsidRPr="00243ED2">
              <w:t>Schedule</w:t>
            </w:r>
            <w:r w:rsidR="00243ED2">
              <w:t> </w:t>
            </w:r>
            <w:r w:rsidRPr="00243ED2">
              <w:t>1</w:t>
            </w:r>
            <w:r w:rsidRPr="00243ED2">
              <w:tab/>
            </w:r>
          </w:p>
        </w:tc>
        <w:tc>
          <w:tcPr>
            <w:tcW w:w="4943" w:type="dxa"/>
            <w:tcBorders>
              <w:bottom w:val="single" w:sz="12" w:space="0" w:color="auto"/>
            </w:tcBorders>
            <w:shd w:val="clear" w:color="auto" w:fill="auto"/>
          </w:tcPr>
          <w:p w:rsidR="00331BA8" w:rsidRPr="00243ED2" w:rsidRDefault="00331BA8" w:rsidP="00331BA8">
            <w:pPr>
              <w:pStyle w:val="ENoteTableText"/>
            </w:pPr>
            <w:r w:rsidRPr="00243ED2">
              <w:t>am. 2005 No.</w:t>
            </w:r>
            <w:r w:rsidR="00243ED2">
              <w:t> </w:t>
            </w:r>
            <w:r w:rsidRPr="00243ED2">
              <w:t>176</w:t>
            </w:r>
          </w:p>
        </w:tc>
      </w:tr>
    </w:tbl>
    <w:p w:rsidR="00125C31" w:rsidRPr="00243ED2" w:rsidRDefault="00125C31" w:rsidP="005838A0">
      <w:pPr>
        <w:pStyle w:val="Tabletext"/>
        <w:sectPr w:rsidR="00125C31" w:rsidRPr="00243ED2" w:rsidSect="00005070">
          <w:headerReference w:type="even" r:id="rId40"/>
          <w:headerReference w:type="default" r:id="rId41"/>
          <w:footerReference w:type="even" r:id="rId42"/>
          <w:footerReference w:type="default" r:id="rId43"/>
          <w:pgSz w:w="11907" w:h="16839"/>
          <w:pgMar w:top="2381" w:right="2409" w:bottom="4252" w:left="2409" w:header="720" w:footer="3402" w:gutter="0"/>
          <w:cols w:space="708"/>
          <w:docGrid w:linePitch="360"/>
        </w:sectPr>
      </w:pPr>
    </w:p>
    <w:p w:rsidR="00CE2B1D" w:rsidRPr="00243ED2" w:rsidRDefault="00CE2B1D" w:rsidP="00125C31">
      <w:pPr>
        <w:pStyle w:val="Tabletext"/>
        <w:rPr>
          <w:sz w:val="16"/>
          <w:szCs w:val="16"/>
        </w:rPr>
      </w:pPr>
    </w:p>
    <w:sectPr w:rsidR="00CE2B1D" w:rsidRPr="00243ED2" w:rsidSect="00005070">
      <w:headerReference w:type="even" r:id="rId44"/>
      <w:headerReference w:type="default" r:id="rId45"/>
      <w:footerReference w:type="even" r:id="rId46"/>
      <w:footerReference w:type="default" r:id="rId47"/>
      <w:type w:val="continuous"/>
      <w:pgSz w:w="11907" w:h="16839"/>
      <w:pgMar w:top="238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BE8" w:rsidRDefault="00C86BE8" w:rsidP="00E20334">
      <w:r>
        <w:separator/>
      </w:r>
    </w:p>
  </w:endnote>
  <w:endnote w:type="continuationSeparator" w:id="0">
    <w:p w:rsidR="00C86BE8" w:rsidRDefault="00C86BE8" w:rsidP="00E2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CC5" w:rsidRDefault="00651CC5">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CC5" w:rsidRPr="007B3B51" w:rsidRDefault="00651CC5"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51CC5" w:rsidRPr="007B3B51" w:rsidTr="00A37BAF">
      <w:tc>
        <w:tcPr>
          <w:tcW w:w="1247" w:type="dxa"/>
        </w:tcPr>
        <w:p w:rsidR="00651CC5" w:rsidRPr="007B3B51" w:rsidRDefault="00651CC5" w:rsidP="00A37BAF">
          <w:pPr>
            <w:rPr>
              <w:i/>
              <w:sz w:val="16"/>
              <w:szCs w:val="16"/>
            </w:rPr>
          </w:pPr>
        </w:p>
      </w:tc>
      <w:tc>
        <w:tcPr>
          <w:tcW w:w="5387" w:type="dxa"/>
          <w:gridSpan w:val="3"/>
        </w:tcPr>
        <w:p w:rsidR="00651CC5" w:rsidRPr="007B3B51" w:rsidRDefault="00651CC5"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94A72">
            <w:rPr>
              <w:i/>
              <w:noProof/>
              <w:sz w:val="16"/>
              <w:szCs w:val="16"/>
            </w:rPr>
            <w:t>Telecommunications Regulations 2001</w:t>
          </w:r>
          <w:r w:rsidRPr="007B3B51">
            <w:rPr>
              <w:i/>
              <w:sz w:val="16"/>
              <w:szCs w:val="16"/>
            </w:rPr>
            <w:fldChar w:fldCharType="end"/>
          </w:r>
        </w:p>
      </w:tc>
      <w:tc>
        <w:tcPr>
          <w:tcW w:w="669" w:type="dxa"/>
        </w:tcPr>
        <w:p w:rsidR="00651CC5" w:rsidRPr="007B3B51" w:rsidRDefault="00651CC5" w:rsidP="00A37B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94A72">
            <w:rPr>
              <w:i/>
              <w:noProof/>
              <w:sz w:val="16"/>
              <w:szCs w:val="16"/>
            </w:rPr>
            <w:t>29</w:t>
          </w:r>
          <w:r w:rsidRPr="007B3B51">
            <w:rPr>
              <w:i/>
              <w:sz w:val="16"/>
              <w:szCs w:val="16"/>
            </w:rPr>
            <w:fldChar w:fldCharType="end"/>
          </w:r>
        </w:p>
      </w:tc>
    </w:tr>
    <w:tr w:rsidR="00651CC5" w:rsidRPr="00130F37" w:rsidTr="00621A70">
      <w:tc>
        <w:tcPr>
          <w:tcW w:w="2190" w:type="dxa"/>
          <w:gridSpan w:val="2"/>
        </w:tcPr>
        <w:p w:rsidR="00651CC5" w:rsidRPr="00130F37" w:rsidRDefault="00651CC5" w:rsidP="00AD5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43ED2">
            <w:rPr>
              <w:sz w:val="16"/>
              <w:szCs w:val="16"/>
            </w:rPr>
            <w:t>14</w:t>
          </w:r>
          <w:r w:rsidRPr="00130F37">
            <w:rPr>
              <w:sz w:val="16"/>
              <w:szCs w:val="16"/>
            </w:rPr>
            <w:fldChar w:fldCharType="end"/>
          </w:r>
        </w:p>
      </w:tc>
      <w:tc>
        <w:tcPr>
          <w:tcW w:w="2920" w:type="dxa"/>
        </w:tcPr>
        <w:p w:rsidR="00651CC5" w:rsidRPr="00130F37" w:rsidRDefault="00651CC5" w:rsidP="00A37B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43ED2">
            <w:rPr>
              <w:sz w:val="16"/>
              <w:szCs w:val="16"/>
            </w:rPr>
            <w:t>21/8/15</w:t>
          </w:r>
          <w:r w:rsidRPr="00130F37">
            <w:rPr>
              <w:sz w:val="16"/>
              <w:szCs w:val="16"/>
            </w:rPr>
            <w:fldChar w:fldCharType="end"/>
          </w:r>
        </w:p>
      </w:tc>
      <w:tc>
        <w:tcPr>
          <w:tcW w:w="2193" w:type="dxa"/>
          <w:gridSpan w:val="2"/>
        </w:tcPr>
        <w:p w:rsidR="00651CC5" w:rsidRPr="00130F37" w:rsidRDefault="00651CC5" w:rsidP="00A37B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43ED2">
            <w:rPr>
              <w:sz w:val="16"/>
              <w:szCs w:val="16"/>
            </w:rPr>
            <w:instrText>4/09/2015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43ED2">
            <w:rPr>
              <w:sz w:val="16"/>
              <w:szCs w:val="16"/>
            </w:rPr>
            <w:instrText>4/9/15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43ED2">
            <w:rPr>
              <w:noProof/>
              <w:sz w:val="16"/>
              <w:szCs w:val="16"/>
            </w:rPr>
            <w:t>4/9/15</w:t>
          </w:r>
          <w:r w:rsidRPr="00130F37">
            <w:rPr>
              <w:sz w:val="16"/>
              <w:szCs w:val="16"/>
            </w:rPr>
            <w:fldChar w:fldCharType="end"/>
          </w:r>
        </w:p>
      </w:tc>
    </w:tr>
  </w:tbl>
  <w:p w:rsidR="004D263E" w:rsidRPr="00651CC5" w:rsidRDefault="004D263E" w:rsidP="00651CC5">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63E" w:rsidRPr="002B0EA5" w:rsidRDefault="004D263E" w:rsidP="004D263E">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4D263E" w:rsidTr="008750A9">
      <w:tc>
        <w:tcPr>
          <w:tcW w:w="1383" w:type="dxa"/>
        </w:tcPr>
        <w:p w:rsidR="004D263E" w:rsidRDefault="004D263E" w:rsidP="008750A9">
          <w:pPr>
            <w:spacing w:line="0" w:lineRule="atLeast"/>
            <w:rPr>
              <w:sz w:val="18"/>
            </w:rPr>
          </w:pPr>
        </w:p>
      </w:tc>
      <w:tc>
        <w:tcPr>
          <w:tcW w:w="5387" w:type="dxa"/>
        </w:tcPr>
        <w:p w:rsidR="004D263E" w:rsidRDefault="004D263E" w:rsidP="008750A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43ED2">
            <w:rPr>
              <w:i/>
              <w:sz w:val="18"/>
            </w:rPr>
            <w:t>Telecommunications Regulations 2001</w:t>
          </w:r>
          <w:r w:rsidRPr="007A1328">
            <w:rPr>
              <w:i/>
              <w:sz w:val="18"/>
            </w:rPr>
            <w:fldChar w:fldCharType="end"/>
          </w:r>
        </w:p>
      </w:tc>
      <w:tc>
        <w:tcPr>
          <w:tcW w:w="533" w:type="dxa"/>
        </w:tcPr>
        <w:p w:rsidR="004D263E" w:rsidRDefault="004D263E" w:rsidP="008750A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rsidR="004D263E" w:rsidRPr="00ED79B6" w:rsidRDefault="004D263E" w:rsidP="004D263E">
    <w:pPr>
      <w:rPr>
        <w:i/>
        <w:sz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CC5" w:rsidRPr="007B3B51" w:rsidRDefault="00651CC5"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51CC5" w:rsidRPr="007B3B51" w:rsidTr="00621A70">
      <w:tc>
        <w:tcPr>
          <w:tcW w:w="1247" w:type="dxa"/>
        </w:tcPr>
        <w:p w:rsidR="00651CC5" w:rsidRPr="007B3B51" w:rsidRDefault="00651CC5"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94A72">
            <w:rPr>
              <w:i/>
              <w:noProof/>
              <w:sz w:val="16"/>
              <w:szCs w:val="16"/>
            </w:rPr>
            <w:t>32</w:t>
          </w:r>
          <w:r w:rsidRPr="007B3B51">
            <w:rPr>
              <w:i/>
              <w:sz w:val="16"/>
              <w:szCs w:val="16"/>
            </w:rPr>
            <w:fldChar w:fldCharType="end"/>
          </w:r>
        </w:p>
      </w:tc>
      <w:tc>
        <w:tcPr>
          <w:tcW w:w="5387" w:type="dxa"/>
          <w:gridSpan w:val="3"/>
        </w:tcPr>
        <w:p w:rsidR="00651CC5" w:rsidRPr="007B3B51" w:rsidRDefault="00651CC5"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94A72">
            <w:rPr>
              <w:i/>
              <w:noProof/>
              <w:sz w:val="16"/>
              <w:szCs w:val="16"/>
            </w:rPr>
            <w:t>Telecommunications Regulations 2001</w:t>
          </w:r>
          <w:r w:rsidRPr="007B3B51">
            <w:rPr>
              <w:i/>
              <w:sz w:val="16"/>
              <w:szCs w:val="16"/>
            </w:rPr>
            <w:fldChar w:fldCharType="end"/>
          </w:r>
        </w:p>
      </w:tc>
      <w:tc>
        <w:tcPr>
          <w:tcW w:w="669" w:type="dxa"/>
        </w:tcPr>
        <w:p w:rsidR="00651CC5" w:rsidRPr="007B3B51" w:rsidRDefault="00651CC5" w:rsidP="00A37BAF">
          <w:pPr>
            <w:jc w:val="right"/>
            <w:rPr>
              <w:sz w:val="16"/>
              <w:szCs w:val="16"/>
            </w:rPr>
          </w:pPr>
        </w:p>
      </w:tc>
    </w:tr>
    <w:tr w:rsidR="00651CC5" w:rsidRPr="0055472E" w:rsidTr="00621A70">
      <w:tc>
        <w:tcPr>
          <w:tcW w:w="2190" w:type="dxa"/>
          <w:gridSpan w:val="2"/>
        </w:tcPr>
        <w:p w:rsidR="00651CC5" w:rsidRPr="0055472E" w:rsidRDefault="00651CC5" w:rsidP="00621A7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43ED2">
            <w:rPr>
              <w:sz w:val="16"/>
              <w:szCs w:val="16"/>
            </w:rPr>
            <w:t>14</w:t>
          </w:r>
          <w:r w:rsidRPr="0055472E">
            <w:rPr>
              <w:sz w:val="16"/>
              <w:szCs w:val="16"/>
            </w:rPr>
            <w:fldChar w:fldCharType="end"/>
          </w:r>
        </w:p>
      </w:tc>
      <w:tc>
        <w:tcPr>
          <w:tcW w:w="2920" w:type="dxa"/>
        </w:tcPr>
        <w:p w:rsidR="00651CC5" w:rsidRPr="0055472E" w:rsidRDefault="00651CC5" w:rsidP="00A37BA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243ED2">
            <w:rPr>
              <w:sz w:val="16"/>
              <w:szCs w:val="16"/>
            </w:rPr>
            <w:t>21/8/15</w:t>
          </w:r>
          <w:r w:rsidRPr="0055472E">
            <w:rPr>
              <w:sz w:val="16"/>
              <w:szCs w:val="16"/>
            </w:rPr>
            <w:fldChar w:fldCharType="end"/>
          </w:r>
        </w:p>
      </w:tc>
      <w:tc>
        <w:tcPr>
          <w:tcW w:w="2193" w:type="dxa"/>
          <w:gridSpan w:val="2"/>
        </w:tcPr>
        <w:p w:rsidR="00651CC5" w:rsidRPr="0055472E" w:rsidRDefault="00651CC5" w:rsidP="00A37BA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43ED2">
            <w:rPr>
              <w:sz w:val="16"/>
              <w:szCs w:val="16"/>
            </w:rPr>
            <w:instrText>4/09/2015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243ED2">
            <w:rPr>
              <w:sz w:val="16"/>
              <w:szCs w:val="16"/>
            </w:rPr>
            <w:instrText>4/9/15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43ED2">
            <w:rPr>
              <w:noProof/>
              <w:sz w:val="16"/>
              <w:szCs w:val="16"/>
            </w:rPr>
            <w:t>4/9/15</w:t>
          </w:r>
          <w:r w:rsidRPr="0055472E">
            <w:rPr>
              <w:sz w:val="16"/>
              <w:szCs w:val="16"/>
            </w:rPr>
            <w:fldChar w:fldCharType="end"/>
          </w:r>
        </w:p>
      </w:tc>
    </w:tr>
  </w:tbl>
  <w:p w:rsidR="004D263E" w:rsidRPr="00651CC5" w:rsidRDefault="004D263E" w:rsidP="00651CC5">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CC5" w:rsidRPr="007B3B51" w:rsidRDefault="00651CC5"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51CC5" w:rsidRPr="007B3B51" w:rsidTr="00A37BAF">
      <w:tc>
        <w:tcPr>
          <w:tcW w:w="1247" w:type="dxa"/>
        </w:tcPr>
        <w:p w:rsidR="00651CC5" w:rsidRPr="007B3B51" w:rsidRDefault="00651CC5" w:rsidP="00A37BAF">
          <w:pPr>
            <w:rPr>
              <w:i/>
              <w:sz w:val="16"/>
              <w:szCs w:val="16"/>
            </w:rPr>
          </w:pPr>
        </w:p>
      </w:tc>
      <w:tc>
        <w:tcPr>
          <w:tcW w:w="5387" w:type="dxa"/>
          <w:gridSpan w:val="3"/>
        </w:tcPr>
        <w:p w:rsidR="00651CC5" w:rsidRPr="007B3B51" w:rsidRDefault="00651CC5"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94A72">
            <w:rPr>
              <w:i/>
              <w:noProof/>
              <w:sz w:val="16"/>
              <w:szCs w:val="16"/>
            </w:rPr>
            <w:t>Telecommunications Regulations 2001</w:t>
          </w:r>
          <w:r w:rsidRPr="007B3B51">
            <w:rPr>
              <w:i/>
              <w:sz w:val="16"/>
              <w:szCs w:val="16"/>
            </w:rPr>
            <w:fldChar w:fldCharType="end"/>
          </w:r>
        </w:p>
      </w:tc>
      <w:tc>
        <w:tcPr>
          <w:tcW w:w="669" w:type="dxa"/>
        </w:tcPr>
        <w:p w:rsidR="00651CC5" w:rsidRPr="007B3B51" w:rsidRDefault="00651CC5" w:rsidP="00A37B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94A72">
            <w:rPr>
              <w:i/>
              <w:noProof/>
              <w:sz w:val="16"/>
              <w:szCs w:val="16"/>
            </w:rPr>
            <w:t>31</w:t>
          </w:r>
          <w:r w:rsidRPr="007B3B51">
            <w:rPr>
              <w:i/>
              <w:sz w:val="16"/>
              <w:szCs w:val="16"/>
            </w:rPr>
            <w:fldChar w:fldCharType="end"/>
          </w:r>
        </w:p>
      </w:tc>
    </w:tr>
    <w:tr w:rsidR="00651CC5" w:rsidRPr="00130F37" w:rsidTr="00621A70">
      <w:tc>
        <w:tcPr>
          <w:tcW w:w="2190" w:type="dxa"/>
          <w:gridSpan w:val="2"/>
        </w:tcPr>
        <w:p w:rsidR="00651CC5" w:rsidRPr="00130F37" w:rsidRDefault="00651CC5" w:rsidP="00AD5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43ED2">
            <w:rPr>
              <w:sz w:val="16"/>
              <w:szCs w:val="16"/>
            </w:rPr>
            <w:t>14</w:t>
          </w:r>
          <w:r w:rsidRPr="00130F37">
            <w:rPr>
              <w:sz w:val="16"/>
              <w:szCs w:val="16"/>
            </w:rPr>
            <w:fldChar w:fldCharType="end"/>
          </w:r>
        </w:p>
      </w:tc>
      <w:tc>
        <w:tcPr>
          <w:tcW w:w="2920" w:type="dxa"/>
        </w:tcPr>
        <w:p w:rsidR="00651CC5" w:rsidRPr="00130F37" w:rsidRDefault="00651CC5" w:rsidP="00A37B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43ED2">
            <w:rPr>
              <w:sz w:val="16"/>
              <w:szCs w:val="16"/>
            </w:rPr>
            <w:t>21/8/15</w:t>
          </w:r>
          <w:r w:rsidRPr="00130F37">
            <w:rPr>
              <w:sz w:val="16"/>
              <w:szCs w:val="16"/>
            </w:rPr>
            <w:fldChar w:fldCharType="end"/>
          </w:r>
        </w:p>
      </w:tc>
      <w:tc>
        <w:tcPr>
          <w:tcW w:w="2193" w:type="dxa"/>
          <w:gridSpan w:val="2"/>
        </w:tcPr>
        <w:p w:rsidR="00651CC5" w:rsidRPr="00130F37" w:rsidRDefault="00651CC5" w:rsidP="00A37B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43ED2">
            <w:rPr>
              <w:sz w:val="16"/>
              <w:szCs w:val="16"/>
            </w:rPr>
            <w:instrText>4/09/2015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43ED2">
            <w:rPr>
              <w:sz w:val="16"/>
              <w:szCs w:val="16"/>
            </w:rPr>
            <w:instrText>4/9/15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43ED2">
            <w:rPr>
              <w:noProof/>
              <w:sz w:val="16"/>
              <w:szCs w:val="16"/>
            </w:rPr>
            <w:t>4/9/15</w:t>
          </w:r>
          <w:r w:rsidRPr="00130F37">
            <w:rPr>
              <w:sz w:val="16"/>
              <w:szCs w:val="16"/>
            </w:rPr>
            <w:fldChar w:fldCharType="end"/>
          </w:r>
        </w:p>
      </w:tc>
    </w:tr>
  </w:tbl>
  <w:p w:rsidR="004D263E" w:rsidRPr="00651CC5" w:rsidRDefault="004D263E" w:rsidP="00651CC5">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63E" w:rsidRPr="002B0EA5" w:rsidRDefault="004D263E" w:rsidP="004D263E">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4D263E" w:rsidTr="008750A9">
      <w:tc>
        <w:tcPr>
          <w:tcW w:w="1383" w:type="dxa"/>
        </w:tcPr>
        <w:p w:rsidR="004D263E" w:rsidRDefault="004D263E" w:rsidP="008750A9">
          <w:pPr>
            <w:spacing w:line="0" w:lineRule="atLeast"/>
            <w:rPr>
              <w:sz w:val="18"/>
            </w:rPr>
          </w:pPr>
        </w:p>
      </w:tc>
      <w:tc>
        <w:tcPr>
          <w:tcW w:w="5387" w:type="dxa"/>
        </w:tcPr>
        <w:p w:rsidR="004D263E" w:rsidRDefault="004D263E" w:rsidP="008750A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43ED2">
            <w:rPr>
              <w:i/>
              <w:sz w:val="18"/>
            </w:rPr>
            <w:t>Telecommunications Regulations 2001</w:t>
          </w:r>
          <w:r w:rsidRPr="007A1328">
            <w:rPr>
              <w:i/>
              <w:sz w:val="18"/>
            </w:rPr>
            <w:fldChar w:fldCharType="end"/>
          </w:r>
        </w:p>
      </w:tc>
      <w:tc>
        <w:tcPr>
          <w:tcW w:w="533" w:type="dxa"/>
        </w:tcPr>
        <w:p w:rsidR="004D263E" w:rsidRDefault="004D263E" w:rsidP="008750A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rsidR="004D263E" w:rsidRPr="00ED79B6" w:rsidRDefault="004D263E" w:rsidP="004D263E">
    <w:pPr>
      <w:rPr>
        <w:i/>
        <w:sz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CC5" w:rsidRPr="007B3B51" w:rsidRDefault="00651CC5"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51CC5" w:rsidRPr="007B3B51" w:rsidTr="00621A70">
      <w:tc>
        <w:tcPr>
          <w:tcW w:w="1247" w:type="dxa"/>
        </w:tcPr>
        <w:p w:rsidR="00651CC5" w:rsidRPr="007B3B51" w:rsidRDefault="00651CC5"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94A72">
            <w:rPr>
              <w:i/>
              <w:noProof/>
              <w:sz w:val="16"/>
              <w:szCs w:val="16"/>
            </w:rPr>
            <w:t>38</w:t>
          </w:r>
          <w:r w:rsidRPr="007B3B51">
            <w:rPr>
              <w:i/>
              <w:sz w:val="16"/>
              <w:szCs w:val="16"/>
            </w:rPr>
            <w:fldChar w:fldCharType="end"/>
          </w:r>
        </w:p>
      </w:tc>
      <w:tc>
        <w:tcPr>
          <w:tcW w:w="5387" w:type="dxa"/>
          <w:gridSpan w:val="3"/>
        </w:tcPr>
        <w:p w:rsidR="00651CC5" w:rsidRPr="007B3B51" w:rsidRDefault="00651CC5"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94A72">
            <w:rPr>
              <w:i/>
              <w:noProof/>
              <w:sz w:val="16"/>
              <w:szCs w:val="16"/>
            </w:rPr>
            <w:t>Telecommunications Regulations 2001</w:t>
          </w:r>
          <w:r w:rsidRPr="007B3B51">
            <w:rPr>
              <w:i/>
              <w:sz w:val="16"/>
              <w:szCs w:val="16"/>
            </w:rPr>
            <w:fldChar w:fldCharType="end"/>
          </w:r>
        </w:p>
      </w:tc>
      <w:tc>
        <w:tcPr>
          <w:tcW w:w="669" w:type="dxa"/>
        </w:tcPr>
        <w:p w:rsidR="00651CC5" w:rsidRPr="007B3B51" w:rsidRDefault="00651CC5" w:rsidP="00A37BAF">
          <w:pPr>
            <w:jc w:val="right"/>
            <w:rPr>
              <w:sz w:val="16"/>
              <w:szCs w:val="16"/>
            </w:rPr>
          </w:pPr>
        </w:p>
      </w:tc>
    </w:tr>
    <w:tr w:rsidR="00651CC5" w:rsidRPr="0055472E" w:rsidTr="00621A70">
      <w:tc>
        <w:tcPr>
          <w:tcW w:w="2190" w:type="dxa"/>
          <w:gridSpan w:val="2"/>
        </w:tcPr>
        <w:p w:rsidR="00651CC5" w:rsidRPr="0055472E" w:rsidRDefault="00651CC5" w:rsidP="00621A7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43ED2">
            <w:rPr>
              <w:sz w:val="16"/>
              <w:szCs w:val="16"/>
            </w:rPr>
            <w:t>14</w:t>
          </w:r>
          <w:r w:rsidRPr="0055472E">
            <w:rPr>
              <w:sz w:val="16"/>
              <w:szCs w:val="16"/>
            </w:rPr>
            <w:fldChar w:fldCharType="end"/>
          </w:r>
        </w:p>
      </w:tc>
      <w:tc>
        <w:tcPr>
          <w:tcW w:w="2920" w:type="dxa"/>
        </w:tcPr>
        <w:p w:rsidR="00651CC5" w:rsidRPr="0055472E" w:rsidRDefault="00651CC5" w:rsidP="00A37BA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243ED2">
            <w:rPr>
              <w:sz w:val="16"/>
              <w:szCs w:val="16"/>
            </w:rPr>
            <w:t>21/8/15</w:t>
          </w:r>
          <w:r w:rsidRPr="0055472E">
            <w:rPr>
              <w:sz w:val="16"/>
              <w:szCs w:val="16"/>
            </w:rPr>
            <w:fldChar w:fldCharType="end"/>
          </w:r>
        </w:p>
      </w:tc>
      <w:tc>
        <w:tcPr>
          <w:tcW w:w="2193" w:type="dxa"/>
          <w:gridSpan w:val="2"/>
        </w:tcPr>
        <w:p w:rsidR="00651CC5" w:rsidRPr="0055472E" w:rsidRDefault="00651CC5" w:rsidP="00A37BA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43ED2">
            <w:rPr>
              <w:sz w:val="16"/>
              <w:szCs w:val="16"/>
            </w:rPr>
            <w:instrText>4/09/2015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243ED2">
            <w:rPr>
              <w:sz w:val="16"/>
              <w:szCs w:val="16"/>
            </w:rPr>
            <w:instrText>4/9/15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43ED2">
            <w:rPr>
              <w:noProof/>
              <w:sz w:val="16"/>
              <w:szCs w:val="16"/>
            </w:rPr>
            <w:t>4/9/15</w:t>
          </w:r>
          <w:r w:rsidRPr="0055472E">
            <w:rPr>
              <w:sz w:val="16"/>
              <w:szCs w:val="16"/>
            </w:rPr>
            <w:fldChar w:fldCharType="end"/>
          </w:r>
        </w:p>
      </w:tc>
    </w:tr>
  </w:tbl>
  <w:p w:rsidR="004D263E" w:rsidRPr="00651CC5" w:rsidRDefault="004D263E" w:rsidP="00651CC5">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CC5" w:rsidRPr="007B3B51" w:rsidRDefault="00651CC5"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51CC5" w:rsidRPr="007B3B51" w:rsidTr="00A37BAF">
      <w:tc>
        <w:tcPr>
          <w:tcW w:w="1247" w:type="dxa"/>
        </w:tcPr>
        <w:p w:rsidR="00651CC5" w:rsidRPr="007B3B51" w:rsidRDefault="00651CC5" w:rsidP="00A37BAF">
          <w:pPr>
            <w:rPr>
              <w:i/>
              <w:sz w:val="16"/>
              <w:szCs w:val="16"/>
            </w:rPr>
          </w:pPr>
        </w:p>
      </w:tc>
      <w:tc>
        <w:tcPr>
          <w:tcW w:w="5387" w:type="dxa"/>
          <w:gridSpan w:val="3"/>
        </w:tcPr>
        <w:p w:rsidR="00651CC5" w:rsidRPr="007B3B51" w:rsidRDefault="00651CC5"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94A72">
            <w:rPr>
              <w:i/>
              <w:noProof/>
              <w:sz w:val="16"/>
              <w:szCs w:val="16"/>
            </w:rPr>
            <w:t>Telecommunications Regulations 2001</w:t>
          </w:r>
          <w:r w:rsidRPr="007B3B51">
            <w:rPr>
              <w:i/>
              <w:sz w:val="16"/>
              <w:szCs w:val="16"/>
            </w:rPr>
            <w:fldChar w:fldCharType="end"/>
          </w:r>
        </w:p>
      </w:tc>
      <w:tc>
        <w:tcPr>
          <w:tcW w:w="669" w:type="dxa"/>
        </w:tcPr>
        <w:p w:rsidR="00651CC5" w:rsidRPr="007B3B51" w:rsidRDefault="00651CC5" w:rsidP="00A37B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94A72">
            <w:rPr>
              <w:i/>
              <w:noProof/>
              <w:sz w:val="16"/>
              <w:szCs w:val="16"/>
            </w:rPr>
            <w:t>37</w:t>
          </w:r>
          <w:r w:rsidRPr="007B3B51">
            <w:rPr>
              <w:i/>
              <w:sz w:val="16"/>
              <w:szCs w:val="16"/>
            </w:rPr>
            <w:fldChar w:fldCharType="end"/>
          </w:r>
        </w:p>
      </w:tc>
    </w:tr>
    <w:tr w:rsidR="00651CC5" w:rsidRPr="00130F37" w:rsidTr="00621A70">
      <w:tc>
        <w:tcPr>
          <w:tcW w:w="2190" w:type="dxa"/>
          <w:gridSpan w:val="2"/>
        </w:tcPr>
        <w:p w:rsidR="00651CC5" w:rsidRPr="00130F37" w:rsidRDefault="00651CC5" w:rsidP="00AD5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43ED2">
            <w:rPr>
              <w:sz w:val="16"/>
              <w:szCs w:val="16"/>
            </w:rPr>
            <w:t>14</w:t>
          </w:r>
          <w:r w:rsidRPr="00130F37">
            <w:rPr>
              <w:sz w:val="16"/>
              <w:szCs w:val="16"/>
            </w:rPr>
            <w:fldChar w:fldCharType="end"/>
          </w:r>
        </w:p>
      </w:tc>
      <w:tc>
        <w:tcPr>
          <w:tcW w:w="2920" w:type="dxa"/>
        </w:tcPr>
        <w:p w:rsidR="00651CC5" w:rsidRPr="00130F37" w:rsidRDefault="00651CC5" w:rsidP="00A37B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43ED2">
            <w:rPr>
              <w:sz w:val="16"/>
              <w:szCs w:val="16"/>
            </w:rPr>
            <w:t>21/8/15</w:t>
          </w:r>
          <w:r w:rsidRPr="00130F37">
            <w:rPr>
              <w:sz w:val="16"/>
              <w:szCs w:val="16"/>
            </w:rPr>
            <w:fldChar w:fldCharType="end"/>
          </w:r>
        </w:p>
      </w:tc>
      <w:tc>
        <w:tcPr>
          <w:tcW w:w="2193" w:type="dxa"/>
          <w:gridSpan w:val="2"/>
        </w:tcPr>
        <w:p w:rsidR="00651CC5" w:rsidRPr="00130F37" w:rsidRDefault="00651CC5" w:rsidP="00A37B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43ED2">
            <w:rPr>
              <w:sz w:val="16"/>
              <w:szCs w:val="16"/>
            </w:rPr>
            <w:instrText>4/09/2015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43ED2">
            <w:rPr>
              <w:sz w:val="16"/>
              <w:szCs w:val="16"/>
            </w:rPr>
            <w:instrText>4/9/15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43ED2">
            <w:rPr>
              <w:noProof/>
              <w:sz w:val="16"/>
              <w:szCs w:val="16"/>
            </w:rPr>
            <w:t>4/9/15</w:t>
          </w:r>
          <w:r w:rsidRPr="00130F37">
            <w:rPr>
              <w:sz w:val="16"/>
              <w:szCs w:val="16"/>
            </w:rPr>
            <w:fldChar w:fldCharType="end"/>
          </w:r>
        </w:p>
      </w:tc>
    </w:tr>
  </w:tbl>
  <w:p w:rsidR="004D263E" w:rsidRPr="00651CC5" w:rsidRDefault="004D263E" w:rsidP="00651CC5">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CC5" w:rsidRPr="007B3B51" w:rsidRDefault="00651CC5"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51CC5" w:rsidRPr="007B3B51" w:rsidTr="00621A70">
      <w:tc>
        <w:tcPr>
          <w:tcW w:w="1247" w:type="dxa"/>
        </w:tcPr>
        <w:p w:rsidR="00651CC5" w:rsidRPr="007B3B51" w:rsidRDefault="00651CC5"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32E22">
            <w:rPr>
              <w:i/>
              <w:noProof/>
              <w:sz w:val="16"/>
              <w:szCs w:val="16"/>
            </w:rPr>
            <w:t>38</w:t>
          </w:r>
          <w:r w:rsidRPr="007B3B51">
            <w:rPr>
              <w:i/>
              <w:sz w:val="16"/>
              <w:szCs w:val="16"/>
            </w:rPr>
            <w:fldChar w:fldCharType="end"/>
          </w:r>
        </w:p>
      </w:tc>
      <w:tc>
        <w:tcPr>
          <w:tcW w:w="5387" w:type="dxa"/>
          <w:gridSpan w:val="3"/>
        </w:tcPr>
        <w:p w:rsidR="00651CC5" w:rsidRPr="007B3B51" w:rsidRDefault="00651CC5"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32E22">
            <w:rPr>
              <w:i/>
              <w:noProof/>
              <w:sz w:val="16"/>
              <w:szCs w:val="16"/>
            </w:rPr>
            <w:t>Telecommunications Regulations 2001</w:t>
          </w:r>
          <w:r w:rsidRPr="007B3B51">
            <w:rPr>
              <w:i/>
              <w:sz w:val="16"/>
              <w:szCs w:val="16"/>
            </w:rPr>
            <w:fldChar w:fldCharType="end"/>
          </w:r>
        </w:p>
      </w:tc>
      <w:tc>
        <w:tcPr>
          <w:tcW w:w="669" w:type="dxa"/>
        </w:tcPr>
        <w:p w:rsidR="00651CC5" w:rsidRPr="007B3B51" w:rsidRDefault="00651CC5" w:rsidP="00A37BAF">
          <w:pPr>
            <w:jc w:val="right"/>
            <w:rPr>
              <w:sz w:val="16"/>
              <w:szCs w:val="16"/>
            </w:rPr>
          </w:pPr>
        </w:p>
      </w:tc>
    </w:tr>
    <w:tr w:rsidR="00651CC5" w:rsidRPr="0055472E" w:rsidTr="00621A70">
      <w:tc>
        <w:tcPr>
          <w:tcW w:w="2190" w:type="dxa"/>
          <w:gridSpan w:val="2"/>
        </w:tcPr>
        <w:p w:rsidR="00651CC5" w:rsidRPr="0055472E" w:rsidRDefault="00651CC5" w:rsidP="00621A7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43ED2">
            <w:rPr>
              <w:sz w:val="16"/>
              <w:szCs w:val="16"/>
            </w:rPr>
            <w:t>14</w:t>
          </w:r>
          <w:r w:rsidRPr="0055472E">
            <w:rPr>
              <w:sz w:val="16"/>
              <w:szCs w:val="16"/>
            </w:rPr>
            <w:fldChar w:fldCharType="end"/>
          </w:r>
        </w:p>
      </w:tc>
      <w:tc>
        <w:tcPr>
          <w:tcW w:w="2920" w:type="dxa"/>
        </w:tcPr>
        <w:p w:rsidR="00651CC5" w:rsidRPr="0055472E" w:rsidRDefault="00651CC5" w:rsidP="00A37BA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243ED2">
            <w:rPr>
              <w:sz w:val="16"/>
              <w:szCs w:val="16"/>
            </w:rPr>
            <w:t>21/8/15</w:t>
          </w:r>
          <w:r w:rsidRPr="0055472E">
            <w:rPr>
              <w:sz w:val="16"/>
              <w:szCs w:val="16"/>
            </w:rPr>
            <w:fldChar w:fldCharType="end"/>
          </w:r>
        </w:p>
      </w:tc>
      <w:tc>
        <w:tcPr>
          <w:tcW w:w="2193" w:type="dxa"/>
          <w:gridSpan w:val="2"/>
        </w:tcPr>
        <w:p w:rsidR="00651CC5" w:rsidRPr="0055472E" w:rsidRDefault="00651CC5" w:rsidP="00A37BA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43ED2">
            <w:rPr>
              <w:sz w:val="16"/>
              <w:szCs w:val="16"/>
            </w:rPr>
            <w:instrText>4/09/2015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243ED2">
            <w:rPr>
              <w:sz w:val="16"/>
              <w:szCs w:val="16"/>
            </w:rPr>
            <w:instrText>4/9/15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43ED2">
            <w:rPr>
              <w:noProof/>
              <w:sz w:val="16"/>
              <w:szCs w:val="16"/>
            </w:rPr>
            <w:t>4/9/15</w:t>
          </w:r>
          <w:r w:rsidRPr="0055472E">
            <w:rPr>
              <w:sz w:val="16"/>
              <w:szCs w:val="16"/>
            </w:rPr>
            <w:fldChar w:fldCharType="end"/>
          </w:r>
        </w:p>
      </w:tc>
    </w:tr>
  </w:tbl>
  <w:p w:rsidR="004D263E" w:rsidRPr="00651CC5" w:rsidRDefault="004D263E" w:rsidP="00651CC5">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CC5" w:rsidRPr="007B3B51" w:rsidRDefault="00651CC5"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51CC5" w:rsidRPr="007B3B51" w:rsidTr="00A37BAF">
      <w:tc>
        <w:tcPr>
          <w:tcW w:w="1247" w:type="dxa"/>
        </w:tcPr>
        <w:p w:rsidR="00651CC5" w:rsidRPr="007B3B51" w:rsidRDefault="00651CC5" w:rsidP="00A37BAF">
          <w:pPr>
            <w:rPr>
              <w:i/>
              <w:sz w:val="16"/>
              <w:szCs w:val="16"/>
            </w:rPr>
          </w:pPr>
        </w:p>
      </w:tc>
      <w:tc>
        <w:tcPr>
          <w:tcW w:w="5387" w:type="dxa"/>
          <w:gridSpan w:val="3"/>
        </w:tcPr>
        <w:p w:rsidR="00651CC5" w:rsidRPr="007B3B51" w:rsidRDefault="00651CC5"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3ED2">
            <w:rPr>
              <w:i/>
              <w:noProof/>
              <w:sz w:val="16"/>
              <w:szCs w:val="16"/>
            </w:rPr>
            <w:t>Telecommunications Regulations 2001</w:t>
          </w:r>
          <w:r w:rsidRPr="007B3B51">
            <w:rPr>
              <w:i/>
              <w:sz w:val="16"/>
              <w:szCs w:val="16"/>
            </w:rPr>
            <w:fldChar w:fldCharType="end"/>
          </w:r>
        </w:p>
      </w:tc>
      <w:tc>
        <w:tcPr>
          <w:tcW w:w="669" w:type="dxa"/>
        </w:tcPr>
        <w:p w:rsidR="00651CC5" w:rsidRPr="007B3B51" w:rsidRDefault="00651CC5" w:rsidP="00A37B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25C31">
            <w:rPr>
              <w:i/>
              <w:noProof/>
              <w:sz w:val="16"/>
              <w:szCs w:val="16"/>
            </w:rPr>
            <w:t>41</w:t>
          </w:r>
          <w:r w:rsidRPr="007B3B51">
            <w:rPr>
              <w:i/>
              <w:sz w:val="16"/>
              <w:szCs w:val="16"/>
            </w:rPr>
            <w:fldChar w:fldCharType="end"/>
          </w:r>
        </w:p>
      </w:tc>
    </w:tr>
    <w:tr w:rsidR="00651CC5" w:rsidRPr="00130F37" w:rsidTr="00621A70">
      <w:tc>
        <w:tcPr>
          <w:tcW w:w="2190" w:type="dxa"/>
          <w:gridSpan w:val="2"/>
        </w:tcPr>
        <w:p w:rsidR="00651CC5" w:rsidRPr="00130F37" w:rsidRDefault="00651CC5" w:rsidP="00AD5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43ED2">
            <w:rPr>
              <w:sz w:val="16"/>
              <w:szCs w:val="16"/>
            </w:rPr>
            <w:t>14</w:t>
          </w:r>
          <w:r w:rsidRPr="00130F37">
            <w:rPr>
              <w:sz w:val="16"/>
              <w:szCs w:val="16"/>
            </w:rPr>
            <w:fldChar w:fldCharType="end"/>
          </w:r>
        </w:p>
      </w:tc>
      <w:tc>
        <w:tcPr>
          <w:tcW w:w="2920" w:type="dxa"/>
        </w:tcPr>
        <w:p w:rsidR="00651CC5" w:rsidRPr="00130F37" w:rsidRDefault="00651CC5" w:rsidP="00A37B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43ED2">
            <w:rPr>
              <w:sz w:val="16"/>
              <w:szCs w:val="16"/>
            </w:rPr>
            <w:t>21/8/15</w:t>
          </w:r>
          <w:r w:rsidRPr="00130F37">
            <w:rPr>
              <w:sz w:val="16"/>
              <w:szCs w:val="16"/>
            </w:rPr>
            <w:fldChar w:fldCharType="end"/>
          </w:r>
        </w:p>
      </w:tc>
      <w:tc>
        <w:tcPr>
          <w:tcW w:w="2193" w:type="dxa"/>
          <w:gridSpan w:val="2"/>
        </w:tcPr>
        <w:p w:rsidR="00651CC5" w:rsidRPr="00130F37" w:rsidRDefault="00651CC5" w:rsidP="00A37B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43ED2">
            <w:rPr>
              <w:sz w:val="16"/>
              <w:szCs w:val="16"/>
            </w:rPr>
            <w:instrText>4/09/2015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43ED2">
            <w:rPr>
              <w:sz w:val="16"/>
              <w:szCs w:val="16"/>
            </w:rPr>
            <w:instrText>4/9/15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43ED2">
            <w:rPr>
              <w:noProof/>
              <w:sz w:val="16"/>
              <w:szCs w:val="16"/>
            </w:rPr>
            <w:t>4/9/15</w:t>
          </w:r>
          <w:r w:rsidRPr="00130F37">
            <w:rPr>
              <w:sz w:val="16"/>
              <w:szCs w:val="16"/>
            </w:rPr>
            <w:fldChar w:fldCharType="end"/>
          </w:r>
        </w:p>
      </w:tc>
    </w:tr>
  </w:tbl>
  <w:p w:rsidR="004D263E" w:rsidRPr="00651CC5" w:rsidRDefault="004D263E" w:rsidP="00651C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CC5" w:rsidRDefault="00651CC5" w:rsidP="005838A0">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CC5" w:rsidRPr="00ED79B6" w:rsidRDefault="00651CC5" w:rsidP="005838A0">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CC5" w:rsidRPr="007B3B51" w:rsidRDefault="00651CC5"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51CC5" w:rsidRPr="007B3B51" w:rsidTr="00621A70">
      <w:tc>
        <w:tcPr>
          <w:tcW w:w="1247" w:type="dxa"/>
        </w:tcPr>
        <w:p w:rsidR="00651CC5" w:rsidRPr="007B3B51" w:rsidRDefault="00651CC5"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94A72">
            <w:rPr>
              <w:i/>
              <w:noProof/>
              <w:sz w:val="16"/>
              <w:szCs w:val="16"/>
            </w:rPr>
            <w:t>ii</w:t>
          </w:r>
          <w:r w:rsidRPr="007B3B51">
            <w:rPr>
              <w:i/>
              <w:sz w:val="16"/>
              <w:szCs w:val="16"/>
            </w:rPr>
            <w:fldChar w:fldCharType="end"/>
          </w:r>
        </w:p>
      </w:tc>
      <w:tc>
        <w:tcPr>
          <w:tcW w:w="5387" w:type="dxa"/>
          <w:gridSpan w:val="3"/>
        </w:tcPr>
        <w:p w:rsidR="00651CC5" w:rsidRPr="007B3B51" w:rsidRDefault="00651CC5"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94A72">
            <w:rPr>
              <w:i/>
              <w:noProof/>
              <w:sz w:val="16"/>
              <w:szCs w:val="16"/>
            </w:rPr>
            <w:t>Telecommunications Regulations 2001</w:t>
          </w:r>
          <w:r w:rsidRPr="007B3B51">
            <w:rPr>
              <w:i/>
              <w:sz w:val="16"/>
              <w:szCs w:val="16"/>
            </w:rPr>
            <w:fldChar w:fldCharType="end"/>
          </w:r>
        </w:p>
      </w:tc>
      <w:tc>
        <w:tcPr>
          <w:tcW w:w="669" w:type="dxa"/>
        </w:tcPr>
        <w:p w:rsidR="00651CC5" w:rsidRPr="007B3B51" w:rsidRDefault="00651CC5" w:rsidP="00A37BAF">
          <w:pPr>
            <w:jc w:val="right"/>
            <w:rPr>
              <w:sz w:val="16"/>
              <w:szCs w:val="16"/>
            </w:rPr>
          </w:pPr>
        </w:p>
      </w:tc>
    </w:tr>
    <w:tr w:rsidR="00651CC5" w:rsidRPr="0055472E" w:rsidTr="00621A70">
      <w:tc>
        <w:tcPr>
          <w:tcW w:w="2190" w:type="dxa"/>
          <w:gridSpan w:val="2"/>
        </w:tcPr>
        <w:p w:rsidR="00651CC5" w:rsidRPr="0055472E" w:rsidRDefault="00651CC5" w:rsidP="00621A7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43ED2">
            <w:rPr>
              <w:sz w:val="16"/>
              <w:szCs w:val="16"/>
            </w:rPr>
            <w:t>14</w:t>
          </w:r>
          <w:r w:rsidRPr="0055472E">
            <w:rPr>
              <w:sz w:val="16"/>
              <w:szCs w:val="16"/>
            </w:rPr>
            <w:fldChar w:fldCharType="end"/>
          </w:r>
        </w:p>
      </w:tc>
      <w:tc>
        <w:tcPr>
          <w:tcW w:w="2920" w:type="dxa"/>
        </w:tcPr>
        <w:p w:rsidR="00651CC5" w:rsidRPr="0055472E" w:rsidRDefault="00651CC5" w:rsidP="00A37BA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243ED2">
            <w:rPr>
              <w:sz w:val="16"/>
              <w:szCs w:val="16"/>
            </w:rPr>
            <w:t>21/8/15</w:t>
          </w:r>
          <w:r w:rsidRPr="0055472E">
            <w:rPr>
              <w:sz w:val="16"/>
              <w:szCs w:val="16"/>
            </w:rPr>
            <w:fldChar w:fldCharType="end"/>
          </w:r>
        </w:p>
      </w:tc>
      <w:tc>
        <w:tcPr>
          <w:tcW w:w="2193" w:type="dxa"/>
          <w:gridSpan w:val="2"/>
        </w:tcPr>
        <w:p w:rsidR="00651CC5" w:rsidRPr="0055472E" w:rsidRDefault="00651CC5" w:rsidP="00A37BA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43ED2">
            <w:rPr>
              <w:sz w:val="16"/>
              <w:szCs w:val="16"/>
            </w:rPr>
            <w:instrText>4/09/2015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243ED2">
            <w:rPr>
              <w:sz w:val="16"/>
              <w:szCs w:val="16"/>
            </w:rPr>
            <w:instrText>4/9/15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43ED2">
            <w:rPr>
              <w:noProof/>
              <w:sz w:val="16"/>
              <w:szCs w:val="16"/>
            </w:rPr>
            <w:t>4/9/15</w:t>
          </w:r>
          <w:r w:rsidRPr="0055472E">
            <w:rPr>
              <w:sz w:val="16"/>
              <w:szCs w:val="16"/>
            </w:rPr>
            <w:fldChar w:fldCharType="end"/>
          </w:r>
        </w:p>
      </w:tc>
    </w:tr>
  </w:tbl>
  <w:p w:rsidR="004D263E" w:rsidRPr="00651CC5" w:rsidRDefault="004D263E" w:rsidP="00651CC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CC5" w:rsidRPr="007B3B51" w:rsidRDefault="00651CC5"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51CC5" w:rsidRPr="007B3B51" w:rsidTr="00A37BAF">
      <w:tc>
        <w:tcPr>
          <w:tcW w:w="1247" w:type="dxa"/>
        </w:tcPr>
        <w:p w:rsidR="00651CC5" w:rsidRPr="007B3B51" w:rsidRDefault="00651CC5" w:rsidP="00A37BAF">
          <w:pPr>
            <w:rPr>
              <w:i/>
              <w:sz w:val="16"/>
              <w:szCs w:val="16"/>
            </w:rPr>
          </w:pPr>
        </w:p>
      </w:tc>
      <w:tc>
        <w:tcPr>
          <w:tcW w:w="5387" w:type="dxa"/>
          <w:gridSpan w:val="3"/>
        </w:tcPr>
        <w:p w:rsidR="00651CC5" w:rsidRPr="007B3B51" w:rsidRDefault="00651CC5"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94A72">
            <w:rPr>
              <w:i/>
              <w:noProof/>
              <w:sz w:val="16"/>
              <w:szCs w:val="16"/>
            </w:rPr>
            <w:t>Telecommunications Regulations 2001</w:t>
          </w:r>
          <w:r w:rsidRPr="007B3B51">
            <w:rPr>
              <w:i/>
              <w:sz w:val="16"/>
              <w:szCs w:val="16"/>
            </w:rPr>
            <w:fldChar w:fldCharType="end"/>
          </w:r>
        </w:p>
      </w:tc>
      <w:tc>
        <w:tcPr>
          <w:tcW w:w="669" w:type="dxa"/>
        </w:tcPr>
        <w:p w:rsidR="00651CC5" w:rsidRPr="007B3B51" w:rsidRDefault="00651CC5" w:rsidP="00A37B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94A72">
            <w:rPr>
              <w:i/>
              <w:noProof/>
              <w:sz w:val="16"/>
              <w:szCs w:val="16"/>
            </w:rPr>
            <w:t>i</w:t>
          </w:r>
          <w:r w:rsidRPr="007B3B51">
            <w:rPr>
              <w:i/>
              <w:sz w:val="16"/>
              <w:szCs w:val="16"/>
            </w:rPr>
            <w:fldChar w:fldCharType="end"/>
          </w:r>
        </w:p>
      </w:tc>
    </w:tr>
    <w:tr w:rsidR="00651CC5" w:rsidRPr="00130F37" w:rsidTr="00621A70">
      <w:tc>
        <w:tcPr>
          <w:tcW w:w="2190" w:type="dxa"/>
          <w:gridSpan w:val="2"/>
        </w:tcPr>
        <w:p w:rsidR="00651CC5" w:rsidRPr="00130F37" w:rsidRDefault="00651CC5" w:rsidP="00AD5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43ED2">
            <w:rPr>
              <w:sz w:val="16"/>
              <w:szCs w:val="16"/>
            </w:rPr>
            <w:t>14</w:t>
          </w:r>
          <w:r w:rsidRPr="00130F37">
            <w:rPr>
              <w:sz w:val="16"/>
              <w:szCs w:val="16"/>
            </w:rPr>
            <w:fldChar w:fldCharType="end"/>
          </w:r>
        </w:p>
      </w:tc>
      <w:tc>
        <w:tcPr>
          <w:tcW w:w="2920" w:type="dxa"/>
        </w:tcPr>
        <w:p w:rsidR="00651CC5" w:rsidRPr="00130F37" w:rsidRDefault="00651CC5" w:rsidP="00A37B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43ED2">
            <w:rPr>
              <w:sz w:val="16"/>
              <w:szCs w:val="16"/>
            </w:rPr>
            <w:t>21/8/15</w:t>
          </w:r>
          <w:r w:rsidRPr="00130F37">
            <w:rPr>
              <w:sz w:val="16"/>
              <w:szCs w:val="16"/>
            </w:rPr>
            <w:fldChar w:fldCharType="end"/>
          </w:r>
        </w:p>
      </w:tc>
      <w:tc>
        <w:tcPr>
          <w:tcW w:w="2193" w:type="dxa"/>
          <w:gridSpan w:val="2"/>
        </w:tcPr>
        <w:p w:rsidR="00651CC5" w:rsidRPr="00130F37" w:rsidRDefault="00651CC5" w:rsidP="00A37B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43ED2">
            <w:rPr>
              <w:sz w:val="16"/>
              <w:szCs w:val="16"/>
            </w:rPr>
            <w:instrText>4/09/2015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43ED2">
            <w:rPr>
              <w:sz w:val="16"/>
              <w:szCs w:val="16"/>
            </w:rPr>
            <w:instrText>4/9/15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43ED2">
            <w:rPr>
              <w:noProof/>
              <w:sz w:val="16"/>
              <w:szCs w:val="16"/>
            </w:rPr>
            <w:t>4/9/15</w:t>
          </w:r>
          <w:r w:rsidRPr="00130F37">
            <w:rPr>
              <w:sz w:val="16"/>
              <w:szCs w:val="16"/>
            </w:rPr>
            <w:fldChar w:fldCharType="end"/>
          </w:r>
        </w:p>
      </w:tc>
    </w:tr>
  </w:tbl>
  <w:p w:rsidR="004D263E" w:rsidRPr="00651CC5" w:rsidRDefault="004D263E" w:rsidP="00651CC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CC5" w:rsidRPr="007B3B51" w:rsidRDefault="00651CC5"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51CC5" w:rsidRPr="007B3B51" w:rsidTr="00621A70">
      <w:tc>
        <w:tcPr>
          <w:tcW w:w="1247" w:type="dxa"/>
        </w:tcPr>
        <w:p w:rsidR="00651CC5" w:rsidRPr="007B3B51" w:rsidRDefault="00651CC5"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94A72">
            <w:rPr>
              <w:i/>
              <w:noProof/>
              <w:sz w:val="16"/>
              <w:szCs w:val="16"/>
            </w:rPr>
            <w:t>22</w:t>
          </w:r>
          <w:r w:rsidRPr="007B3B51">
            <w:rPr>
              <w:i/>
              <w:sz w:val="16"/>
              <w:szCs w:val="16"/>
            </w:rPr>
            <w:fldChar w:fldCharType="end"/>
          </w:r>
        </w:p>
      </w:tc>
      <w:tc>
        <w:tcPr>
          <w:tcW w:w="5387" w:type="dxa"/>
          <w:gridSpan w:val="3"/>
        </w:tcPr>
        <w:p w:rsidR="00651CC5" w:rsidRPr="007B3B51" w:rsidRDefault="00651CC5"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94A72">
            <w:rPr>
              <w:i/>
              <w:noProof/>
              <w:sz w:val="16"/>
              <w:szCs w:val="16"/>
            </w:rPr>
            <w:t>Telecommunications Regulations 2001</w:t>
          </w:r>
          <w:r w:rsidRPr="007B3B51">
            <w:rPr>
              <w:i/>
              <w:sz w:val="16"/>
              <w:szCs w:val="16"/>
            </w:rPr>
            <w:fldChar w:fldCharType="end"/>
          </w:r>
        </w:p>
      </w:tc>
      <w:tc>
        <w:tcPr>
          <w:tcW w:w="669" w:type="dxa"/>
        </w:tcPr>
        <w:p w:rsidR="00651CC5" w:rsidRPr="007B3B51" w:rsidRDefault="00651CC5" w:rsidP="00A37BAF">
          <w:pPr>
            <w:jc w:val="right"/>
            <w:rPr>
              <w:sz w:val="16"/>
              <w:szCs w:val="16"/>
            </w:rPr>
          </w:pPr>
        </w:p>
      </w:tc>
    </w:tr>
    <w:tr w:rsidR="00651CC5" w:rsidRPr="0055472E" w:rsidTr="00621A70">
      <w:tc>
        <w:tcPr>
          <w:tcW w:w="2190" w:type="dxa"/>
          <w:gridSpan w:val="2"/>
        </w:tcPr>
        <w:p w:rsidR="00651CC5" w:rsidRPr="0055472E" w:rsidRDefault="00651CC5" w:rsidP="00621A7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43ED2">
            <w:rPr>
              <w:sz w:val="16"/>
              <w:szCs w:val="16"/>
            </w:rPr>
            <w:t>14</w:t>
          </w:r>
          <w:r w:rsidRPr="0055472E">
            <w:rPr>
              <w:sz w:val="16"/>
              <w:szCs w:val="16"/>
            </w:rPr>
            <w:fldChar w:fldCharType="end"/>
          </w:r>
        </w:p>
      </w:tc>
      <w:tc>
        <w:tcPr>
          <w:tcW w:w="2920" w:type="dxa"/>
        </w:tcPr>
        <w:p w:rsidR="00651CC5" w:rsidRPr="0055472E" w:rsidRDefault="00651CC5" w:rsidP="00A37BA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243ED2">
            <w:rPr>
              <w:sz w:val="16"/>
              <w:szCs w:val="16"/>
            </w:rPr>
            <w:t>21/8/15</w:t>
          </w:r>
          <w:r w:rsidRPr="0055472E">
            <w:rPr>
              <w:sz w:val="16"/>
              <w:szCs w:val="16"/>
            </w:rPr>
            <w:fldChar w:fldCharType="end"/>
          </w:r>
        </w:p>
      </w:tc>
      <w:tc>
        <w:tcPr>
          <w:tcW w:w="2193" w:type="dxa"/>
          <w:gridSpan w:val="2"/>
        </w:tcPr>
        <w:p w:rsidR="00651CC5" w:rsidRPr="0055472E" w:rsidRDefault="00651CC5" w:rsidP="00A37BA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43ED2">
            <w:rPr>
              <w:sz w:val="16"/>
              <w:szCs w:val="16"/>
            </w:rPr>
            <w:instrText>4/09/2015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243ED2">
            <w:rPr>
              <w:sz w:val="16"/>
              <w:szCs w:val="16"/>
            </w:rPr>
            <w:instrText>4/9/15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43ED2">
            <w:rPr>
              <w:noProof/>
              <w:sz w:val="16"/>
              <w:szCs w:val="16"/>
            </w:rPr>
            <w:t>4/9/15</w:t>
          </w:r>
          <w:r w:rsidRPr="0055472E">
            <w:rPr>
              <w:sz w:val="16"/>
              <w:szCs w:val="16"/>
            </w:rPr>
            <w:fldChar w:fldCharType="end"/>
          </w:r>
        </w:p>
      </w:tc>
    </w:tr>
  </w:tbl>
  <w:p w:rsidR="004D263E" w:rsidRPr="00651CC5" w:rsidRDefault="004D263E" w:rsidP="00651CC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CC5" w:rsidRPr="007B3B51" w:rsidRDefault="00651CC5"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51CC5" w:rsidRPr="007B3B51" w:rsidTr="00A37BAF">
      <w:tc>
        <w:tcPr>
          <w:tcW w:w="1247" w:type="dxa"/>
        </w:tcPr>
        <w:p w:rsidR="00651CC5" w:rsidRPr="007B3B51" w:rsidRDefault="00651CC5" w:rsidP="00A37BAF">
          <w:pPr>
            <w:rPr>
              <w:i/>
              <w:sz w:val="16"/>
              <w:szCs w:val="16"/>
            </w:rPr>
          </w:pPr>
        </w:p>
      </w:tc>
      <w:tc>
        <w:tcPr>
          <w:tcW w:w="5387" w:type="dxa"/>
          <w:gridSpan w:val="3"/>
        </w:tcPr>
        <w:p w:rsidR="00651CC5" w:rsidRPr="007B3B51" w:rsidRDefault="00651CC5"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94A72">
            <w:rPr>
              <w:i/>
              <w:noProof/>
              <w:sz w:val="16"/>
              <w:szCs w:val="16"/>
            </w:rPr>
            <w:t>Telecommunications Regulations 2001</w:t>
          </w:r>
          <w:r w:rsidRPr="007B3B51">
            <w:rPr>
              <w:i/>
              <w:sz w:val="16"/>
              <w:szCs w:val="16"/>
            </w:rPr>
            <w:fldChar w:fldCharType="end"/>
          </w:r>
        </w:p>
      </w:tc>
      <w:tc>
        <w:tcPr>
          <w:tcW w:w="669" w:type="dxa"/>
        </w:tcPr>
        <w:p w:rsidR="00651CC5" w:rsidRPr="007B3B51" w:rsidRDefault="00651CC5" w:rsidP="00A37B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94A72">
            <w:rPr>
              <w:i/>
              <w:noProof/>
              <w:sz w:val="16"/>
              <w:szCs w:val="16"/>
            </w:rPr>
            <w:t>23</w:t>
          </w:r>
          <w:r w:rsidRPr="007B3B51">
            <w:rPr>
              <w:i/>
              <w:sz w:val="16"/>
              <w:szCs w:val="16"/>
            </w:rPr>
            <w:fldChar w:fldCharType="end"/>
          </w:r>
        </w:p>
      </w:tc>
    </w:tr>
    <w:tr w:rsidR="00651CC5" w:rsidRPr="00130F37" w:rsidTr="00621A70">
      <w:tc>
        <w:tcPr>
          <w:tcW w:w="2190" w:type="dxa"/>
          <w:gridSpan w:val="2"/>
        </w:tcPr>
        <w:p w:rsidR="00651CC5" w:rsidRPr="00130F37" w:rsidRDefault="00651CC5" w:rsidP="00AD5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43ED2">
            <w:rPr>
              <w:sz w:val="16"/>
              <w:szCs w:val="16"/>
            </w:rPr>
            <w:t>14</w:t>
          </w:r>
          <w:r w:rsidRPr="00130F37">
            <w:rPr>
              <w:sz w:val="16"/>
              <w:szCs w:val="16"/>
            </w:rPr>
            <w:fldChar w:fldCharType="end"/>
          </w:r>
        </w:p>
      </w:tc>
      <w:tc>
        <w:tcPr>
          <w:tcW w:w="2920" w:type="dxa"/>
        </w:tcPr>
        <w:p w:rsidR="00651CC5" w:rsidRPr="00130F37" w:rsidRDefault="00651CC5" w:rsidP="00A37B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43ED2">
            <w:rPr>
              <w:sz w:val="16"/>
              <w:szCs w:val="16"/>
            </w:rPr>
            <w:t>21/8/15</w:t>
          </w:r>
          <w:r w:rsidRPr="00130F37">
            <w:rPr>
              <w:sz w:val="16"/>
              <w:szCs w:val="16"/>
            </w:rPr>
            <w:fldChar w:fldCharType="end"/>
          </w:r>
        </w:p>
      </w:tc>
      <w:tc>
        <w:tcPr>
          <w:tcW w:w="2193" w:type="dxa"/>
          <w:gridSpan w:val="2"/>
        </w:tcPr>
        <w:p w:rsidR="00651CC5" w:rsidRPr="00130F37" w:rsidRDefault="00651CC5" w:rsidP="00A37B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43ED2">
            <w:rPr>
              <w:sz w:val="16"/>
              <w:szCs w:val="16"/>
            </w:rPr>
            <w:instrText>4/09/2015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43ED2">
            <w:rPr>
              <w:sz w:val="16"/>
              <w:szCs w:val="16"/>
            </w:rPr>
            <w:instrText>4/9/15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43ED2">
            <w:rPr>
              <w:noProof/>
              <w:sz w:val="16"/>
              <w:szCs w:val="16"/>
            </w:rPr>
            <w:t>4/9/15</w:t>
          </w:r>
          <w:r w:rsidRPr="00130F37">
            <w:rPr>
              <w:sz w:val="16"/>
              <w:szCs w:val="16"/>
            </w:rPr>
            <w:fldChar w:fldCharType="end"/>
          </w:r>
        </w:p>
      </w:tc>
    </w:tr>
  </w:tbl>
  <w:p w:rsidR="004D263E" w:rsidRPr="00651CC5" w:rsidRDefault="004D263E" w:rsidP="00651CC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63E" w:rsidRPr="002B0EA5" w:rsidRDefault="004D263E" w:rsidP="004D263E">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4D263E" w:rsidTr="008750A9">
      <w:tc>
        <w:tcPr>
          <w:tcW w:w="1383" w:type="dxa"/>
        </w:tcPr>
        <w:p w:rsidR="004D263E" w:rsidRDefault="004D263E" w:rsidP="008750A9">
          <w:pPr>
            <w:spacing w:line="0" w:lineRule="atLeast"/>
            <w:rPr>
              <w:sz w:val="18"/>
            </w:rPr>
          </w:pPr>
        </w:p>
      </w:tc>
      <w:tc>
        <w:tcPr>
          <w:tcW w:w="5387" w:type="dxa"/>
        </w:tcPr>
        <w:p w:rsidR="004D263E" w:rsidRDefault="004D263E" w:rsidP="008750A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43ED2">
            <w:rPr>
              <w:i/>
              <w:sz w:val="18"/>
            </w:rPr>
            <w:t>Telecommunications Regulations 2001</w:t>
          </w:r>
          <w:r w:rsidRPr="007A1328">
            <w:rPr>
              <w:i/>
              <w:sz w:val="18"/>
            </w:rPr>
            <w:fldChar w:fldCharType="end"/>
          </w:r>
        </w:p>
      </w:tc>
      <w:tc>
        <w:tcPr>
          <w:tcW w:w="533" w:type="dxa"/>
        </w:tcPr>
        <w:p w:rsidR="004D263E" w:rsidRDefault="004D263E" w:rsidP="008750A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rsidR="004D263E" w:rsidRPr="00ED79B6" w:rsidRDefault="004D263E" w:rsidP="004D263E">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CC5" w:rsidRPr="007B3B51" w:rsidRDefault="00651CC5"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51CC5" w:rsidRPr="007B3B51" w:rsidTr="00621A70">
      <w:tc>
        <w:tcPr>
          <w:tcW w:w="1247" w:type="dxa"/>
        </w:tcPr>
        <w:p w:rsidR="00651CC5" w:rsidRPr="007B3B51" w:rsidRDefault="00651CC5"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94A72">
            <w:rPr>
              <w:i/>
              <w:noProof/>
              <w:sz w:val="16"/>
              <w:szCs w:val="16"/>
            </w:rPr>
            <w:t>28</w:t>
          </w:r>
          <w:r w:rsidRPr="007B3B51">
            <w:rPr>
              <w:i/>
              <w:sz w:val="16"/>
              <w:szCs w:val="16"/>
            </w:rPr>
            <w:fldChar w:fldCharType="end"/>
          </w:r>
        </w:p>
      </w:tc>
      <w:tc>
        <w:tcPr>
          <w:tcW w:w="5387" w:type="dxa"/>
          <w:gridSpan w:val="3"/>
        </w:tcPr>
        <w:p w:rsidR="00651CC5" w:rsidRPr="007B3B51" w:rsidRDefault="00651CC5"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94A72">
            <w:rPr>
              <w:i/>
              <w:noProof/>
              <w:sz w:val="16"/>
              <w:szCs w:val="16"/>
            </w:rPr>
            <w:t>Telecommunications Regulations 2001</w:t>
          </w:r>
          <w:r w:rsidRPr="007B3B51">
            <w:rPr>
              <w:i/>
              <w:sz w:val="16"/>
              <w:szCs w:val="16"/>
            </w:rPr>
            <w:fldChar w:fldCharType="end"/>
          </w:r>
        </w:p>
      </w:tc>
      <w:tc>
        <w:tcPr>
          <w:tcW w:w="669" w:type="dxa"/>
        </w:tcPr>
        <w:p w:rsidR="00651CC5" w:rsidRPr="007B3B51" w:rsidRDefault="00651CC5" w:rsidP="00A37BAF">
          <w:pPr>
            <w:jc w:val="right"/>
            <w:rPr>
              <w:sz w:val="16"/>
              <w:szCs w:val="16"/>
            </w:rPr>
          </w:pPr>
        </w:p>
      </w:tc>
    </w:tr>
    <w:tr w:rsidR="00651CC5" w:rsidRPr="0055472E" w:rsidTr="00621A70">
      <w:tc>
        <w:tcPr>
          <w:tcW w:w="2190" w:type="dxa"/>
          <w:gridSpan w:val="2"/>
        </w:tcPr>
        <w:p w:rsidR="00651CC5" w:rsidRPr="0055472E" w:rsidRDefault="00651CC5" w:rsidP="00621A7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43ED2">
            <w:rPr>
              <w:sz w:val="16"/>
              <w:szCs w:val="16"/>
            </w:rPr>
            <w:t>14</w:t>
          </w:r>
          <w:r w:rsidRPr="0055472E">
            <w:rPr>
              <w:sz w:val="16"/>
              <w:szCs w:val="16"/>
            </w:rPr>
            <w:fldChar w:fldCharType="end"/>
          </w:r>
        </w:p>
      </w:tc>
      <w:tc>
        <w:tcPr>
          <w:tcW w:w="2920" w:type="dxa"/>
        </w:tcPr>
        <w:p w:rsidR="00651CC5" w:rsidRPr="0055472E" w:rsidRDefault="00651CC5" w:rsidP="00A37BA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243ED2">
            <w:rPr>
              <w:sz w:val="16"/>
              <w:szCs w:val="16"/>
            </w:rPr>
            <w:t>21/8/15</w:t>
          </w:r>
          <w:r w:rsidRPr="0055472E">
            <w:rPr>
              <w:sz w:val="16"/>
              <w:szCs w:val="16"/>
            </w:rPr>
            <w:fldChar w:fldCharType="end"/>
          </w:r>
        </w:p>
      </w:tc>
      <w:tc>
        <w:tcPr>
          <w:tcW w:w="2193" w:type="dxa"/>
          <w:gridSpan w:val="2"/>
        </w:tcPr>
        <w:p w:rsidR="00651CC5" w:rsidRPr="0055472E" w:rsidRDefault="00651CC5" w:rsidP="00A37BA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43ED2">
            <w:rPr>
              <w:sz w:val="16"/>
              <w:szCs w:val="16"/>
            </w:rPr>
            <w:instrText>4/09/2015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243ED2">
            <w:rPr>
              <w:sz w:val="16"/>
              <w:szCs w:val="16"/>
            </w:rPr>
            <w:instrText>4/9/15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43ED2">
            <w:rPr>
              <w:noProof/>
              <w:sz w:val="16"/>
              <w:szCs w:val="16"/>
            </w:rPr>
            <w:t>4/9/15</w:t>
          </w:r>
          <w:r w:rsidRPr="0055472E">
            <w:rPr>
              <w:sz w:val="16"/>
              <w:szCs w:val="16"/>
            </w:rPr>
            <w:fldChar w:fldCharType="end"/>
          </w:r>
        </w:p>
      </w:tc>
    </w:tr>
  </w:tbl>
  <w:p w:rsidR="004D263E" w:rsidRPr="00651CC5" w:rsidRDefault="004D263E" w:rsidP="00651C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BE8" w:rsidRDefault="00C86BE8" w:rsidP="00E20334">
      <w:r>
        <w:separator/>
      </w:r>
    </w:p>
  </w:footnote>
  <w:footnote w:type="continuationSeparator" w:id="0">
    <w:p w:rsidR="00C86BE8" w:rsidRDefault="00C86BE8" w:rsidP="00E203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CC5" w:rsidRDefault="00651CC5" w:rsidP="005838A0">
    <w:pPr>
      <w:pStyle w:val="Header"/>
      <w:pBdr>
        <w:bottom w:val="single" w:sz="6" w:space="1" w:color="auto"/>
      </w:pBdr>
    </w:pPr>
  </w:p>
  <w:p w:rsidR="00651CC5" w:rsidRDefault="00651CC5" w:rsidP="005838A0">
    <w:pPr>
      <w:pStyle w:val="Header"/>
      <w:pBdr>
        <w:bottom w:val="single" w:sz="6" w:space="1" w:color="auto"/>
      </w:pBdr>
    </w:pPr>
  </w:p>
  <w:p w:rsidR="00651CC5" w:rsidRPr="001E77D2" w:rsidRDefault="00651CC5" w:rsidP="005838A0">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63E" w:rsidRDefault="004D263E" w:rsidP="004D263E">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4D263E" w:rsidRDefault="004D263E" w:rsidP="004D263E">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394A72">
      <w:rPr>
        <w:b/>
        <w:noProof/>
        <w:sz w:val="20"/>
      </w:rPr>
      <w:t>Part 10</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394A72">
      <w:rPr>
        <w:noProof/>
        <w:sz w:val="20"/>
      </w:rPr>
      <w:t>Standard service provider rules</w:t>
    </w:r>
    <w:r>
      <w:rPr>
        <w:sz w:val="20"/>
      </w:rPr>
      <w:fldChar w:fldCharType="end"/>
    </w:r>
  </w:p>
  <w:p w:rsidR="004D263E" w:rsidRPr="007A1328" w:rsidRDefault="004D263E" w:rsidP="004D263E">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4D263E" w:rsidRPr="007A1328" w:rsidRDefault="004D263E" w:rsidP="004D263E">
    <w:pPr>
      <w:rPr>
        <w:b/>
        <w:sz w:val="24"/>
      </w:rPr>
    </w:pPr>
  </w:p>
  <w:p w:rsidR="004D263E" w:rsidRPr="007A1328" w:rsidRDefault="004D263E" w:rsidP="004D263E">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243ED2">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394A72">
      <w:rPr>
        <w:noProof/>
        <w:sz w:val="24"/>
      </w:rPr>
      <w:t>8.4</w:t>
    </w:r>
    <w:r w:rsidRPr="007A1328">
      <w:rPr>
        <w:sz w:val="24"/>
      </w:rPr>
      <w:fldChar w:fldCharType="end"/>
    </w:r>
  </w:p>
  <w:p w:rsidR="00232F35" w:rsidRPr="004D263E" w:rsidRDefault="00232F35" w:rsidP="004D263E">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63E" w:rsidRPr="007A1328" w:rsidRDefault="004D263E" w:rsidP="004D263E">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4D263E" w:rsidRPr="007A1328" w:rsidRDefault="004D263E" w:rsidP="004D263E">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394A72">
      <w:rPr>
        <w:noProof/>
        <w:sz w:val="20"/>
      </w:rPr>
      <w:t>Carriers’ powers and immunities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394A72">
      <w:rPr>
        <w:b/>
        <w:noProof/>
        <w:sz w:val="20"/>
      </w:rPr>
      <w:t>Part 11</w:t>
    </w:r>
    <w:r>
      <w:rPr>
        <w:b/>
        <w:sz w:val="20"/>
      </w:rPr>
      <w:fldChar w:fldCharType="end"/>
    </w:r>
  </w:p>
  <w:p w:rsidR="004D263E" w:rsidRPr="007A1328" w:rsidRDefault="004D263E" w:rsidP="004D263E">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4D263E" w:rsidRPr="007A1328" w:rsidRDefault="004D263E" w:rsidP="004D263E">
    <w:pPr>
      <w:jc w:val="right"/>
      <w:rPr>
        <w:b/>
        <w:sz w:val="24"/>
      </w:rPr>
    </w:pPr>
  </w:p>
  <w:p w:rsidR="004D263E" w:rsidRPr="007A1328" w:rsidRDefault="004D263E" w:rsidP="004D263E">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243ED2">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394A72">
      <w:rPr>
        <w:noProof/>
        <w:sz w:val="24"/>
      </w:rPr>
      <w:t>11.1</w:t>
    </w:r>
    <w:r w:rsidRPr="007A1328">
      <w:rPr>
        <w:sz w:val="24"/>
      </w:rPr>
      <w:fldChar w:fldCharType="end"/>
    </w:r>
  </w:p>
  <w:p w:rsidR="004D263E" w:rsidRDefault="004D263E" w:rsidP="004D263E"/>
  <w:p w:rsidR="00232F35" w:rsidRPr="004D263E" w:rsidRDefault="00232F35" w:rsidP="004D263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F35" w:rsidRDefault="00232F35">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BA8" w:rsidRDefault="00331BA8">
    <w:pPr>
      <w:rPr>
        <w:sz w:val="20"/>
      </w:rPr>
    </w:pPr>
    <w:r>
      <w:rPr>
        <w:b/>
        <w:sz w:val="20"/>
      </w:rPr>
      <w:fldChar w:fldCharType="begin"/>
    </w:r>
    <w:r>
      <w:rPr>
        <w:b/>
        <w:sz w:val="20"/>
      </w:rPr>
      <w:instrText xml:space="preserve"> STYLEREF CharChapNo </w:instrText>
    </w:r>
    <w:r>
      <w:rPr>
        <w:b/>
        <w:sz w:val="20"/>
      </w:rPr>
      <w:fldChar w:fldCharType="separate"/>
    </w:r>
    <w:r w:rsidR="00394A72">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394A72">
      <w:rPr>
        <w:noProof/>
        <w:sz w:val="20"/>
      </w:rPr>
      <w:t>Listed international agreements</w:t>
    </w:r>
    <w:r>
      <w:rPr>
        <w:sz w:val="20"/>
      </w:rPr>
      <w:fldChar w:fldCharType="end"/>
    </w:r>
  </w:p>
  <w:p w:rsidR="00331BA8" w:rsidRDefault="00331BA8">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331BA8" w:rsidRDefault="00331BA8">
    <w:pPr>
      <w:pBdr>
        <w:bottom w:val="single" w:sz="6"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BA8" w:rsidRPr="008A2C51" w:rsidRDefault="00331BA8">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394A72">
      <w:rPr>
        <w:noProof/>
        <w:sz w:val="20"/>
      </w:rPr>
      <w:t>Listed international agreements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394A72">
      <w:rPr>
        <w:b/>
        <w:noProof/>
        <w:sz w:val="20"/>
      </w:rPr>
      <w:t>Schedule 1</w:t>
    </w:r>
    <w:r w:rsidRPr="008A2C51">
      <w:rPr>
        <w:b/>
        <w:sz w:val="20"/>
      </w:rPr>
      <w:fldChar w:fldCharType="end"/>
    </w:r>
  </w:p>
  <w:p w:rsidR="00331BA8" w:rsidRPr="008A2C51" w:rsidRDefault="00331BA8">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rsidR="00331BA8" w:rsidRPr="008A2C51" w:rsidRDefault="00331BA8">
    <w:pPr>
      <w:pBdr>
        <w:bottom w:val="single" w:sz="6" w:space="1" w:color="auto"/>
      </w:pBd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BA8" w:rsidRDefault="00331BA8"/>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BA8" w:rsidRPr="00BE5CD2" w:rsidRDefault="00331BA8" w:rsidP="005838A0">
    <w:pPr>
      <w:rPr>
        <w:sz w:val="26"/>
        <w:szCs w:val="26"/>
      </w:rPr>
    </w:pPr>
  </w:p>
  <w:p w:rsidR="00331BA8" w:rsidRPr="0020230A" w:rsidRDefault="00331BA8" w:rsidP="005838A0">
    <w:pPr>
      <w:rPr>
        <w:b/>
        <w:sz w:val="20"/>
      </w:rPr>
    </w:pPr>
    <w:r w:rsidRPr="0020230A">
      <w:rPr>
        <w:b/>
        <w:sz w:val="20"/>
      </w:rPr>
      <w:t>Endnotes</w:t>
    </w:r>
  </w:p>
  <w:p w:rsidR="00331BA8" w:rsidRPr="007A1328" w:rsidRDefault="00331BA8" w:rsidP="005838A0">
    <w:pPr>
      <w:rPr>
        <w:sz w:val="20"/>
      </w:rPr>
    </w:pPr>
  </w:p>
  <w:p w:rsidR="00331BA8" w:rsidRPr="007A1328" w:rsidRDefault="00331BA8" w:rsidP="005838A0">
    <w:pPr>
      <w:rPr>
        <w:b/>
        <w:sz w:val="24"/>
      </w:rPr>
    </w:pPr>
  </w:p>
  <w:p w:rsidR="00331BA8" w:rsidRPr="00BE5CD2" w:rsidRDefault="00331BA8" w:rsidP="005838A0">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394A72">
      <w:rPr>
        <w:noProof/>
        <w:szCs w:val="22"/>
      </w:rPr>
      <w:t>Endnote 4—Amendment history</w:t>
    </w:r>
    <w:r>
      <w:rPr>
        <w:szCs w:val="22"/>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BA8" w:rsidRPr="00BE5CD2" w:rsidRDefault="00331BA8" w:rsidP="005838A0">
    <w:pPr>
      <w:jc w:val="right"/>
      <w:rPr>
        <w:sz w:val="26"/>
        <w:szCs w:val="26"/>
      </w:rPr>
    </w:pPr>
  </w:p>
  <w:p w:rsidR="00331BA8" w:rsidRPr="0020230A" w:rsidRDefault="00331BA8" w:rsidP="005838A0">
    <w:pPr>
      <w:jc w:val="right"/>
      <w:rPr>
        <w:b/>
        <w:sz w:val="20"/>
      </w:rPr>
    </w:pPr>
    <w:r w:rsidRPr="0020230A">
      <w:rPr>
        <w:b/>
        <w:sz w:val="20"/>
      </w:rPr>
      <w:t>Endnotes</w:t>
    </w:r>
  </w:p>
  <w:p w:rsidR="00331BA8" w:rsidRPr="007A1328" w:rsidRDefault="00331BA8" w:rsidP="005838A0">
    <w:pPr>
      <w:jc w:val="right"/>
      <w:rPr>
        <w:sz w:val="20"/>
      </w:rPr>
    </w:pPr>
  </w:p>
  <w:p w:rsidR="00331BA8" w:rsidRPr="007A1328" w:rsidRDefault="00331BA8" w:rsidP="005838A0">
    <w:pPr>
      <w:jc w:val="right"/>
      <w:rPr>
        <w:b/>
        <w:sz w:val="24"/>
      </w:rPr>
    </w:pPr>
  </w:p>
  <w:p w:rsidR="00331BA8" w:rsidRPr="00BE5CD2" w:rsidRDefault="00331BA8" w:rsidP="005838A0">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394A72">
      <w:rPr>
        <w:noProof/>
        <w:szCs w:val="22"/>
      </w:rPr>
      <w:t>Endnote 4—Amendment history</w:t>
    </w:r>
    <w:r>
      <w:rPr>
        <w:szCs w:val="22"/>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BA8" w:rsidRPr="00BE5CD2" w:rsidRDefault="00331BA8" w:rsidP="005838A0">
    <w:pPr>
      <w:rPr>
        <w:sz w:val="26"/>
        <w:szCs w:val="26"/>
      </w:rPr>
    </w:pPr>
  </w:p>
  <w:p w:rsidR="00331BA8" w:rsidRPr="0020230A" w:rsidRDefault="00331BA8" w:rsidP="005838A0">
    <w:pPr>
      <w:rPr>
        <w:b/>
        <w:sz w:val="20"/>
      </w:rPr>
    </w:pPr>
    <w:r w:rsidRPr="0020230A">
      <w:rPr>
        <w:b/>
        <w:sz w:val="20"/>
      </w:rPr>
      <w:t>Endnotes</w:t>
    </w:r>
  </w:p>
  <w:p w:rsidR="00331BA8" w:rsidRPr="007A1328" w:rsidRDefault="00331BA8" w:rsidP="005838A0">
    <w:pPr>
      <w:rPr>
        <w:sz w:val="20"/>
      </w:rPr>
    </w:pPr>
  </w:p>
  <w:p w:rsidR="00331BA8" w:rsidRPr="007A1328" w:rsidRDefault="00331BA8" w:rsidP="005838A0">
    <w:pPr>
      <w:rPr>
        <w:b/>
        <w:sz w:val="24"/>
      </w:rPr>
    </w:pPr>
  </w:p>
  <w:p w:rsidR="00331BA8" w:rsidRPr="00BE5CD2" w:rsidRDefault="00331BA8" w:rsidP="005838A0">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732E22">
      <w:rPr>
        <w:noProof/>
        <w:szCs w:val="22"/>
      </w:rPr>
      <w:t>Endnote 4—Amendment history</w:t>
    </w:r>
    <w:r>
      <w:rPr>
        <w:szCs w:val="22"/>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BA8" w:rsidRPr="00BE5CD2" w:rsidRDefault="00331BA8" w:rsidP="005838A0">
    <w:pPr>
      <w:jc w:val="right"/>
      <w:rPr>
        <w:sz w:val="26"/>
        <w:szCs w:val="26"/>
      </w:rPr>
    </w:pPr>
  </w:p>
  <w:p w:rsidR="00331BA8" w:rsidRPr="0020230A" w:rsidRDefault="00331BA8" w:rsidP="005838A0">
    <w:pPr>
      <w:jc w:val="right"/>
      <w:rPr>
        <w:b/>
        <w:sz w:val="20"/>
      </w:rPr>
    </w:pPr>
    <w:r w:rsidRPr="0020230A">
      <w:rPr>
        <w:b/>
        <w:sz w:val="20"/>
      </w:rPr>
      <w:t>Endnotes</w:t>
    </w:r>
  </w:p>
  <w:p w:rsidR="00331BA8" w:rsidRPr="007A1328" w:rsidRDefault="00331BA8" w:rsidP="005838A0">
    <w:pPr>
      <w:jc w:val="right"/>
      <w:rPr>
        <w:sz w:val="20"/>
      </w:rPr>
    </w:pPr>
  </w:p>
  <w:p w:rsidR="00331BA8" w:rsidRPr="007A1328" w:rsidRDefault="00331BA8" w:rsidP="005838A0">
    <w:pPr>
      <w:jc w:val="right"/>
      <w:rPr>
        <w:b/>
        <w:sz w:val="24"/>
      </w:rPr>
    </w:pPr>
  </w:p>
  <w:p w:rsidR="00331BA8" w:rsidRPr="00BE5CD2" w:rsidRDefault="00331BA8" w:rsidP="005838A0">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243ED2">
      <w:rPr>
        <w:noProof/>
        <w:szCs w:val="22"/>
      </w:rPr>
      <w:t>Endnote 4—Amendment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CC5" w:rsidRDefault="00651CC5" w:rsidP="005838A0">
    <w:pPr>
      <w:pStyle w:val="Header"/>
      <w:pBdr>
        <w:bottom w:val="single" w:sz="4" w:space="1" w:color="auto"/>
      </w:pBdr>
    </w:pPr>
  </w:p>
  <w:p w:rsidR="00651CC5" w:rsidRDefault="00651CC5" w:rsidP="005838A0">
    <w:pPr>
      <w:pStyle w:val="Header"/>
      <w:pBdr>
        <w:bottom w:val="single" w:sz="4" w:space="1" w:color="auto"/>
      </w:pBdr>
    </w:pPr>
  </w:p>
  <w:p w:rsidR="00651CC5" w:rsidRPr="001E77D2" w:rsidRDefault="00651CC5" w:rsidP="005838A0">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CC5" w:rsidRPr="005F1388" w:rsidRDefault="00651CC5" w:rsidP="005838A0">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63E" w:rsidRPr="00ED79B6" w:rsidRDefault="004D263E" w:rsidP="00651CC5">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63E" w:rsidRPr="00ED79B6" w:rsidRDefault="004D263E" w:rsidP="00651CC5">
    <w:pPr>
      <w:pBdr>
        <w:bottom w:val="single" w:sz="6" w:space="1" w:color="auto"/>
      </w:pBdr>
      <w:spacing w:before="10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63E" w:rsidRPr="00ED79B6" w:rsidRDefault="004D263E" w:rsidP="004A1E86">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BA8" w:rsidRDefault="00331BA8" w:rsidP="003A27EB">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331BA8" w:rsidRDefault="00331BA8" w:rsidP="003A27EB">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394A72">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394A72">
      <w:rPr>
        <w:noProof/>
        <w:sz w:val="20"/>
      </w:rPr>
      <w:t>Technical regulation</w:t>
    </w:r>
    <w:r>
      <w:rPr>
        <w:sz w:val="20"/>
      </w:rPr>
      <w:fldChar w:fldCharType="end"/>
    </w:r>
  </w:p>
  <w:p w:rsidR="00331BA8" w:rsidRPr="007A1328" w:rsidRDefault="00331BA8" w:rsidP="003A27EB">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331BA8" w:rsidRPr="007A1328" w:rsidRDefault="00331BA8" w:rsidP="003A27EB">
    <w:pPr>
      <w:rPr>
        <w:b/>
        <w:sz w:val="24"/>
      </w:rPr>
    </w:pPr>
  </w:p>
  <w:p w:rsidR="00331BA8" w:rsidRPr="007A1328" w:rsidRDefault="00331BA8" w:rsidP="003A27EB">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243ED2">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394A72">
      <w:rPr>
        <w:noProof/>
        <w:sz w:val="24"/>
      </w:rPr>
      <w:t>6.11</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BA8" w:rsidRPr="007A1328" w:rsidRDefault="00331BA8" w:rsidP="003A27EB">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331BA8" w:rsidRPr="007A1328" w:rsidRDefault="00331BA8" w:rsidP="003A27EB">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394A72">
      <w:rPr>
        <w:noProof/>
        <w:sz w:val="20"/>
      </w:rPr>
      <w:t>Technical regulation</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394A72">
      <w:rPr>
        <w:b/>
        <w:noProof/>
        <w:sz w:val="20"/>
      </w:rPr>
      <w:t>Part 6</w:t>
    </w:r>
    <w:r>
      <w:rPr>
        <w:b/>
        <w:sz w:val="20"/>
      </w:rPr>
      <w:fldChar w:fldCharType="end"/>
    </w:r>
  </w:p>
  <w:p w:rsidR="00331BA8" w:rsidRPr="007A1328" w:rsidRDefault="00331BA8" w:rsidP="003A27EB">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331BA8" w:rsidRPr="007A1328" w:rsidRDefault="00331BA8" w:rsidP="003A27EB">
    <w:pPr>
      <w:jc w:val="right"/>
      <w:rPr>
        <w:b/>
        <w:sz w:val="24"/>
      </w:rPr>
    </w:pPr>
  </w:p>
  <w:p w:rsidR="00331BA8" w:rsidRPr="007A1328" w:rsidRDefault="00331BA8" w:rsidP="003A27EB">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243ED2">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394A72">
      <w:rPr>
        <w:noProof/>
        <w:sz w:val="24"/>
      </w:rPr>
      <w:t>6.12</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BA8" w:rsidRPr="007A1328" w:rsidRDefault="00331BA8" w:rsidP="003A27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DC38083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1AD0282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7B6115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nsid w:val="1047257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nsid w:val="14164BD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0F6198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nsid w:val="390A643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nsid w:val="3C43218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56320EE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abstractNum w:abstractNumId="24">
    <w:nsid w:val="7F460351"/>
    <w:multiLevelType w:val="multilevel"/>
    <w:tmpl w:val="79263A7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1"/>
  </w:num>
  <w:num w:numId="2">
    <w:abstractNumId w:val="16"/>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3"/>
  </w:num>
  <w:num w:numId="15">
    <w:abstractNumId w:val="20"/>
  </w:num>
  <w:num w:numId="16">
    <w:abstractNumId w:val="15"/>
  </w:num>
  <w:num w:numId="17">
    <w:abstractNumId w:val="22"/>
  </w:num>
  <w:num w:numId="18">
    <w:abstractNumId w:val="17"/>
  </w:num>
  <w:num w:numId="19">
    <w:abstractNumId w:val="13"/>
  </w:num>
  <w:num w:numId="20">
    <w:abstractNumId w:val="14"/>
  </w:num>
  <w:num w:numId="21">
    <w:abstractNumId w:val="18"/>
  </w:num>
  <w:num w:numId="22">
    <w:abstractNumId w:val="19"/>
  </w:num>
  <w:num w:numId="23">
    <w:abstractNumId w:val="12"/>
  </w:num>
  <w:num w:numId="24">
    <w:abstractNumId w:val="24"/>
  </w:num>
  <w:num w:numId="25">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ctiveWritingStyle w:appName="MSWord" w:lang="en-AU" w:vendorID="64" w:dllVersion="131078" w:nlCheck="1" w:checkStyle="1"/>
  <w:activeWritingStyle w:appName="MSWord" w:lang="en-US" w:vendorID="64" w:dllVersion="131078" w:nlCheck="1" w:checkStyle="1"/>
  <w:proofState w:spelling="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71"/>
    <w:rsid w:val="00002328"/>
    <w:rsid w:val="0000439F"/>
    <w:rsid w:val="000047FD"/>
    <w:rsid w:val="00005070"/>
    <w:rsid w:val="000056EE"/>
    <w:rsid w:val="00006F3C"/>
    <w:rsid w:val="00010203"/>
    <w:rsid w:val="00012A4E"/>
    <w:rsid w:val="000141A3"/>
    <w:rsid w:val="00016099"/>
    <w:rsid w:val="0001739E"/>
    <w:rsid w:val="00023FD2"/>
    <w:rsid w:val="0003434D"/>
    <w:rsid w:val="0003498B"/>
    <w:rsid w:val="00050088"/>
    <w:rsid w:val="00055E25"/>
    <w:rsid w:val="00065A0E"/>
    <w:rsid w:val="000753EE"/>
    <w:rsid w:val="00075B3D"/>
    <w:rsid w:val="0008426C"/>
    <w:rsid w:val="00092802"/>
    <w:rsid w:val="000B0A20"/>
    <w:rsid w:val="000B26C3"/>
    <w:rsid w:val="000B52F3"/>
    <w:rsid w:val="000C4189"/>
    <w:rsid w:val="000C56FE"/>
    <w:rsid w:val="000D112D"/>
    <w:rsid w:val="000D363E"/>
    <w:rsid w:val="000E081D"/>
    <w:rsid w:val="000E2B7F"/>
    <w:rsid w:val="000F140F"/>
    <w:rsid w:val="00111E48"/>
    <w:rsid w:val="00114286"/>
    <w:rsid w:val="00122CA1"/>
    <w:rsid w:val="00125C31"/>
    <w:rsid w:val="00126C33"/>
    <w:rsid w:val="00126D00"/>
    <w:rsid w:val="00133419"/>
    <w:rsid w:val="001363F5"/>
    <w:rsid w:val="00145C33"/>
    <w:rsid w:val="0014660D"/>
    <w:rsid w:val="00152824"/>
    <w:rsid w:val="00153593"/>
    <w:rsid w:val="001544DD"/>
    <w:rsid w:val="00180CD3"/>
    <w:rsid w:val="00191B57"/>
    <w:rsid w:val="00195953"/>
    <w:rsid w:val="001A1B67"/>
    <w:rsid w:val="001A25BD"/>
    <w:rsid w:val="001B680B"/>
    <w:rsid w:val="001B7079"/>
    <w:rsid w:val="001C2D2D"/>
    <w:rsid w:val="001C3CFF"/>
    <w:rsid w:val="001C6C78"/>
    <w:rsid w:val="001D1730"/>
    <w:rsid w:val="001D49E7"/>
    <w:rsid w:val="001D53F8"/>
    <w:rsid w:val="001E0659"/>
    <w:rsid w:val="001E551F"/>
    <w:rsid w:val="001F204C"/>
    <w:rsid w:val="001F5199"/>
    <w:rsid w:val="0020488A"/>
    <w:rsid w:val="002125DA"/>
    <w:rsid w:val="002129C4"/>
    <w:rsid w:val="00220EDA"/>
    <w:rsid w:val="002228B0"/>
    <w:rsid w:val="00222DA1"/>
    <w:rsid w:val="00223A7F"/>
    <w:rsid w:val="002250FB"/>
    <w:rsid w:val="00225FAB"/>
    <w:rsid w:val="002303A1"/>
    <w:rsid w:val="00232F35"/>
    <w:rsid w:val="00243ED2"/>
    <w:rsid w:val="00254B2F"/>
    <w:rsid w:val="00254C12"/>
    <w:rsid w:val="002570DC"/>
    <w:rsid w:val="00262431"/>
    <w:rsid w:val="002705A1"/>
    <w:rsid w:val="00270826"/>
    <w:rsid w:val="0027363B"/>
    <w:rsid w:val="0028386A"/>
    <w:rsid w:val="00296435"/>
    <w:rsid w:val="0029646C"/>
    <w:rsid w:val="00296E69"/>
    <w:rsid w:val="002A57A4"/>
    <w:rsid w:val="002C0E89"/>
    <w:rsid w:val="002C42F1"/>
    <w:rsid w:val="002C79E4"/>
    <w:rsid w:val="002C7F8D"/>
    <w:rsid w:val="002D35D3"/>
    <w:rsid w:val="002F149C"/>
    <w:rsid w:val="0030627F"/>
    <w:rsid w:val="00310D25"/>
    <w:rsid w:val="003242D2"/>
    <w:rsid w:val="003269CD"/>
    <w:rsid w:val="00327AAB"/>
    <w:rsid w:val="00331BA8"/>
    <w:rsid w:val="003328BD"/>
    <w:rsid w:val="00336768"/>
    <w:rsid w:val="00347380"/>
    <w:rsid w:val="00347ABE"/>
    <w:rsid w:val="00351600"/>
    <w:rsid w:val="00355A53"/>
    <w:rsid w:val="003567D5"/>
    <w:rsid w:val="003570F6"/>
    <w:rsid w:val="003571AA"/>
    <w:rsid w:val="00365485"/>
    <w:rsid w:val="00366209"/>
    <w:rsid w:val="00380E4F"/>
    <w:rsid w:val="00393A96"/>
    <w:rsid w:val="00394A72"/>
    <w:rsid w:val="00396732"/>
    <w:rsid w:val="003A3291"/>
    <w:rsid w:val="003A4363"/>
    <w:rsid w:val="003B0F66"/>
    <w:rsid w:val="003C1D3B"/>
    <w:rsid w:val="003C700C"/>
    <w:rsid w:val="003D20DD"/>
    <w:rsid w:val="003E2788"/>
    <w:rsid w:val="003F1A97"/>
    <w:rsid w:val="003F1AF9"/>
    <w:rsid w:val="004207D7"/>
    <w:rsid w:val="00424431"/>
    <w:rsid w:val="00427249"/>
    <w:rsid w:val="00435B40"/>
    <w:rsid w:val="00441257"/>
    <w:rsid w:val="00442444"/>
    <w:rsid w:val="00454D0B"/>
    <w:rsid w:val="004568BF"/>
    <w:rsid w:val="00457AC5"/>
    <w:rsid w:val="0047221D"/>
    <w:rsid w:val="00480AFF"/>
    <w:rsid w:val="00482B0A"/>
    <w:rsid w:val="00490956"/>
    <w:rsid w:val="00492AF6"/>
    <w:rsid w:val="0049476B"/>
    <w:rsid w:val="004A308D"/>
    <w:rsid w:val="004B1E60"/>
    <w:rsid w:val="004B717C"/>
    <w:rsid w:val="004C4116"/>
    <w:rsid w:val="004D25B2"/>
    <w:rsid w:val="004D263E"/>
    <w:rsid w:val="004D2CCB"/>
    <w:rsid w:val="004E01BE"/>
    <w:rsid w:val="004E3375"/>
    <w:rsid w:val="004E59CB"/>
    <w:rsid w:val="004E6672"/>
    <w:rsid w:val="004F0A32"/>
    <w:rsid w:val="004F586F"/>
    <w:rsid w:val="004F6F63"/>
    <w:rsid w:val="00501920"/>
    <w:rsid w:val="00501A17"/>
    <w:rsid w:val="0051543A"/>
    <w:rsid w:val="00520E9F"/>
    <w:rsid w:val="00524BE1"/>
    <w:rsid w:val="00535BFA"/>
    <w:rsid w:val="00553BBD"/>
    <w:rsid w:val="00553CCE"/>
    <w:rsid w:val="005548F9"/>
    <w:rsid w:val="00561460"/>
    <w:rsid w:val="00564001"/>
    <w:rsid w:val="00577475"/>
    <w:rsid w:val="00584A71"/>
    <w:rsid w:val="005867F2"/>
    <w:rsid w:val="00590B66"/>
    <w:rsid w:val="005911F1"/>
    <w:rsid w:val="005940EB"/>
    <w:rsid w:val="00594F6A"/>
    <w:rsid w:val="005A04A5"/>
    <w:rsid w:val="005A0F53"/>
    <w:rsid w:val="005A2A56"/>
    <w:rsid w:val="005B0C90"/>
    <w:rsid w:val="005B2BDF"/>
    <w:rsid w:val="005C20BB"/>
    <w:rsid w:val="005C7760"/>
    <w:rsid w:val="005C7BB8"/>
    <w:rsid w:val="005D0AD8"/>
    <w:rsid w:val="005D40F1"/>
    <w:rsid w:val="005D491C"/>
    <w:rsid w:val="005D5651"/>
    <w:rsid w:val="005D6F22"/>
    <w:rsid w:val="005E41CA"/>
    <w:rsid w:val="005E42DE"/>
    <w:rsid w:val="005E5309"/>
    <w:rsid w:val="005E6D7C"/>
    <w:rsid w:val="005F2D27"/>
    <w:rsid w:val="005F38C6"/>
    <w:rsid w:val="005F5365"/>
    <w:rsid w:val="0060499E"/>
    <w:rsid w:val="00610CB1"/>
    <w:rsid w:val="006133D2"/>
    <w:rsid w:val="00630C62"/>
    <w:rsid w:val="006334F8"/>
    <w:rsid w:val="00634F0D"/>
    <w:rsid w:val="00645165"/>
    <w:rsid w:val="00645A49"/>
    <w:rsid w:val="00647421"/>
    <w:rsid w:val="006503AC"/>
    <w:rsid w:val="00651CC5"/>
    <w:rsid w:val="00653CAC"/>
    <w:rsid w:val="006548E6"/>
    <w:rsid w:val="00657047"/>
    <w:rsid w:val="0065794A"/>
    <w:rsid w:val="00672003"/>
    <w:rsid w:val="00672979"/>
    <w:rsid w:val="00675602"/>
    <w:rsid w:val="00686152"/>
    <w:rsid w:val="006A4BA5"/>
    <w:rsid w:val="006A5BBF"/>
    <w:rsid w:val="006B28EE"/>
    <w:rsid w:val="006C31CA"/>
    <w:rsid w:val="006C4BED"/>
    <w:rsid w:val="006C53D2"/>
    <w:rsid w:val="006C795D"/>
    <w:rsid w:val="006D0603"/>
    <w:rsid w:val="006D18DE"/>
    <w:rsid w:val="006D4B99"/>
    <w:rsid w:val="006E6AF8"/>
    <w:rsid w:val="006F2504"/>
    <w:rsid w:val="006F4850"/>
    <w:rsid w:val="007037DD"/>
    <w:rsid w:val="00704F38"/>
    <w:rsid w:val="007067C6"/>
    <w:rsid w:val="00717563"/>
    <w:rsid w:val="00721FEF"/>
    <w:rsid w:val="00730AB3"/>
    <w:rsid w:val="00732425"/>
    <w:rsid w:val="00732E22"/>
    <w:rsid w:val="00733D1E"/>
    <w:rsid w:val="00733ED9"/>
    <w:rsid w:val="00735B24"/>
    <w:rsid w:val="0073761F"/>
    <w:rsid w:val="00741B0D"/>
    <w:rsid w:val="00742BE4"/>
    <w:rsid w:val="0074530F"/>
    <w:rsid w:val="00750F54"/>
    <w:rsid w:val="007576E3"/>
    <w:rsid w:val="00757D9D"/>
    <w:rsid w:val="007640FB"/>
    <w:rsid w:val="00787D5F"/>
    <w:rsid w:val="00787E97"/>
    <w:rsid w:val="007916FB"/>
    <w:rsid w:val="00792C57"/>
    <w:rsid w:val="00792D08"/>
    <w:rsid w:val="007952D3"/>
    <w:rsid w:val="0079643C"/>
    <w:rsid w:val="0079710F"/>
    <w:rsid w:val="00797C09"/>
    <w:rsid w:val="007A1349"/>
    <w:rsid w:val="007A18FD"/>
    <w:rsid w:val="007A3567"/>
    <w:rsid w:val="007B41BF"/>
    <w:rsid w:val="007B526C"/>
    <w:rsid w:val="007B734A"/>
    <w:rsid w:val="007C012A"/>
    <w:rsid w:val="007C0378"/>
    <w:rsid w:val="007C23A0"/>
    <w:rsid w:val="007C378E"/>
    <w:rsid w:val="007C49D9"/>
    <w:rsid w:val="007D2042"/>
    <w:rsid w:val="007E195A"/>
    <w:rsid w:val="007E21C3"/>
    <w:rsid w:val="007E46DD"/>
    <w:rsid w:val="007E6E07"/>
    <w:rsid w:val="007F6B43"/>
    <w:rsid w:val="00800EE9"/>
    <w:rsid w:val="00802693"/>
    <w:rsid w:val="008200F1"/>
    <w:rsid w:val="00820E6A"/>
    <w:rsid w:val="0082647E"/>
    <w:rsid w:val="00834026"/>
    <w:rsid w:val="008421EA"/>
    <w:rsid w:val="008529D0"/>
    <w:rsid w:val="00855B7C"/>
    <w:rsid w:val="008621D6"/>
    <w:rsid w:val="00877CEE"/>
    <w:rsid w:val="00881357"/>
    <w:rsid w:val="00884A91"/>
    <w:rsid w:val="008854BC"/>
    <w:rsid w:val="00890A16"/>
    <w:rsid w:val="00893CD8"/>
    <w:rsid w:val="008A0D3A"/>
    <w:rsid w:val="008A3D32"/>
    <w:rsid w:val="008A5870"/>
    <w:rsid w:val="008A5DD5"/>
    <w:rsid w:val="008B7DD7"/>
    <w:rsid w:val="008C1D70"/>
    <w:rsid w:val="008C38FE"/>
    <w:rsid w:val="008C3D40"/>
    <w:rsid w:val="008D64ED"/>
    <w:rsid w:val="008E02E5"/>
    <w:rsid w:val="008E6BE9"/>
    <w:rsid w:val="008E74ED"/>
    <w:rsid w:val="008E7D39"/>
    <w:rsid w:val="008F3CE5"/>
    <w:rsid w:val="008F5EC2"/>
    <w:rsid w:val="0090061E"/>
    <w:rsid w:val="00901D54"/>
    <w:rsid w:val="00901DA5"/>
    <w:rsid w:val="00902FB5"/>
    <w:rsid w:val="009070F5"/>
    <w:rsid w:val="00907946"/>
    <w:rsid w:val="00914CC9"/>
    <w:rsid w:val="00916132"/>
    <w:rsid w:val="00924269"/>
    <w:rsid w:val="0093033C"/>
    <w:rsid w:val="009356C5"/>
    <w:rsid w:val="00944599"/>
    <w:rsid w:val="0095322A"/>
    <w:rsid w:val="009553F5"/>
    <w:rsid w:val="00961BB2"/>
    <w:rsid w:val="009676B9"/>
    <w:rsid w:val="00982FFF"/>
    <w:rsid w:val="00987DF2"/>
    <w:rsid w:val="009904F8"/>
    <w:rsid w:val="00992087"/>
    <w:rsid w:val="00992710"/>
    <w:rsid w:val="009A595E"/>
    <w:rsid w:val="009B6B2D"/>
    <w:rsid w:val="009E3171"/>
    <w:rsid w:val="009F3211"/>
    <w:rsid w:val="00A01333"/>
    <w:rsid w:val="00A01FB2"/>
    <w:rsid w:val="00A03F84"/>
    <w:rsid w:val="00A1281A"/>
    <w:rsid w:val="00A17D1D"/>
    <w:rsid w:val="00A20966"/>
    <w:rsid w:val="00A26EC4"/>
    <w:rsid w:val="00A31BE9"/>
    <w:rsid w:val="00A40923"/>
    <w:rsid w:val="00A5794C"/>
    <w:rsid w:val="00A7238F"/>
    <w:rsid w:val="00A8123E"/>
    <w:rsid w:val="00A871AE"/>
    <w:rsid w:val="00A909AA"/>
    <w:rsid w:val="00A91F48"/>
    <w:rsid w:val="00A939BC"/>
    <w:rsid w:val="00AA64FB"/>
    <w:rsid w:val="00AB3AB7"/>
    <w:rsid w:val="00AC2749"/>
    <w:rsid w:val="00AD4C82"/>
    <w:rsid w:val="00AE3BDB"/>
    <w:rsid w:val="00AE5649"/>
    <w:rsid w:val="00AE6BBC"/>
    <w:rsid w:val="00B02301"/>
    <w:rsid w:val="00B11FF4"/>
    <w:rsid w:val="00B267A3"/>
    <w:rsid w:val="00B2730F"/>
    <w:rsid w:val="00B341F1"/>
    <w:rsid w:val="00B41A08"/>
    <w:rsid w:val="00B4372D"/>
    <w:rsid w:val="00B440EB"/>
    <w:rsid w:val="00B50B2D"/>
    <w:rsid w:val="00B564FE"/>
    <w:rsid w:val="00B56B8D"/>
    <w:rsid w:val="00B573F7"/>
    <w:rsid w:val="00B64636"/>
    <w:rsid w:val="00B64D46"/>
    <w:rsid w:val="00B65B18"/>
    <w:rsid w:val="00B65ED4"/>
    <w:rsid w:val="00B6604D"/>
    <w:rsid w:val="00B66B48"/>
    <w:rsid w:val="00B74EBD"/>
    <w:rsid w:val="00B750D0"/>
    <w:rsid w:val="00B75420"/>
    <w:rsid w:val="00B76F60"/>
    <w:rsid w:val="00B779A9"/>
    <w:rsid w:val="00B82EAA"/>
    <w:rsid w:val="00B90EF5"/>
    <w:rsid w:val="00BA3AA3"/>
    <w:rsid w:val="00BA4CD6"/>
    <w:rsid w:val="00BA56DA"/>
    <w:rsid w:val="00BA5A9A"/>
    <w:rsid w:val="00BA61EE"/>
    <w:rsid w:val="00BA761C"/>
    <w:rsid w:val="00BB204B"/>
    <w:rsid w:val="00BC63F3"/>
    <w:rsid w:val="00BD0348"/>
    <w:rsid w:val="00BD12AB"/>
    <w:rsid w:val="00BE7291"/>
    <w:rsid w:val="00BF1AC4"/>
    <w:rsid w:val="00BF2E84"/>
    <w:rsid w:val="00C02DBF"/>
    <w:rsid w:val="00C03332"/>
    <w:rsid w:val="00C04219"/>
    <w:rsid w:val="00C13341"/>
    <w:rsid w:val="00C143E8"/>
    <w:rsid w:val="00C17668"/>
    <w:rsid w:val="00C24D82"/>
    <w:rsid w:val="00C321EA"/>
    <w:rsid w:val="00C33891"/>
    <w:rsid w:val="00C33FDC"/>
    <w:rsid w:val="00C34B2A"/>
    <w:rsid w:val="00C452AC"/>
    <w:rsid w:val="00C50FB8"/>
    <w:rsid w:val="00C5685E"/>
    <w:rsid w:val="00C56C15"/>
    <w:rsid w:val="00C65016"/>
    <w:rsid w:val="00C70FAF"/>
    <w:rsid w:val="00C73929"/>
    <w:rsid w:val="00C82160"/>
    <w:rsid w:val="00C82911"/>
    <w:rsid w:val="00C82D38"/>
    <w:rsid w:val="00C85260"/>
    <w:rsid w:val="00C861D2"/>
    <w:rsid w:val="00C86BE8"/>
    <w:rsid w:val="00C92281"/>
    <w:rsid w:val="00C92CDA"/>
    <w:rsid w:val="00C9472B"/>
    <w:rsid w:val="00C95A4E"/>
    <w:rsid w:val="00C96597"/>
    <w:rsid w:val="00C969F3"/>
    <w:rsid w:val="00CA0F05"/>
    <w:rsid w:val="00CA1D2D"/>
    <w:rsid w:val="00CA1EB2"/>
    <w:rsid w:val="00CC1FC2"/>
    <w:rsid w:val="00CC4EF4"/>
    <w:rsid w:val="00CC5A7E"/>
    <w:rsid w:val="00CC60E7"/>
    <w:rsid w:val="00CC7753"/>
    <w:rsid w:val="00CC7CA2"/>
    <w:rsid w:val="00CD11C3"/>
    <w:rsid w:val="00CD78DC"/>
    <w:rsid w:val="00CE233A"/>
    <w:rsid w:val="00CE2B1D"/>
    <w:rsid w:val="00CE33D5"/>
    <w:rsid w:val="00CE4755"/>
    <w:rsid w:val="00CF1DEB"/>
    <w:rsid w:val="00D10555"/>
    <w:rsid w:val="00D14E38"/>
    <w:rsid w:val="00D222D8"/>
    <w:rsid w:val="00D23277"/>
    <w:rsid w:val="00D304D1"/>
    <w:rsid w:val="00D36966"/>
    <w:rsid w:val="00D408B6"/>
    <w:rsid w:val="00D43988"/>
    <w:rsid w:val="00D43C47"/>
    <w:rsid w:val="00D4502B"/>
    <w:rsid w:val="00D47851"/>
    <w:rsid w:val="00D50A88"/>
    <w:rsid w:val="00D50D04"/>
    <w:rsid w:val="00D510D6"/>
    <w:rsid w:val="00D80D44"/>
    <w:rsid w:val="00D866E0"/>
    <w:rsid w:val="00D9415C"/>
    <w:rsid w:val="00D9574F"/>
    <w:rsid w:val="00D96FAA"/>
    <w:rsid w:val="00D97C6A"/>
    <w:rsid w:val="00D97F3C"/>
    <w:rsid w:val="00DA05D8"/>
    <w:rsid w:val="00DA0AD8"/>
    <w:rsid w:val="00DA1DC0"/>
    <w:rsid w:val="00DA7F92"/>
    <w:rsid w:val="00DB2833"/>
    <w:rsid w:val="00DB78AA"/>
    <w:rsid w:val="00DD3616"/>
    <w:rsid w:val="00DE0A50"/>
    <w:rsid w:val="00DF1077"/>
    <w:rsid w:val="00DF22FA"/>
    <w:rsid w:val="00DF2BB4"/>
    <w:rsid w:val="00DF7A67"/>
    <w:rsid w:val="00E0170F"/>
    <w:rsid w:val="00E115EE"/>
    <w:rsid w:val="00E20334"/>
    <w:rsid w:val="00E212D0"/>
    <w:rsid w:val="00E371BB"/>
    <w:rsid w:val="00E404DD"/>
    <w:rsid w:val="00E476B6"/>
    <w:rsid w:val="00E62BED"/>
    <w:rsid w:val="00E65184"/>
    <w:rsid w:val="00E73A1B"/>
    <w:rsid w:val="00E76310"/>
    <w:rsid w:val="00E83CB5"/>
    <w:rsid w:val="00E87EF5"/>
    <w:rsid w:val="00E95A6B"/>
    <w:rsid w:val="00EA0056"/>
    <w:rsid w:val="00EA14B9"/>
    <w:rsid w:val="00EB00FD"/>
    <w:rsid w:val="00EB0D1D"/>
    <w:rsid w:val="00EB31CA"/>
    <w:rsid w:val="00EC02C9"/>
    <w:rsid w:val="00EC6938"/>
    <w:rsid w:val="00ED310D"/>
    <w:rsid w:val="00EE7651"/>
    <w:rsid w:val="00EF4F03"/>
    <w:rsid w:val="00F00C4C"/>
    <w:rsid w:val="00F03CB8"/>
    <w:rsid w:val="00F04553"/>
    <w:rsid w:val="00F10548"/>
    <w:rsid w:val="00F12F58"/>
    <w:rsid w:val="00F1343A"/>
    <w:rsid w:val="00F21027"/>
    <w:rsid w:val="00F33606"/>
    <w:rsid w:val="00F35903"/>
    <w:rsid w:val="00F35905"/>
    <w:rsid w:val="00F3623A"/>
    <w:rsid w:val="00F4594E"/>
    <w:rsid w:val="00F5332E"/>
    <w:rsid w:val="00F54B0B"/>
    <w:rsid w:val="00F57858"/>
    <w:rsid w:val="00F60524"/>
    <w:rsid w:val="00F72662"/>
    <w:rsid w:val="00F8464C"/>
    <w:rsid w:val="00F85736"/>
    <w:rsid w:val="00FA03A4"/>
    <w:rsid w:val="00FA6228"/>
    <w:rsid w:val="00FB2A3E"/>
    <w:rsid w:val="00FB515C"/>
    <w:rsid w:val="00FC1CF1"/>
    <w:rsid w:val="00FD212A"/>
    <w:rsid w:val="00FD41B2"/>
    <w:rsid w:val="00FD44DF"/>
    <w:rsid w:val="00FD4915"/>
    <w:rsid w:val="00FD4B3A"/>
    <w:rsid w:val="00FF20D1"/>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A0AD8"/>
    <w:pPr>
      <w:spacing w:line="260" w:lineRule="atLeast"/>
    </w:pPr>
    <w:rPr>
      <w:rFonts w:eastAsiaTheme="minorHAnsi" w:cstheme="minorBidi"/>
      <w:sz w:val="22"/>
      <w:lang w:eastAsia="en-US"/>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331BA8"/>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31BA8"/>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link w:val="FooterChar"/>
    <w:rsid w:val="00DA0AD8"/>
    <w:pPr>
      <w:tabs>
        <w:tab w:val="center" w:pos="4153"/>
        <w:tab w:val="right" w:pos="8306"/>
      </w:tabs>
    </w:pPr>
    <w:rPr>
      <w:sz w:val="22"/>
      <w:szCs w:val="24"/>
    </w:rPr>
  </w:style>
  <w:style w:type="paragraph" w:customStyle="1" w:styleId="MainBodySectionBreak">
    <w:name w:val="MainBody Section Break"/>
    <w:basedOn w:val="Normal"/>
    <w:next w:val="Normal"/>
    <w:rsid w:val="00F85736"/>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DA0AD8"/>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DA0AD8"/>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A0AD8"/>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0">
    <w:name w:val="Table Grid 1"/>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F8573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857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DA0AD8"/>
  </w:style>
  <w:style w:type="character" w:customStyle="1" w:styleId="CharAmSchText">
    <w:name w:val="CharAmSchText"/>
    <w:basedOn w:val="OPCCharBase"/>
    <w:uiPriority w:val="1"/>
    <w:qFormat/>
    <w:rsid w:val="00DA0AD8"/>
  </w:style>
  <w:style w:type="character" w:customStyle="1" w:styleId="CharChapNo">
    <w:name w:val="CharChapNo"/>
    <w:basedOn w:val="OPCCharBase"/>
    <w:qFormat/>
    <w:rsid w:val="00DA0AD8"/>
  </w:style>
  <w:style w:type="character" w:customStyle="1" w:styleId="CharChapText">
    <w:name w:val="CharChapText"/>
    <w:basedOn w:val="OPCCharBase"/>
    <w:qFormat/>
    <w:rsid w:val="00DA0AD8"/>
  </w:style>
  <w:style w:type="character" w:customStyle="1" w:styleId="CharDivNo">
    <w:name w:val="CharDivNo"/>
    <w:basedOn w:val="OPCCharBase"/>
    <w:qFormat/>
    <w:rsid w:val="00DA0AD8"/>
  </w:style>
  <w:style w:type="character" w:customStyle="1" w:styleId="CharDivText">
    <w:name w:val="CharDivText"/>
    <w:basedOn w:val="OPCCharBase"/>
    <w:qFormat/>
    <w:rsid w:val="00DA0AD8"/>
  </w:style>
  <w:style w:type="character" w:customStyle="1" w:styleId="CharPartNo">
    <w:name w:val="CharPartNo"/>
    <w:basedOn w:val="OPCCharBase"/>
    <w:qFormat/>
    <w:rsid w:val="00DA0AD8"/>
  </w:style>
  <w:style w:type="character" w:customStyle="1" w:styleId="CharPartText">
    <w:name w:val="CharPartText"/>
    <w:basedOn w:val="OPCCharBase"/>
    <w:qFormat/>
    <w:rsid w:val="00DA0AD8"/>
  </w:style>
  <w:style w:type="character" w:customStyle="1" w:styleId="OPCCharBase">
    <w:name w:val="OPCCharBase"/>
    <w:uiPriority w:val="1"/>
    <w:qFormat/>
    <w:rsid w:val="00DA0AD8"/>
  </w:style>
  <w:style w:type="paragraph" w:customStyle="1" w:styleId="OPCParaBase">
    <w:name w:val="OPCParaBase"/>
    <w:qFormat/>
    <w:rsid w:val="00DA0AD8"/>
    <w:pPr>
      <w:spacing w:line="260" w:lineRule="atLeast"/>
    </w:pPr>
    <w:rPr>
      <w:sz w:val="22"/>
    </w:rPr>
  </w:style>
  <w:style w:type="character" w:customStyle="1" w:styleId="CharSectno">
    <w:name w:val="CharSectno"/>
    <w:basedOn w:val="OPCCharBase"/>
    <w:qFormat/>
    <w:rsid w:val="00DA0AD8"/>
  </w:style>
  <w:style w:type="paragraph" w:customStyle="1" w:styleId="AN">
    <w:name w:val="AN"/>
    <w:aliases w:val="Note Amendment"/>
    <w:basedOn w:val="Normal"/>
    <w:next w:val="Normal"/>
    <w:rsid w:val="00F85736"/>
    <w:pPr>
      <w:spacing w:before="120" w:line="220" w:lineRule="exact"/>
      <w:ind w:left="964"/>
      <w:jc w:val="both"/>
    </w:pPr>
    <w:rPr>
      <w:sz w:val="20"/>
    </w:rPr>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DA0AD8"/>
    <w:pPr>
      <w:spacing w:line="240" w:lineRule="auto"/>
      <w:ind w:left="1134"/>
    </w:pPr>
    <w:rPr>
      <w:sz w:val="20"/>
    </w:rPr>
  </w:style>
  <w:style w:type="paragraph" w:customStyle="1" w:styleId="ShortT">
    <w:name w:val="ShortT"/>
    <w:basedOn w:val="OPCParaBase"/>
    <w:next w:val="Normal"/>
    <w:qFormat/>
    <w:rsid w:val="00DA0AD8"/>
    <w:pPr>
      <w:spacing w:line="240" w:lineRule="auto"/>
    </w:pPr>
    <w:rPr>
      <w:b/>
      <w:sz w:val="40"/>
    </w:rPr>
  </w:style>
  <w:style w:type="paragraph" w:customStyle="1" w:styleId="Penalty">
    <w:name w:val="Penalty"/>
    <w:basedOn w:val="OPCParaBase"/>
    <w:rsid w:val="00DA0AD8"/>
    <w:pPr>
      <w:tabs>
        <w:tab w:val="left" w:pos="2977"/>
      </w:tabs>
      <w:spacing w:before="180" w:line="240" w:lineRule="auto"/>
      <w:ind w:left="1985" w:hanging="851"/>
    </w:pPr>
  </w:style>
  <w:style w:type="paragraph" w:styleId="TOC1">
    <w:name w:val="toc 1"/>
    <w:basedOn w:val="OPCParaBase"/>
    <w:next w:val="Normal"/>
    <w:uiPriority w:val="39"/>
    <w:unhideWhenUsed/>
    <w:rsid w:val="00DA0AD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A0AD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A0AD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A0AD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A0AD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A0AD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A0AD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A0AD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A0AD8"/>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DA0AD8"/>
    <w:pPr>
      <w:spacing w:line="240" w:lineRule="auto"/>
    </w:pPr>
    <w:rPr>
      <w:sz w:val="20"/>
    </w:rPr>
  </w:style>
  <w:style w:type="paragraph" w:customStyle="1" w:styleId="ActHead1">
    <w:name w:val="ActHead 1"/>
    <w:aliases w:val="c"/>
    <w:basedOn w:val="OPCParaBase"/>
    <w:next w:val="Normal"/>
    <w:qFormat/>
    <w:rsid w:val="00DA0AD8"/>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DA0AD8"/>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ActHead2">
    <w:name w:val="ActHead 2"/>
    <w:aliases w:val="p"/>
    <w:basedOn w:val="OPCParaBase"/>
    <w:next w:val="ActHead3"/>
    <w:qFormat/>
    <w:rsid w:val="00DA0AD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A0AD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A0AD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A0AD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A0AD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A0AD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A0AD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A0AD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A0AD8"/>
  </w:style>
  <w:style w:type="paragraph" w:customStyle="1" w:styleId="Blocks">
    <w:name w:val="Blocks"/>
    <w:aliases w:val="bb"/>
    <w:basedOn w:val="OPCParaBase"/>
    <w:qFormat/>
    <w:rsid w:val="00DA0AD8"/>
    <w:pPr>
      <w:spacing w:line="240" w:lineRule="auto"/>
    </w:pPr>
    <w:rPr>
      <w:sz w:val="24"/>
    </w:rPr>
  </w:style>
  <w:style w:type="paragraph" w:customStyle="1" w:styleId="BoxText">
    <w:name w:val="BoxText"/>
    <w:aliases w:val="bt"/>
    <w:basedOn w:val="OPCParaBase"/>
    <w:qFormat/>
    <w:rsid w:val="00DA0AD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A0AD8"/>
    <w:rPr>
      <w:b/>
    </w:rPr>
  </w:style>
  <w:style w:type="paragraph" w:customStyle="1" w:styleId="BoxHeadItalic">
    <w:name w:val="BoxHeadItalic"/>
    <w:aliases w:val="bhi"/>
    <w:basedOn w:val="BoxText"/>
    <w:next w:val="BoxStep"/>
    <w:qFormat/>
    <w:rsid w:val="00DA0AD8"/>
    <w:rPr>
      <w:i/>
    </w:rPr>
  </w:style>
  <w:style w:type="paragraph" w:customStyle="1" w:styleId="BoxList">
    <w:name w:val="BoxList"/>
    <w:aliases w:val="bl"/>
    <w:basedOn w:val="BoxText"/>
    <w:qFormat/>
    <w:rsid w:val="00DA0AD8"/>
    <w:pPr>
      <w:ind w:left="1559" w:hanging="425"/>
    </w:pPr>
  </w:style>
  <w:style w:type="paragraph" w:customStyle="1" w:styleId="BoxNote">
    <w:name w:val="BoxNote"/>
    <w:aliases w:val="bn"/>
    <w:basedOn w:val="BoxText"/>
    <w:qFormat/>
    <w:rsid w:val="00DA0AD8"/>
    <w:pPr>
      <w:tabs>
        <w:tab w:val="left" w:pos="1985"/>
      </w:tabs>
      <w:spacing w:before="122" w:line="198" w:lineRule="exact"/>
      <w:ind w:left="2948" w:hanging="1814"/>
    </w:pPr>
    <w:rPr>
      <w:sz w:val="18"/>
    </w:rPr>
  </w:style>
  <w:style w:type="paragraph" w:customStyle="1" w:styleId="BoxPara">
    <w:name w:val="BoxPara"/>
    <w:aliases w:val="bp"/>
    <w:basedOn w:val="BoxText"/>
    <w:qFormat/>
    <w:rsid w:val="00DA0AD8"/>
    <w:pPr>
      <w:tabs>
        <w:tab w:val="right" w:pos="2268"/>
      </w:tabs>
      <w:ind w:left="2552" w:hanging="1418"/>
    </w:pPr>
  </w:style>
  <w:style w:type="paragraph" w:customStyle="1" w:styleId="BoxStep">
    <w:name w:val="BoxStep"/>
    <w:aliases w:val="bs"/>
    <w:basedOn w:val="BoxText"/>
    <w:qFormat/>
    <w:rsid w:val="00DA0AD8"/>
    <w:pPr>
      <w:ind w:left="1985" w:hanging="851"/>
    </w:pPr>
  </w:style>
  <w:style w:type="character" w:customStyle="1" w:styleId="CharAmPartNo">
    <w:name w:val="CharAmPartNo"/>
    <w:basedOn w:val="OPCCharBase"/>
    <w:uiPriority w:val="1"/>
    <w:qFormat/>
    <w:rsid w:val="00DA0AD8"/>
  </w:style>
  <w:style w:type="character" w:customStyle="1" w:styleId="CharAmPartText">
    <w:name w:val="CharAmPartText"/>
    <w:basedOn w:val="OPCCharBase"/>
    <w:uiPriority w:val="1"/>
    <w:qFormat/>
    <w:rsid w:val="00DA0AD8"/>
  </w:style>
  <w:style w:type="character" w:customStyle="1" w:styleId="CharBoldItalic">
    <w:name w:val="CharBoldItalic"/>
    <w:basedOn w:val="OPCCharBase"/>
    <w:uiPriority w:val="1"/>
    <w:qFormat/>
    <w:rsid w:val="00DA0AD8"/>
    <w:rPr>
      <w:b/>
      <w:i/>
    </w:rPr>
  </w:style>
  <w:style w:type="character" w:customStyle="1" w:styleId="CharItalic">
    <w:name w:val="CharItalic"/>
    <w:basedOn w:val="OPCCharBase"/>
    <w:uiPriority w:val="1"/>
    <w:qFormat/>
    <w:rsid w:val="00DA0AD8"/>
    <w:rPr>
      <w:i/>
    </w:rPr>
  </w:style>
  <w:style w:type="character" w:customStyle="1" w:styleId="CharSubdNo">
    <w:name w:val="CharSubdNo"/>
    <w:basedOn w:val="OPCCharBase"/>
    <w:uiPriority w:val="1"/>
    <w:qFormat/>
    <w:rsid w:val="00DA0AD8"/>
  </w:style>
  <w:style w:type="character" w:customStyle="1" w:styleId="CharSubdText">
    <w:name w:val="CharSubdText"/>
    <w:basedOn w:val="OPCCharBase"/>
    <w:uiPriority w:val="1"/>
    <w:qFormat/>
    <w:rsid w:val="00DA0AD8"/>
  </w:style>
  <w:style w:type="paragraph" w:customStyle="1" w:styleId="CTA--">
    <w:name w:val="CTA --"/>
    <w:basedOn w:val="OPCParaBase"/>
    <w:next w:val="Normal"/>
    <w:rsid w:val="00DA0AD8"/>
    <w:pPr>
      <w:spacing w:before="60" w:line="240" w:lineRule="atLeast"/>
      <w:ind w:left="142" w:hanging="142"/>
    </w:pPr>
    <w:rPr>
      <w:sz w:val="20"/>
    </w:rPr>
  </w:style>
  <w:style w:type="paragraph" w:customStyle="1" w:styleId="CTA-">
    <w:name w:val="CTA -"/>
    <w:basedOn w:val="OPCParaBase"/>
    <w:rsid w:val="00DA0AD8"/>
    <w:pPr>
      <w:spacing w:before="60" w:line="240" w:lineRule="atLeast"/>
      <w:ind w:left="85" w:hanging="85"/>
    </w:pPr>
    <w:rPr>
      <w:sz w:val="20"/>
    </w:rPr>
  </w:style>
  <w:style w:type="paragraph" w:customStyle="1" w:styleId="CTA---">
    <w:name w:val="CTA ---"/>
    <w:basedOn w:val="OPCParaBase"/>
    <w:next w:val="Normal"/>
    <w:rsid w:val="00DA0AD8"/>
    <w:pPr>
      <w:spacing w:before="60" w:line="240" w:lineRule="atLeast"/>
      <w:ind w:left="198" w:hanging="198"/>
    </w:pPr>
    <w:rPr>
      <w:sz w:val="20"/>
    </w:rPr>
  </w:style>
  <w:style w:type="paragraph" w:customStyle="1" w:styleId="CTA----">
    <w:name w:val="CTA ----"/>
    <w:basedOn w:val="OPCParaBase"/>
    <w:next w:val="Normal"/>
    <w:rsid w:val="00DA0AD8"/>
    <w:pPr>
      <w:spacing w:before="60" w:line="240" w:lineRule="atLeast"/>
      <w:ind w:left="255" w:hanging="255"/>
    </w:pPr>
    <w:rPr>
      <w:sz w:val="20"/>
    </w:rPr>
  </w:style>
  <w:style w:type="paragraph" w:customStyle="1" w:styleId="CTA1a">
    <w:name w:val="CTA 1(a)"/>
    <w:basedOn w:val="OPCParaBase"/>
    <w:rsid w:val="00DA0AD8"/>
    <w:pPr>
      <w:tabs>
        <w:tab w:val="right" w:pos="414"/>
      </w:tabs>
      <w:spacing w:before="40" w:line="240" w:lineRule="atLeast"/>
      <w:ind w:left="675" w:hanging="675"/>
    </w:pPr>
    <w:rPr>
      <w:sz w:val="20"/>
    </w:rPr>
  </w:style>
  <w:style w:type="paragraph" w:customStyle="1" w:styleId="CTA1ai">
    <w:name w:val="CTA 1(a)(i)"/>
    <w:basedOn w:val="OPCParaBase"/>
    <w:rsid w:val="00DA0AD8"/>
    <w:pPr>
      <w:tabs>
        <w:tab w:val="right" w:pos="1004"/>
      </w:tabs>
      <w:spacing w:before="40" w:line="240" w:lineRule="atLeast"/>
      <w:ind w:left="1253" w:hanging="1253"/>
    </w:pPr>
    <w:rPr>
      <w:sz w:val="20"/>
    </w:rPr>
  </w:style>
  <w:style w:type="paragraph" w:customStyle="1" w:styleId="CTA2a">
    <w:name w:val="CTA 2(a)"/>
    <w:basedOn w:val="OPCParaBase"/>
    <w:rsid w:val="00DA0AD8"/>
    <w:pPr>
      <w:tabs>
        <w:tab w:val="right" w:pos="482"/>
      </w:tabs>
      <w:spacing w:before="40" w:line="240" w:lineRule="atLeast"/>
      <w:ind w:left="748" w:hanging="748"/>
    </w:pPr>
    <w:rPr>
      <w:sz w:val="20"/>
    </w:rPr>
  </w:style>
  <w:style w:type="paragraph" w:customStyle="1" w:styleId="CTA2ai">
    <w:name w:val="CTA 2(a)(i)"/>
    <w:basedOn w:val="OPCParaBase"/>
    <w:rsid w:val="00DA0AD8"/>
    <w:pPr>
      <w:tabs>
        <w:tab w:val="right" w:pos="1089"/>
      </w:tabs>
      <w:spacing w:before="40" w:line="240" w:lineRule="atLeast"/>
      <w:ind w:left="1327" w:hanging="1327"/>
    </w:pPr>
    <w:rPr>
      <w:sz w:val="20"/>
    </w:rPr>
  </w:style>
  <w:style w:type="paragraph" w:customStyle="1" w:styleId="CTA3a">
    <w:name w:val="CTA 3(a)"/>
    <w:basedOn w:val="OPCParaBase"/>
    <w:rsid w:val="00DA0AD8"/>
    <w:pPr>
      <w:tabs>
        <w:tab w:val="right" w:pos="556"/>
      </w:tabs>
      <w:spacing w:before="40" w:line="240" w:lineRule="atLeast"/>
      <w:ind w:left="805" w:hanging="805"/>
    </w:pPr>
    <w:rPr>
      <w:sz w:val="20"/>
    </w:rPr>
  </w:style>
  <w:style w:type="paragraph" w:customStyle="1" w:styleId="CTA3ai">
    <w:name w:val="CTA 3(a)(i)"/>
    <w:basedOn w:val="OPCParaBase"/>
    <w:rsid w:val="00DA0AD8"/>
    <w:pPr>
      <w:tabs>
        <w:tab w:val="right" w:pos="1140"/>
      </w:tabs>
      <w:spacing w:before="40" w:line="240" w:lineRule="atLeast"/>
      <w:ind w:left="1361" w:hanging="1361"/>
    </w:pPr>
    <w:rPr>
      <w:sz w:val="20"/>
    </w:rPr>
  </w:style>
  <w:style w:type="paragraph" w:customStyle="1" w:styleId="CTA4a">
    <w:name w:val="CTA 4(a)"/>
    <w:basedOn w:val="OPCParaBase"/>
    <w:rsid w:val="00DA0AD8"/>
    <w:pPr>
      <w:tabs>
        <w:tab w:val="right" w:pos="624"/>
      </w:tabs>
      <w:spacing w:before="40" w:line="240" w:lineRule="atLeast"/>
      <w:ind w:left="873" w:hanging="873"/>
    </w:pPr>
    <w:rPr>
      <w:sz w:val="20"/>
    </w:rPr>
  </w:style>
  <w:style w:type="paragraph" w:customStyle="1" w:styleId="CTA4ai">
    <w:name w:val="CTA 4(a)(i)"/>
    <w:basedOn w:val="OPCParaBase"/>
    <w:rsid w:val="00DA0AD8"/>
    <w:pPr>
      <w:tabs>
        <w:tab w:val="right" w:pos="1213"/>
      </w:tabs>
      <w:spacing w:before="40" w:line="240" w:lineRule="atLeast"/>
      <w:ind w:left="1452" w:hanging="1452"/>
    </w:pPr>
    <w:rPr>
      <w:sz w:val="20"/>
    </w:rPr>
  </w:style>
  <w:style w:type="paragraph" w:customStyle="1" w:styleId="CTACAPS">
    <w:name w:val="CTA CAPS"/>
    <w:basedOn w:val="OPCParaBase"/>
    <w:rsid w:val="00DA0AD8"/>
    <w:pPr>
      <w:spacing w:before="60" w:line="240" w:lineRule="atLeast"/>
    </w:pPr>
    <w:rPr>
      <w:sz w:val="20"/>
    </w:rPr>
  </w:style>
  <w:style w:type="paragraph" w:customStyle="1" w:styleId="CTAright">
    <w:name w:val="CTA right"/>
    <w:basedOn w:val="OPCParaBase"/>
    <w:rsid w:val="00DA0AD8"/>
    <w:pPr>
      <w:spacing w:before="60" w:line="240" w:lineRule="auto"/>
      <w:jc w:val="right"/>
    </w:pPr>
    <w:rPr>
      <w:sz w:val="20"/>
    </w:rPr>
  </w:style>
  <w:style w:type="paragraph" w:customStyle="1" w:styleId="subsection">
    <w:name w:val="subsection"/>
    <w:aliases w:val="ss"/>
    <w:basedOn w:val="OPCParaBase"/>
    <w:rsid w:val="00DA0AD8"/>
    <w:pPr>
      <w:tabs>
        <w:tab w:val="right" w:pos="1021"/>
      </w:tabs>
      <w:spacing w:before="180" w:line="240" w:lineRule="auto"/>
      <w:ind w:left="1134" w:hanging="1134"/>
    </w:pPr>
  </w:style>
  <w:style w:type="paragraph" w:customStyle="1" w:styleId="Definition">
    <w:name w:val="Definition"/>
    <w:aliases w:val="dd"/>
    <w:basedOn w:val="OPCParaBase"/>
    <w:rsid w:val="00DA0AD8"/>
    <w:pPr>
      <w:spacing w:before="180" w:line="240" w:lineRule="auto"/>
      <w:ind w:left="1134"/>
    </w:pPr>
  </w:style>
  <w:style w:type="paragraph" w:customStyle="1" w:styleId="EndNotespara">
    <w:name w:val="EndNotes(para)"/>
    <w:aliases w:val="eta"/>
    <w:basedOn w:val="OPCParaBase"/>
    <w:next w:val="EndNotessubpara"/>
    <w:rsid w:val="00DA0AD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A0AD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A0AD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A0AD8"/>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DA0AD8"/>
    <w:rPr>
      <w:sz w:val="16"/>
    </w:rPr>
  </w:style>
  <w:style w:type="paragraph" w:customStyle="1" w:styleId="House">
    <w:name w:val="House"/>
    <w:basedOn w:val="OPCParaBase"/>
    <w:rsid w:val="00DA0AD8"/>
    <w:pPr>
      <w:spacing w:line="240" w:lineRule="auto"/>
    </w:pPr>
    <w:rPr>
      <w:sz w:val="28"/>
    </w:rPr>
  </w:style>
  <w:style w:type="paragraph" w:customStyle="1" w:styleId="Item">
    <w:name w:val="Item"/>
    <w:aliases w:val="i"/>
    <w:basedOn w:val="OPCParaBase"/>
    <w:next w:val="ItemHead"/>
    <w:rsid w:val="00DA0AD8"/>
    <w:pPr>
      <w:keepLines/>
      <w:spacing w:before="80" w:line="240" w:lineRule="auto"/>
      <w:ind w:left="709"/>
    </w:pPr>
  </w:style>
  <w:style w:type="paragraph" w:customStyle="1" w:styleId="ItemHead">
    <w:name w:val="ItemHead"/>
    <w:aliases w:val="ih"/>
    <w:basedOn w:val="OPCParaBase"/>
    <w:next w:val="Item"/>
    <w:rsid w:val="00DA0AD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A0AD8"/>
    <w:pPr>
      <w:spacing w:line="240" w:lineRule="auto"/>
    </w:pPr>
    <w:rPr>
      <w:b/>
      <w:sz w:val="32"/>
    </w:rPr>
  </w:style>
  <w:style w:type="paragraph" w:customStyle="1" w:styleId="notedraft">
    <w:name w:val="note(draft)"/>
    <w:aliases w:val="nd"/>
    <w:basedOn w:val="OPCParaBase"/>
    <w:rsid w:val="00DA0AD8"/>
    <w:pPr>
      <w:spacing w:before="240" w:line="240" w:lineRule="auto"/>
      <w:ind w:left="284" w:hanging="284"/>
    </w:pPr>
    <w:rPr>
      <w:i/>
      <w:sz w:val="24"/>
    </w:rPr>
  </w:style>
  <w:style w:type="paragraph" w:customStyle="1" w:styleId="notemargin">
    <w:name w:val="note(margin)"/>
    <w:aliases w:val="nm"/>
    <w:basedOn w:val="OPCParaBase"/>
    <w:rsid w:val="00DA0AD8"/>
    <w:pPr>
      <w:tabs>
        <w:tab w:val="left" w:pos="709"/>
      </w:tabs>
      <w:spacing w:before="122" w:line="198" w:lineRule="exact"/>
      <w:ind w:left="709" w:hanging="709"/>
    </w:pPr>
    <w:rPr>
      <w:sz w:val="18"/>
    </w:rPr>
  </w:style>
  <w:style w:type="paragraph" w:customStyle="1" w:styleId="noteToPara">
    <w:name w:val="noteToPara"/>
    <w:aliases w:val="ntp"/>
    <w:basedOn w:val="OPCParaBase"/>
    <w:rsid w:val="00DA0AD8"/>
    <w:pPr>
      <w:spacing w:before="122" w:line="198" w:lineRule="exact"/>
      <w:ind w:left="2353" w:hanging="709"/>
    </w:pPr>
    <w:rPr>
      <w:sz w:val="18"/>
    </w:rPr>
  </w:style>
  <w:style w:type="paragraph" w:customStyle="1" w:styleId="noteParlAmend">
    <w:name w:val="note(ParlAmend)"/>
    <w:aliases w:val="npp"/>
    <w:basedOn w:val="OPCParaBase"/>
    <w:next w:val="ParlAmend"/>
    <w:rsid w:val="00DA0AD8"/>
    <w:pPr>
      <w:spacing w:line="240" w:lineRule="auto"/>
      <w:jc w:val="right"/>
    </w:pPr>
    <w:rPr>
      <w:rFonts w:ascii="Arial" w:hAnsi="Arial"/>
      <w:b/>
      <w:i/>
    </w:rPr>
  </w:style>
  <w:style w:type="paragraph" w:customStyle="1" w:styleId="Page1">
    <w:name w:val="Page1"/>
    <w:basedOn w:val="OPCParaBase"/>
    <w:rsid w:val="00DA0AD8"/>
    <w:pPr>
      <w:spacing w:before="5600" w:line="240" w:lineRule="auto"/>
    </w:pPr>
    <w:rPr>
      <w:b/>
      <w:sz w:val="32"/>
    </w:rPr>
  </w:style>
  <w:style w:type="paragraph" w:customStyle="1" w:styleId="paragraphsub">
    <w:name w:val="paragraph(sub)"/>
    <w:aliases w:val="aa"/>
    <w:basedOn w:val="OPCParaBase"/>
    <w:rsid w:val="00DA0AD8"/>
    <w:pPr>
      <w:tabs>
        <w:tab w:val="right" w:pos="1985"/>
      </w:tabs>
      <w:spacing w:before="40" w:line="240" w:lineRule="auto"/>
      <w:ind w:left="2098" w:hanging="2098"/>
    </w:pPr>
  </w:style>
  <w:style w:type="paragraph" w:customStyle="1" w:styleId="paragraphsub-sub">
    <w:name w:val="paragraph(sub-sub)"/>
    <w:aliases w:val="aaa"/>
    <w:basedOn w:val="OPCParaBase"/>
    <w:rsid w:val="00DA0AD8"/>
    <w:pPr>
      <w:tabs>
        <w:tab w:val="right" w:pos="2722"/>
      </w:tabs>
      <w:spacing w:before="40" w:line="240" w:lineRule="auto"/>
      <w:ind w:left="2835" w:hanging="2835"/>
    </w:pPr>
  </w:style>
  <w:style w:type="paragraph" w:customStyle="1" w:styleId="paragraph">
    <w:name w:val="paragraph"/>
    <w:aliases w:val="a"/>
    <w:basedOn w:val="OPCParaBase"/>
    <w:rsid w:val="00DA0AD8"/>
    <w:pPr>
      <w:tabs>
        <w:tab w:val="right" w:pos="1531"/>
      </w:tabs>
      <w:spacing w:before="40" w:line="240" w:lineRule="auto"/>
      <w:ind w:left="1644" w:hanging="1644"/>
    </w:pPr>
  </w:style>
  <w:style w:type="paragraph" w:customStyle="1" w:styleId="ParlAmend">
    <w:name w:val="ParlAmend"/>
    <w:aliases w:val="pp"/>
    <w:basedOn w:val="OPCParaBase"/>
    <w:rsid w:val="00DA0AD8"/>
    <w:pPr>
      <w:spacing w:before="240" w:line="240" w:lineRule="atLeast"/>
      <w:ind w:hanging="567"/>
    </w:pPr>
    <w:rPr>
      <w:sz w:val="24"/>
    </w:rPr>
  </w:style>
  <w:style w:type="paragraph" w:customStyle="1" w:styleId="Portfolio">
    <w:name w:val="Portfolio"/>
    <w:basedOn w:val="OPCParaBase"/>
    <w:rsid w:val="00DA0AD8"/>
    <w:pPr>
      <w:spacing w:line="240" w:lineRule="auto"/>
    </w:pPr>
    <w:rPr>
      <w:i/>
      <w:sz w:val="20"/>
    </w:rPr>
  </w:style>
  <w:style w:type="paragraph" w:customStyle="1" w:styleId="Preamble">
    <w:name w:val="Preamble"/>
    <w:basedOn w:val="OPCParaBase"/>
    <w:next w:val="Normal"/>
    <w:rsid w:val="00DA0AD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A0AD8"/>
    <w:pPr>
      <w:spacing w:line="240" w:lineRule="auto"/>
    </w:pPr>
    <w:rPr>
      <w:i/>
      <w:sz w:val="20"/>
    </w:rPr>
  </w:style>
  <w:style w:type="paragraph" w:customStyle="1" w:styleId="Session">
    <w:name w:val="Session"/>
    <w:basedOn w:val="OPCParaBase"/>
    <w:rsid w:val="00DA0AD8"/>
    <w:pPr>
      <w:spacing w:line="240" w:lineRule="auto"/>
    </w:pPr>
    <w:rPr>
      <w:sz w:val="28"/>
    </w:rPr>
  </w:style>
  <w:style w:type="paragraph" w:customStyle="1" w:styleId="Sponsor">
    <w:name w:val="Sponsor"/>
    <w:basedOn w:val="OPCParaBase"/>
    <w:rsid w:val="00DA0AD8"/>
    <w:pPr>
      <w:spacing w:line="240" w:lineRule="auto"/>
    </w:pPr>
    <w:rPr>
      <w:i/>
    </w:rPr>
  </w:style>
  <w:style w:type="paragraph" w:customStyle="1" w:styleId="Subitem">
    <w:name w:val="Subitem"/>
    <w:aliases w:val="iss"/>
    <w:basedOn w:val="OPCParaBase"/>
    <w:rsid w:val="00DA0AD8"/>
    <w:pPr>
      <w:spacing w:before="180" w:line="240" w:lineRule="auto"/>
      <w:ind w:left="709" w:hanging="709"/>
    </w:pPr>
  </w:style>
  <w:style w:type="paragraph" w:customStyle="1" w:styleId="SubitemHead">
    <w:name w:val="SubitemHead"/>
    <w:aliases w:val="issh"/>
    <w:basedOn w:val="OPCParaBase"/>
    <w:rsid w:val="00DA0AD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A0AD8"/>
    <w:pPr>
      <w:spacing w:before="40" w:line="240" w:lineRule="auto"/>
      <w:ind w:left="1134"/>
    </w:pPr>
  </w:style>
  <w:style w:type="paragraph" w:customStyle="1" w:styleId="SubsectionHead">
    <w:name w:val="SubsectionHead"/>
    <w:aliases w:val="ssh"/>
    <w:basedOn w:val="OPCParaBase"/>
    <w:next w:val="subsection"/>
    <w:rsid w:val="00DA0AD8"/>
    <w:pPr>
      <w:keepNext/>
      <w:keepLines/>
      <w:spacing w:before="240" w:line="240" w:lineRule="auto"/>
      <w:ind w:left="1134"/>
    </w:pPr>
    <w:rPr>
      <w:i/>
    </w:rPr>
  </w:style>
  <w:style w:type="paragraph" w:customStyle="1" w:styleId="Tablea">
    <w:name w:val="Table(a)"/>
    <w:aliases w:val="ta"/>
    <w:basedOn w:val="OPCParaBase"/>
    <w:rsid w:val="00DA0AD8"/>
    <w:pPr>
      <w:spacing w:before="60" w:line="240" w:lineRule="auto"/>
      <w:ind w:left="284" w:hanging="284"/>
    </w:pPr>
    <w:rPr>
      <w:sz w:val="20"/>
    </w:rPr>
  </w:style>
  <w:style w:type="paragraph" w:customStyle="1" w:styleId="TableAA">
    <w:name w:val="Table(AA)"/>
    <w:aliases w:val="taaa"/>
    <w:basedOn w:val="OPCParaBase"/>
    <w:rsid w:val="00DA0AD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A0AD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A0AD8"/>
    <w:pPr>
      <w:spacing w:before="60" w:line="240" w:lineRule="atLeast"/>
    </w:pPr>
    <w:rPr>
      <w:sz w:val="20"/>
    </w:rPr>
  </w:style>
  <w:style w:type="paragraph" w:customStyle="1" w:styleId="TLPBoxTextnote">
    <w:name w:val="TLPBoxText(note"/>
    <w:aliases w:val="right)"/>
    <w:basedOn w:val="OPCParaBase"/>
    <w:rsid w:val="00DA0AD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A0AD8"/>
    <w:pPr>
      <w:numPr>
        <w:numId w:val="22"/>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A0AD8"/>
    <w:pPr>
      <w:spacing w:before="122" w:line="198" w:lineRule="exact"/>
      <w:ind w:left="1985" w:hanging="851"/>
      <w:jc w:val="right"/>
    </w:pPr>
    <w:rPr>
      <w:sz w:val="18"/>
    </w:rPr>
  </w:style>
  <w:style w:type="paragraph" w:customStyle="1" w:styleId="TLPTableBullet">
    <w:name w:val="TLPTableBullet"/>
    <w:aliases w:val="ttb"/>
    <w:basedOn w:val="OPCParaBase"/>
    <w:rsid w:val="00DA0AD8"/>
    <w:pPr>
      <w:spacing w:line="240" w:lineRule="exact"/>
      <w:ind w:left="284" w:hanging="284"/>
    </w:pPr>
    <w:rPr>
      <w:sz w:val="20"/>
    </w:rPr>
  </w:style>
  <w:style w:type="paragraph" w:customStyle="1" w:styleId="TofSectsGroupHeading">
    <w:name w:val="TofSects(GroupHeading)"/>
    <w:basedOn w:val="OPCParaBase"/>
    <w:next w:val="TofSectsSection"/>
    <w:rsid w:val="00DA0AD8"/>
    <w:pPr>
      <w:keepLines/>
      <w:spacing w:before="240" w:after="120" w:line="240" w:lineRule="auto"/>
      <w:ind w:left="794"/>
    </w:pPr>
    <w:rPr>
      <w:b/>
      <w:kern w:val="28"/>
      <w:sz w:val="20"/>
    </w:rPr>
  </w:style>
  <w:style w:type="paragraph" w:customStyle="1" w:styleId="TofSectsHeading">
    <w:name w:val="TofSects(Heading)"/>
    <w:basedOn w:val="OPCParaBase"/>
    <w:rsid w:val="00DA0AD8"/>
    <w:pPr>
      <w:spacing w:before="240" w:after="120" w:line="240" w:lineRule="auto"/>
    </w:pPr>
    <w:rPr>
      <w:b/>
      <w:sz w:val="24"/>
    </w:rPr>
  </w:style>
  <w:style w:type="paragraph" w:customStyle="1" w:styleId="TofSectsSection">
    <w:name w:val="TofSects(Section)"/>
    <w:basedOn w:val="OPCParaBase"/>
    <w:rsid w:val="00DA0AD8"/>
    <w:pPr>
      <w:keepLines/>
      <w:spacing w:before="40" w:line="240" w:lineRule="auto"/>
      <w:ind w:left="1588" w:hanging="794"/>
    </w:pPr>
    <w:rPr>
      <w:kern w:val="28"/>
      <w:sz w:val="18"/>
    </w:rPr>
  </w:style>
  <w:style w:type="paragraph" w:customStyle="1" w:styleId="TofSectsSubdiv">
    <w:name w:val="TofSects(Subdiv)"/>
    <w:basedOn w:val="OPCParaBase"/>
    <w:rsid w:val="00DA0AD8"/>
    <w:pPr>
      <w:keepLines/>
      <w:spacing w:before="80" w:line="240" w:lineRule="auto"/>
      <w:ind w:left="1588" w:hanging="794"/>
    </w:pPr>
    <w:rPr>
      <w:kern w:val="28"/>
    </w:rPr>
  </w:style>
  <w:style w:type="paragraph" w:customStyle="1" w:styleId="WRStyle">
    <w:name w:val="WR Style"/>
    <w:aliases w:val="WR"/>
    <w:basedOn w:val="OPCParaBase"/>
    <w:rsid w:val="00DA0AD8"/>
    <w:pPr>
      <w:spacing w:before="240" w:line="240" w:lineRule="auto"/>
      <w:ind w:left="284" w:hanging="284"/>
    </w:pPr>
    <w:rPr>
      <w:b/>
      <w:i/>
      <w:kern w:val="28"/>
      <w:sz w:val="24"/>
    </w:rPr>
  </w:style>
  <w:style w:type="paragraph" w:customStyle="1" w:styleId="notepara">
    <w:name w:val="note(para)"/>
    <w:aliases w:val="na"/>
    <w:basedOn w:val="OPCParaBase"/>
    <w:rsid w:val="00DA0AD8"/>
    <w:pPr>
      <w:spacing w:before="40" w:line="198" w:lineRule="exact"/>
      <w:ind w:left="2354" w:hanging="369"/>
    </w:pPr>
    <w:rPr>
      <w:sz w:val="18"/>
    </w:rPr>
  </w:style>
  <w:style w:type="character" w:customStyle="1" w:styleId="FooterChar">
    <w:name w:val="Footer Char"/>
    <w:basedOn w:val="DefaultParagraphFont"/>
    <w:link w:val="Footer"/>
    <w:rsid w:val="00DA0AD8"/>
    <w:rPr>
      <w:sz w:val="22"/>
      <w:szCs w:val="24"/>
    </w:rPr>
  </w:style>
  <w:style w:type="table" w:customStyle="1" w:styleId="CFlag">
    <w:name w:val="CFlag"/>
    <w:basedOn w:val="TableNormal"/>
    <w:uiPriority w:val="99"/>
    <w:rsid w:val="00DA0AD8"/>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DA0AD8"/>
    <w:rPr>
      <w:rFonts w:ascii="Tahoma" w:eastAsiaTheme="minorHAnsi" w:hAnsi="Tahoma" w:cs="Tahoma"/>
      <w:sz w:val="16"/>
      <w:szCs w:val="16"/>
      <w:lang w:eastAsia="en-US"/>
    </w:rPr>
  </w:style>
  <w:style w:type="paragraph" w:customStyle="1" w:styleId="InstNo">
    <w:name w:val="InstNo"/>
    <w:basedOn w:val="OPCParaBase"/>
    <w:next w:val="Normal"/>
    <w:rsid w:val="00DA0AD8"/>
    <w:rPr>
      <w:b/>
      <w:sz w:val="28"/>
      <w:szCs w:val="32"/>
    </w:rPr>
  </w:style>
  <w:style w:type="paragraph" w:customStyle="1" w:styleId="TerritoryT">
    <w:name w:val="TerritoryT"/>
    <w:basedOn w:val="OPCParaBase"/>
    <w:next w:val="Normal"/>
    <w:rsid w:val="00DA0AD8"/>
    <w:rPr>
      <w:b/>
      <w:sz w:val="32"/>
    </w:rPr>
  </w:style>
  <w:style w:type="paragraph" w:customStyle="1" w:styleId="LegislationMadeUnder">
    <w:name w:val="LegislationMadeUnder"/>
    <w:basedOn w:val="OPCParaBase"/>
    <w:next w:val="Normal"/>
    <w:rsid w:val="00DA0AD8"/>
    <w:rPr>
      <w:i/>
      <w:sz w:val="32"/>
      <w:szCs w:val="32"/>
    </w:rPr>
  </w:style>
  <w:style w:type="paragraph" w:customStyle="1" w:styleId="ActHead10">
    <w:name w:val="ActHead 10"/>
    <w:aliases w:val="sp"/>
    <w:basedOn w:val="OPCParaBase"/>
    <w:next w:val="ActHead3"/>
    <w:rsid w:val="00DA0AD8"/>
    <w:pPr>
      <w:keepNext/>
      <w:spacing w:before="280" w:line="240" w:lineRule="auto"/>
      <w:outlineLvl w:val="1"/>
    </w:pPr>
    <w:rPr>
      <w:b/>
      <w:sz w:val="32"/>
      <w:szCs w:val="30"/>
    </w:rPr>
  </w:style>
  <w:style w:type="paragraph" w:customStyle="1" w:styleId="SignCoverPageEnd">
    <w:name w:val="SignCoverPageEnd"/>
    <w:basedOn w:val="OPCParaBase"/>
    <w:next w:val="Normal"/>
    <w:rsid w:val="00DA0AD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A0AD8"/>
    <w:pPr>
      <w:pBdr>
        <w:top w:val="single" w:sz="4" w:space="1" w:color="auto"/>
      </w:pBdr>
      <w:spacing w:before="360"/>
      <w:ind w:right="397"/>
      <w:jc w:val="both"/>
    </w:pPr>
  </w:style>
  <w:style w:type="paragraph" w:customStyle="1" w:styleId="NotesHeading2">
    <w:name w:val="NotesHeading 2"/>
    <w:basedOn w:val="OPCParaBase"/>
    <w:next w:val="Normal"/>
    <w:rsid w:val="00DA0AD8"/>
    <w:rPr>
      <w:b/>
      <w:sz w:val="28"/>
      <w:szCs w:val="28"/>
    </w:rPr>
  </w:style>
  <w:style w:type="paragraph" w:customStyle="1" w:styleId="NotesHeading1">
    <w:name w:val="NotesHeading 1"/>
    <w:basedOn w:val="OPCParaBase"/>
    <w:next w:val="Normal"/>
    <w:rsid w:val="00DA0AD8"/>
    <w:rPr>
      <w:b/>
      <w:sz w:val="28"/>
      <w:szCs w:val="28"/>
    </w:rPr>
  </w:style>
  <w:style w:type="paragraph" w:customStyle="1" w:styleId="CompiledActNo">
    <w:name w:val="CompiledActNo"/>
    <w:basedOn w:val="OPCParaBase"/>
    <w:next w:val="Normal"/>
    <w:rsid w:val="00DA0AD8"/>
    <w:rPr>
      <w:b/>
      <w:sz w:val="24"/>
      <w:szCs w:val="24"/>
    </w:rPr>
  </w:style>
  <w:style w:type="paragraph" w:customStyle="1" w:styleId="ENotesText">
    <w:name w:val="ENotesText"/>
    <w:aliases w:val="Ent"/>
    <w:basedOn w:val="OPCParaBase"/>
    <w:next w:val="Normal"/>
    <w:rsid w:val="00DA0AD8"/>
    <w:pPr>
      <w:spacing w:before="120"/>
    </w:pPr>
  </w:style>
  <w:style w:type="paragraph" w:customStyle="1" w:styleId="CompiledMadeUnder">
    <w:name w:val="CompiledMadeUnder"/>
    <w:basedOn w:val="OPCParaBase"/>
    <w:next w:val="Normal"/>
    <w:rsid w:val="00DA0AD8"/>
    <w:rPr>
      <w:i/>
      <w:sz w:val="24"/>
      <w:szCs w:val="24"/>
    </w:rPr>
  </w:style>
  <w:style w:type="paragraph" w:customStyle="1" w:styleId="Paragraphsub-sub-sub">
    <w:name w:val="Paragraph(sub-sub-sub)"/>
    <w:aliases w:val="aaaa"/>
    <w:basedOn w:val="OPCParaBase"/>
    <w:rsid w:val="00DA0AD8"/>
    <w:pPr>
      <w:tabs>
        <w:tab w:val="right" w:pos="3402"/>
      </w:tabs>
      <w:spacing w:before="40" w:line="240" w:lineRule="auto"/>
      <w:ind w:left="3402" w:hanging="3402"/>
    </w:pPr>
  </w:style>
  <w:style w:type="paragraph" w:customStyle="1" w:styleId="TableTextEndNotes">
    <w:name w:val="TableTextEndNotes"/>
    <w:aliases w:val="Tten"/>
    <w:basedOn w:val="Normal"/>
    <w:rsid w:val="00DA0AD8"/>
    <w:pPr>
      <w:spacing w:before="60" w:line="240" w:lineRule="auto"/>
    </w:pPr>
    <w:rPr>
      <w:rFonts w:cs="Arial"/>
      <w:sz w:val="20"/>
      <w:szCs w:val="22"/>
    </w:rPr>
  </w:style>
  <w:style w:type="paragraph" w:customStyle="1" w:styleId="NoteToSubpara">
    <w:name w:val="NoteToSubpara"/>
    <w:aliases w:val="nts"/>
    <w:basedOn w:val="OPCParaBase"/>
    <w:rsid w:val="00DA0AD8"/>
    <w:pPr>
      <w:spacing w:before="40" w:line="198" w:lineRule="exact"/>
      <w:ind w:left="2835" w:hanging="709"/>
    </w:pPr>
    <w:rPr>
      <w:sz w:val="18"/>
    </w:rPr>
  </w:style>
  <w:style w:type="paragraph" w:customStyle="1" w:styleId="ENoteTableHeading">
    <w:name w:val="ENoteTableHeading"/>
    <w:aliases w:val="enth"/>
    <w:basedOn w:val="OPCParaBase"/>
    <w:rsid w:val="00DA0AD8"/>
    <w:pPr>
      <w:keepNext/>
      <w:spacing w:before="60" w:line="240" w:lineRule="atLeast"/>
    </w:pPr>
    <w:rPr>
      <w:rFonts w:ascii="Arial" w:hAnsi="Arial"/>
      <w:b/>
      <w:sz w:val="16"/>
    </w:rPr>
  </w:style>
  <w:style w:type="paragraph" w:customStyle="1" w:styleId="ENoteTTi">
    <w:name w:val="ENoteTTi"/>
    <w:aliases w:val="entti"/>
    <w:basedOn w:val="OPCParaBase"/>
    <w:rsid w:val="00DA0AD8"/>
    <w:pPr>
      <w:keepNext/>
      <w:spacing w:before="60" w:line="240" w:lineRule="atLeast"/>
      <w:ind w:left="170"/>
    </w:pPr>
    <w:rPr>
      <w:sz w:val="16"/>
    </w:rPr>
  </w:style>
  <w:style w:type="paragraph" w:customStyle="1" w:styleId="ENotesHeading1">
    <w:name w:val="ENotesHeading 1"/>
    <w:aliases w:val="Enh1"/>
    <w:basedOn w:val="OPCParaBase"/>
    <w:next w:val="Normal"/>
    <w:rsid w:val="00DA0AD8"/>
    <w:pPr>
      <w:spacing w:before="120"/>
      <w:outlineLvl w:val="1"/>
    </w:pPr>
    <w:rPr>
      <w:b/>
      <w:sz w:val="28"/>
      <w:szCs w:val="28"/>
    </w:rPr>
  </w:style>
  <w:style w:type="paragraph" w:customStyle="1" w:styleId="ENotesHeading2">
    <w:name w:val="ENotesHeading 2"/>
    <w:aliases w:val="Enh2"/>
    <w:basedOn w:val="OPCParaBase"/>
    <w:next w:val="Normal"/>
    <w:rsid w:val="00DA0AD8"/>
    <w:pPr>
      <w:spacing w:before="120" w:after="120"/>
      <w:outlineLvl w:val="2"/>
    </w:pPr>
    <w:rPr>
      <w:b/>
      <w:sz w:val="24"/>
      <w:szCs w:val="28"/>
    </w:rPr>
  </w:style>
  <w:style w:type="paragraph" w:customStyle="1" w:styleId="ENotesHeading3">
    <w:name w:val="ENotesHeading 3"/>
    <w:aliases w:val="Enh3"/>
    <w:basedOn w:val="OPCParaBase"/>
    <w:next w:val="Normal"/>
    <w:rsid w:val="00DA0AD8"/>
    <w:pPr>
      <w:keepNext/>
      <w:spacing w:before="120" w:line="240" w:lineRule="auto"/>
      <w:outlineLvl w:val="4"/>
    </w:pPr>
    <w:rPr>
      <w:b/>
      <w:szCs w:val="24"/>
    </w:rPr>
  </w:style>
  <w:style w:type="paragraph" w:customStyle="1" w:styleId="ENoteTTIndentHeading">
    <w:name w:val="ENoteTTIndentHeading"/>
    <w:aliases w:val="enTTHi"/>
    <w:basedOn w:val="OPCParaBase"/>
    <w:rsid w:val="00DA0AD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A0AD8"/>
    <w:pPr>
      <w:spacing w:before="60" w:line="240" w:lineRule="atLeast"/>
    </w:pPr>
    <w:rPr>
      <w:sz w:val="16"/>
    </w:rPr>
  </w:style>
  <w:style w:type="paragraph" w:customStyle="1" w:styleId="MadeunderText">
    <w:name w:val="MadeunderText"/>
    <w:basedOn w:val="OPCParaBase"/>
    <w:next w:val="CompiledMadeUnder"/>
    <w:rsid w:val="00DA0AD8"/>
    <w:pPr>
      <w:spacing w:before="240"/>
    </w:pPr>
    <w:rPr>
      <w:sz w:val="24"/>
      <w:szCs w:val="24"/>
    </w:rPr>
  </w:style>
  <w:style w:type="paragraph" w:customStyle="1" w:styleId="SubPartCASA">
    <w:name w:val="SubPart(CASA)"/>
    <w:aliases w:val="csp"/>
    <w:basedOn w:val="OPCParaBase"/>
    <w:next w:val="ActHead3"/>
    <w:rsid w:val="00DA0AD8"/>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DA0AD8"/>
  </w:style>
  <w:style w:type="character" w:customStyle="1" w:styleId="CharSubPartNoCASA">
    <w:name w:val="CharSubPartNo(CASA)"/>
    <w:basedOn w:val="OPCCharBase"/>
    <w:uiPriority w:val="1"/>
    <w:rsid w:val="00DA0AD8"/>
  </w:style>
  <w:style w:type="paragraph" w:customStyle="1" w:styleId="ENoteTTIndentHeadingSub">
    <w:name w:val="ENoteTTIndentHeadingSub"/>
    <w:aliases w:val="enTTHis"/>
    <w:basedOn w:val="OPCParaBase"/>
    <w:rsid w:val="00DA0AD8"/>
    <w:pPr>
      <w:keepNext/>
      <w:spacing w:before="60" w:line="240" w:lineRule="atLeast"/>
      <w:ind w:left="340"/>
    </w:pPr>
    <w:rPr>
      <w:b/>
      <w:sz w:val="16"/>
    </w:rPr>
  </w:style>
  <w:style w:type="paragraph" w:customStyle="1" w:styleId="ENoteTTiSub">
    <w:name w:val="ENoteTTiSub"/>
    <w:aliases w:val="enttis"/>
    <w:basedOn w:val="OPCParaBase"/>
    <w:rsid w:val="00DA0AD8"/>
    <w:pPr>
      <w:keepNext/>
      <w:spacing w:before="60" w:line="240" w:lineRule="atLeast"/>
      <w:ind w:left="340"/>
    </w:pPr>
    <w:rPr>
      <w:sz w:val="16"/>
    </w:rPr>
  </w:style>
  <w:style w:type="paragraph" w:customStyle="1" w:styleId="SubDivisionMigration">
    <w:name w:val="SubDivisionMigration"/>
    <w:aliases w:val="sdm"/>
    <w:basedOn w:val="OPCParaBase"/>
    <w:rsid w:val="00DA0AD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A0AD8"/>
    <w:pPr>
      <w:keepNext/>
      <w:keepLines/>
      <w:spacing w:before="240" w:line="240" w:lineRule="auto"/>
      <w:ind w:left="1134" w:hanging="1134"/>
    </w:pPr>
    <w:rPr>
      <w:b/>
      <w:sz w:val="28"/>
    </w:rPr>
  </w:style>
  <w:style w:type="paragraph" w:customStyle="1" w:styleId="notetext">
    <w:name w:val="note(text)"/>
    <w:aliases w:val="n"/>
    <w:basedOn w:val="OPCParaBase"/>
    <w:rsid w:val="00DA0AD8"/>
    <w:pPr>
      <w:spacing w:before="122" w:line="240" w:lineRule="auto"/>
      <w:ind w:left="1985" w:hanging="851"/>
    </w:pPr>
    <w:rPr>
      <w:sz w:val="18"/>
    </w:rPr>
  </w:style>
  <w:style w:type="paragraph" w:customStyle="1" w:styleId="FreeForm">
    <w:name w:val="FreeForm"/>
    <w:rsid w:val="00DA0AD8"/>
    <w:rPr>
      <w:rFonts w:ascii="Arial" w:eastAsiaTheme="minorHAnsi" w:hAnsi="Arial" w:cstheme="minorBidi"/>
      <w:sz w:val="22"/>
      <w:lang w:eastAsia="en-US"/>
    </w:rPr>
  </w:style>
  <w:style w:type="paragraph" w:customStyle="1" w:styleId="SOText">
    <w:name w:val="SO Text"/>
    <w:aliases w:val="sot"/>
    <w:link w:val="SOTextChar"/>
    <w:rsid w:val="00DA0AD8"/>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DA0AD8"/>
    <w:rPr>
      <w:rFonts w:eastAsiaTheme="minorHAnsi" w:cstheme="minorBidi"/>
      <w:sz w:val="22"/>
      <w:lang w:eastAsia="en-US"/>
    </w:rPr>
  </w:style>
  <w:style w:type="paragraph" w:customStyle="1" w:styleId="SOTextNote">
    <w:name w:val="SO TextNote"/>
    <w:aliases w:val="sont"/>
    <w:basedOn w:val="SOText"/>
    <w:qFormat/>
    <w:rsid w:val="00DA0AD8"/>
    <w:pPr>
      <w:spacing w:before="122" w:line="198" w:lineRule="exact"/>
      <w:ind w:left="1843" w:hanging="709"/>
    </w:pPr>
    <w:rPr>
      <w:sz w:val="18"/>
    </w:rPr>
  </w:style>
  <w:style w:type="paragraph" w:customStyle="1" w:styleId="SOPara">
    <w:name w:val="SO Para"/>
    <w:aliases w:val="soa"/>
    <w:basedOn w:val="SOText"/>
    <w:link w:val="SOParaChar"/>
    <w:qFormat/>
    <w:rsid w:val="00DA0AD8"/>
    <w:pPr>
      <w:tabs>
        <w:tab w:val="right" w:pos="1786"/>
      </w:tabs>
      <w:spacing w:before="40"/>
      <w:ind w:left="2070" w:hanging="936"/>
    </w:pPr>
  </w:style>
  <w:style w:type="character" w:customStyle="1" w:styleId="SOParaChar">
    <w:name w:val="SO Para Char"/>
    <w:aliases w:val="soa Char"/>
    <w:basedOn w:val="DefaultParagraphFont"/>
    <w:link w:val="SOPara"/>
    <w:rsid w:val="00DA0AD8"/>
    <w:rPr>
      <w:rFonts w:eastAsiaTheme="minorHAnsi" w:cstheme="minorBidi"/>
      <w:sz w:val="22"/>
      <w:lang w:eastAsia="en-US"/>
    </w:rPr>
  </w:style>
  <w:style w:type="paragraph" w:customStyle="1" w:styleId="FileName">
    <w:name w:val="FileName"/>
    <w:basedOn w:val="Normal"/>
    <w:rsid w:val="00DA0AD8"/>
  </w:style>
  <w:style w:type="paragraph" w:customStyle="1" w:styleId="TableHeading">
    <w:name w:val="TableHeading"/>
    <w:aliases w:val="th"/>
    <w:basedOn w:val="OPCParaBase"/>
    <w:next w:val="Tabletext"/>
    <w:rsid w:val="00DA0AD8"/>
    <w:pPr>
      <w:keepNext/>
      <w:spacing w:before="60" w:line="240" w:lineRule="atLeast"/>
    </w:pPr>
    <w:rPr>
      <w:b/>
      <w:sz w:val="20"/>
    </w:rPr>
  </w:style>
  <w:style w:type="paragraph" w:customStyle="1" w:styleId="SOHeadBold">
    <w:name w:val="SO HeadBold"/>
    <w:aliases w:val="sohb"/>
    <w:basedOn w:val="SOText"/>
    <w:next w:val="SOText"/>
    <w:link w:val="SOHeadBoldChar"/>
    <w:qFormat/>
    <w:rsid w:val="00DA0AD8"/>
    <w:rPr>
      <w:b/>
    </w:rPr>
  </w:style>
  <w:style w:type="character" w:customStyle="1" w:styleId="SOHeadBoldChar">
    <w:name w:val="SO HeadBold Char"/>
    <w:aliases w:val="sohb Char"/>
    <w:basedOn w:val="DefaultParagraphFont"/>
    <w:link w:val="SOHeadBold"/>
    <w:rsid w:val="00DA0AD8"/>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DA0AD8"/>
    <w:rPr>
      <w:i/>
    </w:rPr>
  </w:style>
  <w:style w:type="character" w:customStyle="1" w:styleId="SOHeadItalicChar">
    <w:name w:val="SO HeadItalic Char"/>
    <w:aliases w:val="sohi Char"/>
    <w:basedOn w:val="DefaultParagraphFont"/>
    <w:link w:val="SOHeadItalic"/>
    <w:rsid w:val="00DA0AD8"/>
    <w:rPr>
      <w:rFonts w:eastAsiaTheme="minorHAnsi" w:cstheme="minorBidi"/>
      <w:i/>
      <w:sz w:val="22"/>
      <w:lang w:eastAsia="en-US"/>
    </w:rPr>
  </w:style>
  <w:style w:type="paragraph" w:customStyle="1" w:styleId="SOBullet">
    <w:name w:val="SO Bullet"/>
    <w:aliases w:val="sotb"/>
    <w:basedOn w:val="SOText"/>
    <w:link w:val="SOBulletChar"/>
    <w:qFormat/>
    <w:rsid w:val="00DA0AD8"/>
    <w:pPr>
      <w:ind w:left="1559" w:hanging="425"/>
    </w:pPr>
  </w:style>
  <w:style w:type="character" w:customStyle="1" w:styleId="SOBulletChar">
    <w:name w:val="SO Bullet Char"/>
    <w:aliases w:val="sotb Char"/>
    <w:basedOn w:val="DefaultParagraphFont"/>
    <w:link w:val="SOBullet"/>
    <w:rsid w:val="00DA0AD8"/>
    <w:rPr>
      <w:rFonts w:eastAsiaTheme="minorHAnsi" w:cstheme="minorBidi"/>
      <w:sz w:val="22"/>
      <w:lang w:eastAsia="en-US"/>
    </w:rPr>
  </w:style>
  <w:style w:type="paragraph" w:customStyle="1" w:styleId="SOBulletNote">
    <w:name w:val="SO BulletNote"/>
    <w:aliases w:val="sonb"/>
    <w:basedOn w:val="SOTextNote"/>
    <w:link w:val="SOBulletNoteChar"/>
    <w:qFormat/>
    <w:rsid w:val="00DA0AD8"/>
    <w:pPr>
      <w:tabs>
        <w:tab w:val="left" w:pos="1560"/>
      </w:tabs>
      <w:ind w:left="2268" w:hanging="1134"/>
    </w:pPr>
  </w:style>
  <w:style w:type="character" w:customStyle="1" w:styleId="SOBulletNoteChar">
    <w:name w:val="SO BulletNote Char"/>
    <w:aliases w:val="sonb Char"/>
    <w:basedOn w:val="DefaultParagraphFont"/>
    <w:link w:val="SOBulletNote"/>
    <w:rsid w:val="00DA0AD8"/>
    <w:rPr>
      <w:rFonts w:eastAsiaTheme="minorHAnsi" w:cstheme="minorBidi"/>
      <w:sz w:val="18"/>
      <w:lang w:eastAsia="en-US"/>
    </w:rPr>
  </w:style>
  <w:style w:type="paragraph" w:styleId="Revision">
    <w:name w:val="Revision"/>
    <w:hidden/>
    <w:uiPriority w:val="99"/>
    <w:semiHidden/>
    <w:rsid w:val="0028386A"/>
    <w:rPr>
      <w:rFonts w:eastAsiaTheme="minorHAnsi" w:cstheme="minorBid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A0AD8"/>
    <w:pPr>
      <w:spacing w:line="260" w:lineRule="atLeast"/>
    </w:pPr>
    <w:rPr>
      <w:rFonts w:eastAsiaTheme="minorHAnsi" w:cstheme="minorBidi"/>
      <w:sz w:val="22"/>
      <w:lang w:eastAsia="en-US"/>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331BA8"/>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31BA8"/>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link w:val="FooterChar"/>
    <w:rsid w:val="00DA0AD8"/>
    <w:pPr>
      <w:tabs>
        <w:tab w:val="center" w:pos="4153"/>
        <w:tab w:val="right" w:pos="8306"/>
      </w:tabs>
    </w:pPr>
    <w:rPr>
      <w:sz w:val="22"/>
      <w:szCs w:val="24"/>
    </w:rPr>
  </w:style>
  <w:style w:type="paragraph" w:customStyle="1" w:styleId="MainBodySectionBreak">
    <w:name w:val="MainBody Section Break"/>
    <w:basedOn w:val="Normal"/>
    <w:next w:val="Normal"/>
    <w:rsid w:val="00F85736"/>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DA0AD8"/>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DA0AD8"/>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A0AD8"/>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0">
    <w:name w:val="Table Grid 1"/>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F8573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857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DA0AD8"/>
  </w:style>
  <w:style w:type="character" w:customStyle="1" w:styleId="CharAmSchText">
    <w:name w:val="CharAmSchText"/>
    <w:basedOn w:val="OPCCharBase"/>
    <w:uiPriority w:val="1"/>
    <w:qFormat/>
    <w:rsid w:val="00DA0AD8"/>
  </w:style>
  <w:style w:type="character" w:customStyle="1" w:styleId="CharChapNo">
    <w:name w:val="CharChapNo"/>
    <w:basedOn w:val="OPCCharBase"/>
    <w:qFormat/>
    <w:rsid w:val="00DA0AD8"/>
  </w:style>
  <w:style w:type="character" w:customStyle="1" w:styleId="CharChapText">
    <w:name w:val="CharChapText"/>
    <w:basedOn w:val="OPCCharBase"/>
    <w:qFormat/>
    <w:rsid w:val="00DA0AD8"/>
  </w:style>
  <w:style w:type="character" w:customStyle="1" w:styleId="CharDivNo">
    <w:name w:val="CharDivNo"/>
    <w:basedOn w:val="OPCCharBase"/>
    <w:qFormat/>
    <w:rsid w:val="00DA0AD8"/>
  </w:style>
  <w:style w:type="character" w:customStyle="1" w:styleId="CharDivText">
    <w:name w:val="CharDivText"/>
    <w:basedOn w:val="OPCCharBase"/>
    <w:qFormat/>
    <w:rsid w:val="00DA0AD8"/>
  </w:style>
  <w:style w:type="character" w:customStyle="1" w:styleId="CharPartNo">
    <w:name w:val="CharPartNo"/>
    <w:basedOn w:val="OPCCharBase"/>
    <w:qFormat/>
    <w:rsid w:val="00DA0AD8"/>
  </w:style>
  <w:style w:type="character" w:customStyle="1" w:styleId="CharPartText">
    <w:name w:val="CharPartText"/>
    <w:basedOn w:val="OPCCharBase"/>
    <w:qFormat/>
    <w:rsid w:val="00DA0AD8"/>
  </w:style>
  <w:style w:type="character" w:customStyle="1" w:styleId="OPCCharBase">
    <w:name w:val="OPCCharBase"/>
    <w:uiPriority w:val="1"/>
    <w:qFormat/>
    <w:rsid w:val="00DA0AD8"/>
  </w:style>
  <w:style w:type="paragraph" w:customStyle="1" w:styleId="OPCParaBase">
    <w:name w:val="OPCParaBase"/>
    <w:qFormat/>
    <w:rsid w:val="00DA0AD8"/>
    <w:pPr>
      <w:spacing w:line="260" w:lineRule="atLeast"/>
    </w:pPr>
    <w:rPr>
      <w:sz w:val="22"/>
    </w:rPr>
  </w:style>
  <w:style w:type="character" w:customStyle="1" w:styleId="CharSectno">
    <w:name w:val="CharSectno"/>
    <w:basedOn w:val="OPCCharBase"/>
    <w:qFormat/>
    <w:rsid w:val="00DA0AD8"/>
  </w:style>
  <w:style w:type="paragraph" w:customStyle="1" w:styleId="AN">
    <w:name w:val="AN"/>
    <w:aliases w:val="Note Amendment"/>
    <w:basedOn w:val="Normal"/>
    <w:next w:val="Normal"/>
    <w:rsid w:val="00F85736"/>
    <w:pPr>
      <w:spacing w:before="120" w:line="220" w:lineRule="exact"/>
      <w:ind w:left="964"/>
      <w:jc w:val="both"/>
    </w:pPr>
    <w:rPr>
      <w:sz w:val="20"/>
    </w:rPr>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DA0AD8"/>
    <w:pPr>
      <w:spacing w:line="240" w:lineRule="auto"/>
      <w:ind w:left="1134"/>
    </w:pPr>
    <w:rPr>
      <w:sz w:val="20"/>
    </w:rPr>
  </w:style>
  <w:style w:type="paragraph" w:customStyle="1" w:styleId="ShortT">
    <w:name w:val="ShortT"/>
    <w:basedOn w:val="OPCParaBase"/>
    <w:next w:val="Normal"/>
    <w:qFormat/>
    <w:rsid w:val="00DA0AD8"/>
    <w:pPr>
      <w:spacing w:line="240" w:lineRule="auto"/>
    </w:pPr>
    <w:rPr>
      <w:b/>
      <w:sz w:val="40"/>
    </w:rPr>
  </w:style>
  <w:style w:type="paragraph" w:customStyle="1" w:styleId="Penalty">
    <w:name w:val="Penalty"/>
    <w:basedOn w:val="OPCParaBase"/>
    <w:rsid w:val="00DA0AD8"/>
    <w:pPr>
      <w:tabs>
        <w:tab w:val="left" w:pos="2977"/>
      </w:tabs>
      <w:spacing w:before="180" w:line="240" w:lineRule="auto"/>
      <w:ind w:left="1985" w:hanging="851"/>
    </w:pPr>
  </w:style>
  <w:style w:type="paragraph" w:styleId="TOC1">
    <w:name w:val="toc 1"/>
    <w:basedOn w:val="OPCParaBase"/>
    <w:next w:val="Normal"/>
    <w:uiPriority w:val="39"/>
    <w:unhideWhenUsed/>
    <w:rsid w:val="00DA0AD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A0AD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A0AD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A0AD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A0AD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A0AD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A0AD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A0AD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A0AD8"/>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DA0AD8"/>
    <w:pPr>
      <w:spacing w:line="240" w:lineRule="auto"/>
    </w:pPr>
    <w:rPr>
      <w:sz w:val="20"/>
    </w:rPr>
  </w:style>
  <w:style w:type="paragraph" w:customStyle="1" w:styleId="ActHead1">
    <w:name w:val="ActHead 1"/>
    <w:aliases w:val="c"/>
    <w:basedOn w:val="OPCParaBase"/>
    <w:next w:val="Normal"/>
    <w:qFormat/>
    <w:rsid w:val="00DA0AD8"/>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DA0AD8"/>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ActHead2">
    <w:name w:val="ActHead 2"/>
    <w:aliases w:val="p"/>
    <w:basedOn w:val="OPCParaBase"/>
    <w:next w:val="ActHead3"/>
    <w:qFormat/>
    <w:rsid w:val="00DA0AD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A0AD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A0AD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A0AD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A0AD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A0AD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A0AD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A0AD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A0AD8"/>
  </w:style>
  <w:style w:type="paragraph" w:customStyle="1" w:styleId="Blocks">
    <w:name w:val="Blocks"/>
    <w:aliases w:val="bb"/>
    <w:basedOn w:val="OPCParaBase"/>
    <w:qFormat/>
    <w:rsid w:val="00DA0AD8"/>
    <w:pPr>
      <w:spacing w:line="240" w:lineRule="auto"/>
    </w:pPr>
    <w:rPr>
      <w:sz w:val="24"/>
    </w:rPr>
  </w:style>
  <w:style w:type="paragraph" w:customStyle="1" w:styleId="BoxText">
    <w:name w:val="BoxText"/>
    <w:aliases w:val="bt"/>
    <w:basedOn w:val="OPCParaBase"/>
    <w:qFormat/>
    <w:rsid w:val="00DA0AD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A0AD8"/>
    <w:rPr>
      <w:b/>
    </w:rPr>
  </w:style>
  <w:style w:type="paragraph" w:customStyle="1" w:styleId="BoxHeadItalic">
    <w:name w:val="BoxHeadItalic"/>
    <w:aliases w:val="bhi"/>
    <w:basedOn w:val="BoxText"/>
    <w:next w:val="BoxStep"/>
    <w:qFormat/>
    <w:rsid w:val="00DA0AD8"/>
    <w:rPr>
      <w:i/>
    </w:rPr>
  </w:style>
  <w:style w:type="paragraph" w:customStyle="1" w:styleId="BoxList">
    <w:name w:val="BoxList"/>
    <w:aliases w:val="bl"/>
    <w:basedOn w:val="BoxText"/>
    <w:qFormat/>
    <w:rsid w:val="00DA0AD8"/>
    <w:pPr>
      <w:ind w:left="1559" w:hanging="425"/>
    </w:pPr>
  </w:style>
  <w:style w:type="paragraph" w:customStyle="1" w:styleId="BoxNote">
    <w:name w:val="BoxNote"/>
    <w:aliases w:val="bn"/>
    <w:basedOn w:val="BoxText"/>
    <w:qFormat/>
    <w:rsid w:val="00DA0AD8"/>
    <w:pPr>
      <w:tabs>
        <w:tab w:val="left" w:pos="1985"/>
      </w:tabs>
      <w:spacing w:before="122" w:line="198" w:lineRule="exact"/>
      <w:ind w:left="2948" w:hanging="1814"/>
    </w:pPr>
    <w:rPr>
      <w:sz w:val="18"/>
    </w:rPr>
  </w:style>
  <w:style w:type="paragraph" w:customStyle="1" w:styleId="BoxPara">
    <w:name w:val="BoxPara"/>
    <w:aliases w:val="bp"/>
    <w:basedOn w:val="BoxText"/>
    <w:qFormat/>
    <w:rsid w:val="00DA0AD8"/>
    <w:pPr>
      <w:tabs>
        <w:tab w:val="right" w:pos="2268"/>
      </w:tabs>
      <w:ind w:left="2552" w:hanging="1418"/>
    </w:pPr>
  </w:style>
  <w:style w:type="paragraph" w:customStyle="1" w:styleId="BoxStep">
    <w:name w:val="BoxStep"/>
    <w:aliases w:val="bs"/>
    <w:basedOn w:val="BoxText"/>
    <w:qFormat/>
    <w:rsid w:val="00DA0AD8"/>
    <w:pPr>
      <w:ind w:left="1985" w:hanging="851"/>
    </w:pPr>
  </w:style>
  <w:style w:type="character" w:customStyle="1" w:styleId="CharAmPartNo">
    <w:name w:val="CharAmPartNo"/>
    <w:basedOn w:val="OPCCharBase"/>
    <w:uiPriority w:val="1"/>
    <w:qFormat/>
    <w:rsid w:val="00DA0AD8"/>
  </w:style>
  <w:style w:type="character" w:customStyle="1" w:styleId="CharAmPartText">
    <w:name w:val="CharAmPartText"/>
    <w:basedOn w:val="OPCCharBase"/>
    <w:uiPriority w:val="1"/>
    <w:qFormat/>
    <w:rsid w:val="00DA0AD8"/>
  </w:style>
  <w:style w:type="character" w:customStyle="1" w:styleId="CharBoldItalic">
    <w:name w:val="CharBoldItalic"/>
    <w:basedOn w:val="OPCCharBase"/>
    <w:uiPriority w:val="1"/>
    <w:qFormat/>
    <w:rsid w:val="00DA0AD8"/>
    <w:rPr>
      <w:b/>
      <w:i/>
    </w:rPr>
  </w:style>
  <w:style w:type="character" w:customStyle="1" w:styleId="CharItalic">
    <w:name w:val="CharItalic"/>
    <w:basedOn w:val="OPCCharBase"/>
    <w:uiPriority w:val="1"/>
    <w:qFormat/>
    <w:rsid w:val="00DA0AD8"/>
    <w:rPr>
      <w:i/>
    </w:rPr>
  </w:style>
  <w:style w:type="character" w:customStyle="1" w:styleId="CharSubdNo">
    <w:name w:val="CharSubdNo"/>
    <w:basedOn w:val="OPCCharBase"/>
    <w:uiPriority w:val="1"/>
    <w:qFormat/>
    <w:rsid w:val="00DA0AD8"/>
  </w:style>
  <w:style w:type="character" w:customStyle="1" w:styleId="CharSubdText">
    <w:name w:val="CharSubdText"/>
    <w:basedOn w:val="OPCCharBase"/>
    <w:uiPriority w:val="1"/>
    <w:qFormat/>
    <w:rsid w:val="00DA0AD8"/>
  </w:style>
  <w:style w:type="paragraph" w:customStyle="1" w:styleId="CTA--">
    <w:name w:val="CTA --"/>
    <w:basedOn w:val="OPCParaBase"/>
    <w:next w:val="Normal"/>
    <w:rsid w:val="00DA0AD8"/>
    <w:pPr>
      <w:spacing w:before="60" w:line="240" w:lineRule="atLeast"/>
      <w:ind w:left="142" w:hanging="142"/>
    </w:pPr>
    <w:rPr>
      <w:sz w:val="20"/>
    </w:rPr>
  </w:style>
  <w:style w:type="paragraph" w:customStyle="1" w:styleId="CTA-">
    <w:name w:val="CTA -"/>
    <w:basedOn w:val="OPCParaBase"/>
    <w:rsid w:val="00DA0AD8"/>
    <w:pPr>
      <w:spacing w:before="60" w:line="240" w:lineRule="atLeast"/>
      <w:ind w:left="85" w:hanging="85"/>
    </w:pPr>
    <w:rPr>
      <w:sz w:val="20"/>
    </w:rPr>
  </w:style>
  <w:style w:type="paragraph" w:customStyle="1" w:styleId="CTA---">
    <w:name w:val="CTA ---"/>
    <w:basedOn w:val="OPCParaBase"/>
    <w:next w:val="Normal"/>
    <w:rsid w:val="00DA0AD8"/>
    <w:pPr>
      <w:spacing w:before="60" w:line="240" w:lineRule="atLeast"/>
      <w:ind w:left="198" w:hanging="198"/>
    </w:pPr>
    <w:rPr>
      <w:sz w:val="20"/>
    </w:rPr>
  </w:style>
  <w:style w:type="paragraph" w:customStyle="1" w:styleId="CTA----">
    <w:name w:val="CTA ----"/>
    <w:basedOn w:val="OPCParaBase"/>
    <w:next w:val="Normal"/>
    <w:rsid w:val="00DA0AD8"/>
    <w:pPr>
      <w:spacing w:before="60" w:line="240" w:lineRule="atLeast"/>
      <w:ind w:left="255" w:hanging="255"/>
    </w:pPr>
    <w:rPr>
      <w:sz w:val="20"/>
    </w:rPr>
  </w:style>
  <w:style w:type="paragraph" w:customStyle="1" w:styleId="CTA1a">
    <w:name w:val="CTA 1(a)"/>
    <w:basedOn w:val="OPCParaBase"/>
    <w:rsid w:val="00DA0AD8"/>
    <w:pPr>
      <w:tabs>
        <w:tab w:val="right" w:pos="414"/>
      </w:tabs>
      <w:spacing w:before="40" w:line="240" w:lineRule="atLeast"/>
      <w:ind w:left="675" w:hanging="675"/>
    </w:pPr>
    <w:rPr>
      <w:sz w:val="20"/>
    </w:rPr>
  </w:style>
  <w:style w:type="paragraph" w:customStyle="1" w:styleId="CTA1ai">
    <w:name w:val="CTA 1(a)(i)"/>
    <w:basedOn w:val="OPCParaBase"/>
    <w:rsid w:val="00DA0AD8"/>
    <w:pPr>
      <w:tabs>
        <w:tab w:val="right" w:pos="1004"/>
      </w:tabs>
      <w:spacing w:before="40" w:line="240" w:lineRule="atLeast"/>
      <w:ind w:left="1253" w:hanging="1253"/>
    </w:pPr>
    <w:rPr>
      <w:sz w:val="20"/>
    </w:rPr>
  </w:style>
  <w:style w:type="paragraph" w:customStyle="1" w:styleId="CTA2a">
    <w:name w:val="CTA 2(a)"/>
    <w:basedOn w:val="OPCParaBase"/>
    <w:rsid w:val="00DA0AD8"/>
    <w:pPr>
      <w:tabs>
        <w:tab w:val="right" w:pos="482"/>
      </w:tabs>
      <w:spacing w:before="40" w:line="240" w:lineRule="atLeast"/>
      <w:ind w:left="748" w:hanging="748"/>
    </w:pPr>
    <w:rPr>
      <w:sz w:val="20"/>
    </w:rPr>
  </w:style>
  <w:style w:type="paragraph" w:customStyle="1" w:styleId="CTA2ai">
    <w:name w:val="CTA 2(a)(i)"/>
    <w:basedOn w:val="OPCParaBase"/>
    <w:rsid w:val="00DA0AD8"/>
    <w:pPr>
      <w:tabs>
        <w:tab w:val="right" w:pos="1089"/>
      </w:tabs>
      <w:spacing w:before="40" w:line="240" w:lineRule="atLeast"/>
      <w:ind w:left="1327" w:hanging="1327"/>
    </w:pPr>
    <w:rPr>
      <w:sz w:val="20"/>
    </w:rPr>
  </w:style>
  <w:style w:type="paragraph" w:customStyle="1" w:styleId="CTA3a">
    <w:name w:val="CTA 3(a)"/>
    <w:basedOn w:val="OPCParaBase"/>
    <w:rsid w:val="00DA0AD8"/>
    <w:pPr>
      <w:tabs>
        <w:tab w:val="right" w:pos="556"/>
      </w:tabs>
      <w:spacing w:before="40" w:line="240" w:lineRule="atLeast"/>
      <w:ind w:left="805" w:hanging="805"/>
    </w:pPr>
    <w:rPr>
      <w:sz w:val="20"/>
    </w:rPr>
  </w:style>
  <w:style w:type="paragraph" w:customStyle="1" w:styleId="CTA3ai">
    <w:name w:val="CTA 3(a)(i)"/>
    <w:basedOn w:val="OPCParaBase"/>
    <w:rsid w:val="00DA0AD8"/>
    <w:pPr>
      <w:tabs>
        <w:tab w:val="right" w:pos="1140"/>
      </w:tabs>
      <w:spacing w:before="40" w:line="240" w:lineRule="atLeast"/>
      <w:ind w:left="1361" w:hanging="1361"/>
    </w:pPr>
    <w:rPr>
      <w:sz w:val="20"/>
    </w:rPr>
  </w:style>
  <w:style w:type="paragraph" w:customStyle="1" w:styleId="CTA4a">
    <w:name w:val="CTA 4(a)"/>
    <w:basedOn w:val="OPCParaBase"/>
    <w:rsid w:val="00DA0AD8"/>
    <w:pPr>
      <w:tabs>
        <w:tab w:val="right" w:pos="624"/>
      </w:tabs>
      <w:spacing w:before="40" w:line="240" w:lineRule="atLeast"/>
      <w:ind w:left="873" w:hanging="873"/>
    </w:pPr>
    <w:rPr>
      <w:sz w:val="20"/>
    </w:rPr>
  </w:style>
  <w:style w:type="paragraph" w:customStyle="1" w:styleId="CTA4ai">
    <w:name w:val="CTA 4(a)(i)"/>
    <w:basedOn w:val="OPCParaBase"/>
    <w:rsid w:val="00DA0AD8"/>
    <w:pPr>
      <w:tabs>
        <w:tab w:val="right" w:pos="1213"/>
      </w:tabs>
      <w:spacing w:before="40" w:line="240" w:lineRule="atLeast"/>
      <w:ind w:left="1452" w:hanging="1452"/>
    </w:pPr>
    <w:rPr>
      <w:sz w:val="20"/>
    </w:rPr>
  </w:style>
  <w:style w:type="paragraph" w:customStyle="1" w:styleId="CTACAPS">
    <w:name w:val="CTA CAPS"/>
    <w:basedOn w:val="OPCParaBase"/>
    <w:rsid w:val="00DA0AD8"/>
    <w:pPr>
      <w:spacing w:before="60" w:line="240" w:lineRule="atLeast"/>
    </w:pPr>
    <w:rPr>
      <w:sz w:val="20"/>
    </w:rPr>
  </w:style>
  <w:style w:type="paragraph" w:customStyle="1" w:styleId="CTAright">
    <w:name w:val="CTA right"/>
    <w:basedOn w:val="OPCParaBase"/>
    <w:rsid w:val="00DA0AD8"/>
    <w:pPr>
      <w:spacing w:before="60" w:line="240" w:lineRule="auto"/>
      <w:jc w:val="right"/>
    </w:pPr>
    <w:rPr>
      <w:sz w:val="20"/>
    </w:rPr>
  </w:style>
  <w:style w:type="paragraph" w:customStyle="1" w:styleId="subsection">
    <w:name w:val="subsection"/>
    <w:aliases w:val="ss"/>
    <w:basedOn w:val="OPCParaBase"/>
    <w:rsid w:val="00DA0AD8"/>
    <w:pPr>
      <w:tabs>
        <w:tab w:val="right" w:pos="1021"/>
      </w:tabs>
      <w:spacing w:before="180" w:line="240" w:lineRule="auto"/>
      <w:ind w:left="1134" w:hanging="1134"/>
    </w:pPr>
  </w:style>
  <w:style w:type="paragraph" w:customStyle="1" w:styleId="Definition">
    <w:name w:val="Definition"/>
    <w:aliases w:val="dd"/>
    <w:basedOn w:val="OPCParaBase"/>
    <w:rsid w:val="00DA0AD8"/>
    <w:pPr>
      <w:spacing w:before="180" w:line="240" w:lineRule="auto"/>
      <w:ind w:left="1134"/>
    </w:pPr>
  </w:style>
  <w:style w:type="paragraph" w:customStyle="1" w:styleId="EndNotespara">
    <w:name w:val="EndNotes(para)"/>
    <w:aliases w:val="eta"/>
    <w:basedOn w:val="OPCParaBase"/>
    <w:next w:val="EndNotessubpara"/>
    <w:rsid w:val="00DA0AD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A0AD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A0AD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A0AD8"/>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DA0AD8"/>
    <w:rPr>
      <w:sz w:val="16"/>
    </w:rPr>
  </w:style>
  <w:style w:type="paragraph" w:customStyle="1" w:styleId="House">
    <w:name w:val="House"/>
    <w:basedOn w:val="OPCParaBase"/>
    <w:rsid w:val="00DA0AD8"/>
    <w:pPr>
      <w:spacing w:line="240" w:lineRule="auto"/>
    </w:pPr>
    <w:rPr>
      <w:sz w:val="28"/>
    </w:rPr>
  </w:style>
  <w:style w:type="paragraph" w:customStyle="1" w:styleId="Item">
    <w:name w:val="Item"/>
    <w:aliases w:val="i"/>
    <w:basedOn w:val="OPCParaBase"/>
    <w:next w:val="ItemHead"/>
    <w:rsid w:val="00DA0AD8"/>
    <w:pPr>
      <w:keepLines/>
      <w:spacing w:before="80" w:line="240" w:lineRule="auto"/>
      <w:ind w:left="709"/>
    </w:pPr>
  </w:style>
  <w:style w:type="paragraph" w:customStyle="1" w:styleId="ItemHead">
    <w:name w:val="ItemHead"/>
    <w:aliases w:val="ih"/>
    <w:basedOn w:val="OPCParaBase"/>
    <w:next w:val="Item"/>
    <w:rsid w:val="00DA0AD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A0AD8"/>
    <w:pPr>
      <w:spacing w:line="240" w:lineRule="auto"/>
    </w:pPr>
    <w:rPr>
      <w:b/>
      <w:sz w:val="32"/>
    </w:rPr>
  </w:style>
  <w:style w:type="paragraph" w:customStyle="1" w:styleId="notedraft">
    <w:name w:val="note(draft)"/>
    <w:aliases w:val="nd"/>
    <w:basedOn w:val="OPCParaBase"/>
    <w:rsid w:val="00DA0AD8"/>
    <w:pPr>
      <w:spacing w:before="240" w:line="240" w:lineRule="auto"/>
      <w:ind w:left="284" w:hanging="284"/>
    </w:pPr>
    <w:rPr>
      <w:i/>
      <w:sz w:val="24"/>
    </w:rPr>
  </w:style>
  <w:style w:type="paragraph" w:customStyle="1" w:styleId="notemargin">
    <w:name w:val="note(margin)"/>
    <w:aliases w:val="nm"/>
    <w:basedOn w:val="OPCParaBase"/>
    <w:rsid w:val="00DA0AD8"/>
    <w:pPr>
      <w:tabs>
        <w:tab w:val="left" w:pos="709"/>
      </w:tabs>
      <w:spacing w:before="122" w:line="198" w:lineRule="exact"/>
      <w:ind w:left="709" w:hanging="709"/>
    </w:pPr>
    <w:rPr>
      <w:sz w:val="18"/>
    </w:rPr>
  </w:style>
  <w:style w:type="paragraph" w:customStyle="1" w:styleId="noteToPara">
    <w:name w:val="noteToPara"/>
    <w:aliases w:val="ntp"/>
    <w:basedOn w:val="OPCParaBase"/>
    <w:rsid w:val="00DA0AD8"/>
    <w:pPr>
      <w:spacing w:before="122" w:line="198" w:lineRule="exact"/>
      <w:ind w:left="2353" w:hanging="709"/>
    </w:pPr>
    <w:rPr>
      <w:sz w:val="18"/>
    </w:rPr>
  </w:style>
  <w:style w:type="paragraph" w:customStyle="1" w:styleId="noteParlAmend">
    <w:name w:val="note(ParlAmend)"/>
    <w:aliases w:val="npp"/>
    <w:basedOn w:val="OPCParaBase"/>
    <w:next w:val="ParlAmend"/>
    <w:rsid w:val="00DA0AD8"/>
    <w:pPr>
      <w:spacing w:line="240" w:lineRule="auto"/>
      <w:jc w:val="right"/>
    </w:pPr>
    <w:rPr>
      <w:rFonts w:ascii="Arial" w:hAnsi="Arial"/>
      <w:b/>
      <w:i/>
    </w:rPr>
  </w:style>
  <w:style w:type="paragraph" w:customStyle="1" w:styleId="Page1">
    <w:name w:val="Page1"/>
    <w:basedOn w:val="OPCParaBase"/>
    <w:rsid w:val="00DA0AD8"/>
    <w:pPr>
      <w:spacing w:before="5600" w:line="240" w:lineRule="auto"/>
    </w:pPr>
    <w:rPr>
      <w:b/>
      <w:sz w:val="32"/>
    </w:rPr>
  </w:style>
  <w:style w:type="paragraph" w:customStyle="1" w:styleId="paragraphsub">
    <w:name w:val="paragraph(sub)"/>
    <w:aliases w:val="aa"/>
    <w:basedOn w:val="OPCParaBase"/>
    <w:rsid w:val="00DA0AD8"/>
    <w:pPr>
      <w:tabs>
        <w:tab w:val="right" w:pos="1985"/>
      </w:tabs>
      <w:spacing w:before="40" w:line="240" w:lineRule="auto"/>
      <w:ind w:left="2098" w:hanging="2098"/>
    </w:pPr>
  </w:style>
  <w:style w:type="paragraph" w:customStyle="1" w:styleId="paragraphsub-sub">
    <w:name w:val="paragraph(sub-sub)"/>
    <w:aliases w:val="aaa"/>
    <w:basedOn w:val="OPCParaBase"/>
    <w:rsid w:val="00DA0AD8"/>
    <w:pPr>
      <w:tabs>
        <w:tab w:val="right" w:pos="2722"/>
      </w:tabs>
      <w:spacing w:before="40" w:line="240" w:lineRule="auto"/>
      <w:ind w:left="2835" w:hanging="2835"/>
    </w:pPr>
  </w:style>
  <w:style w:type="paragraph" w:customStyle="1" w:styleId="paragraph">
    <w:name w:val="paragraph"/>
    <w:aliases w:val="a"/>
    <w:basedOn w:val="OPCParaBase"/>
    <w:rsid w:val="00DA0AD8"/>
    <w:pPr>
      <w:tabs>
        <w:tab w:val="right" w:pos="1531"/>
      </w:tabs>
      <w:spacing w:before="40" w:line="240" w:lineRule="auto"/>
      <w:ind w:left="1644" w:hanging="1644"/>
    </w:pPr>
  </w:style>
  <w:style w:type="paragraph" w:customStyle="1" w:styleId="ParlAmend">
    <w:name w:val="ParlAmend"/>
    <w:aliases w:val="pp"/>
    <w:basedOn w:val="OPCParaBase"/>
    <w:rsid w:val="00DA0AD8"/>
    <w:pPr>
      <w:spacing w:before="240" w:line="240" w:lineRule="atLeast"/>
      <w:ind w:hanging="567"/>
    </w:pPr>
    <w:rPr>
      <w:sz w:val="24"/>
    </w:rPr>
  </w:style>
  <w:style w:type="paragraph" w:customStyle="1" w:styleId="Portfolio">
    <w:name w:val="Portfolio"/>
    <w:basedOn w:val="OPCParaBase"/>
    <w:rsid w:val="00DA0AD8"/>
    <w:pPr>
      <w:spacing w:line="240" w:lineRule="auto"/>
    </w:pPr>
    <w:rPr>
      <w:i/>
      <w:sz w:val="20"/>
    </w:rPr>
  </w:style>
  <w:style w:type="paragraph" w:customStyle="1" w:styleId="Preamble">
    <w:name w:val="Preamble"/>
    <w:basedOn w:val="OPCParaBase"/>
    <w:next w:val="Normal"/>
    <w:rsid w:val="00DA0AD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A0AD8"/>
    <w:pPr>
      <w:spacing w:line="240" w:lineRule="auto"/>
    </w:pPr>
    <w:rPr>
      <w:i/>
      <w:sz w:val="20"/>
    </w:rPr>
  </w:style>
  <w:style w:type="paragraph" w:customStyle="1" w:styleId="Session">
    <w:name w:val="Session"/>
    <w:basedOn w:val="OPCParaBase"/>
    <w:rsid w:val="00DA0AD8"/>
    <w:pPr>
      <w:spacing w:line="240" w:lineRule="auto"/>
    </w:pPr>
    <w:rPr>
      <w:sz w:val="28"/>
    </w:rPr>
  </w:style>
  <w:style w:type="paragraph" w:customStyle="1" w:styleId="Sponsor">
    <w:name w:val="Sponsor"/>
    <w:basedOn w:val="OPCParaBase"/>
    <w:rsid w:val="00DA0AD8"/>
    <w:pPr>
      <w:spacing w:line="240" w:lineRule="auto"/>
    </w:pPr>
    <w:rPr>
      <w:i/>
    </w:rPr>
  </w:style>
  <w:style w:type="paragraph" w:customStyle="1" w:styleId="Subitem">
    <w:name w:val="Subitem"/>
    <w:aliases w:val="iss"/>
    <w:basedOn w:val="OPCParaBase"/>
    <w:rsid w:val="00DA0AD8"/>
    <w:pPr>
      <w:spacing w:before="180" w:line="240" w:lineRule="auto"/>
      <w:ind w:left="709" w:hanging="709"/>
    </w:pPr>
  </w:style>
  <w:style w:type="paragraph" w:customStyle="1" w:styleId="SubitemHead">
    <w:name w:val="SubitemHead"/>
    <w:aliases w:val="issh"/>
    <w:basedOn w:val="OPCParaBase"/>
    <w:rsid w:val="00DA0AD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A0AD8"/>
    <w:pPr>
      <w:spacing w:before="40" w:line="240" w:lineRule="auto"/>
      <w:ind w:left="1134"/>
    </w:pPr>
  </w:style>
  <w:style w:type="paragraph" w:customStyle="1" w:styleId="SubsectionHead">
    <w:name w:val="SubsectionHead"/>
    <w:aliases w:val="ssh"/>
    <w:basedOn w:val="OPCParaBase"/>
    <w:next w:val="subsection"/>
    <w:rsid w:val="00DA0AD8"/>
    <w:pPr>
      <w:keepNext/>
      <w:keepLines/>
      <w:spacing w:before="240" w:line="240" w:lineRule="auto"/>
      <w:ind w:left="1134"/>
    </w:pPr>
    <w:rPr>
      <w:i/>
    </w:rPr>
  </w:style>
  <w:style w:type="paragraph" w:customStyle="1" w:styleId="Tablea">
    <w:name w:val="Table(a)"/>
    <w:aliases w:val="ta"/>
    <w:basedOn w:val="OPCParaBase"/>
    <w:rsid w:val="00DA0AD8"/>
    <w:pPr>
      <w:spacing w:before="60" w:line="240" w:lineRule="auto"/>
      <w:ind w:left="284" w:hanging="284"/>
    </w:pPr>
    <w:rPr>
      <w:sz w:val="20"/>
    </w:rPr>
  </w:style>
  <w:style w:type="paragraph" w:customStyle="1" w:styleId="TableAA">
    <w:name w:val="Table(AA)"/>
    <w:aliases w:val="taaa"/>
    <w:basedOn w:val="OPCParaBase"/>
    <w:rsid w:val="00DA0AD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A0AD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A0AD8"/>
    <w:pPr>
      <w:spacing w:before="60" w:line="240" w:lineRule="atLeast"/>
    </w:pPr>
    <w:rPr>
      <w:sz w:val="20"/>
    </w:rPr>
  </w:style>
  <w:style w:type="paragraph" w:customStyle="1" w:styleId="TLPBoxTextnote">
    <w:name w:val="TLPBoxText(note"/>
    <w:aliases w:val="right)"/>
    <w:basedOn w:val="OPCParaBase"/>
    <w:rsid w:val="00DA0AD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A0AD8"/>
    <w:pPr>
      <w:numPr>
        <w:numId w:val="22"/>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A0AD8"/>
    <w:pPr>
      <w:spacing w:before="122" w:line="198" w:lineRule="exact"/>
      <w:ind w:left="1985" w:hanging="851"/>
      <w:jc w:val="right"/>
    </w:pPr>
    <w:rPr>
      <w:sz w:val="18"/>
    </w:rPr>
  </w:style>
  <w:style w:type="paragraph" w:customStyle="1" w:styleId="TLPTableBullet">
    <w:name w:val="TLPTableBullet"/>
    <w:aliases w:val="ttb"/>
    <w:basedOn w:val="OPCParaBase"/>
    <w:rsid w:val="00DA0AD8"/>
    <w:pPr>
      <w:spacing w:line="240" w:lineRule="exact"/>
      <w:ind w:left="284" w:hanging="284"/>
    </w:pPr>
    <w:rPr>
      <w:sz w:val="20"/>
    </w:rPr>
  </w:style>
  <w:style w:type="paragraph" w:customStyle="1" w:styleId="TofSectsGroupHeading">
    <w:name w:val="TofSects(GroupHeading)"/>
    <w:basedOn w:val="OPCParaBase"/>
    <w:next w:val="TofSectsSection"/>
    <w:rsid w:val="00DA0AD8"/>
    <w:pPr>
      <w:keepLines/>
      <w:spacing w:before="240" w:after="120" w:line="240" w:lineRule="auto"/>
      <w:ind w:left="794"/>
    </w:pPr>
    <w:rPr>
      <w:b/>
      <w:kern w:val="28"/>
      <w:sz w:val="20"/>
    </w:rPr>
  </w:style>
  <w:style w:type="paragraph" w:customStyle="1" w:styleId="TofSectsHeading">
    <w:name w:val="TofSects(Heading)"/>
    <w:basedOn w:val="OPCParaBase"/>
    <w:rsid w:val="00DA0AD8"/>
    <w:pPr>
      <w:spacing w:before="240" w:after="120" w:line="240" w:lineRule="auto"/>
    </w:pPr>
    <w:rPr>
      <w:b/>
      <w:sz w:val="24"/>
    </w:rPr>
  </w:style>
  <w:style w:type="paragraph" w:customStyle="1" w:styleId="TofSectsSection">
    <w:name w:val="TofSects(Section)"/>
    <w:basedOn w:val="OPCParaBase"/>
    <w:rsid w:val="00DA0AD8"/>
    <w:pPr>
      <w:keepLines/>
      <w:spacing w:before="40" w:line="240" w:lineRule="auto"/>
      <w:ind w:left="1588" w:hanging="794"/>
    </w:pPr>
    <w:rPr>
      <w:kern w:val="28"/>
      <w:sz w:val="18"/>
    </w:rPr>
  </w:style>
  <w:style w:type="paragraph" w:customStyle="1" w:styleId="TofSectsSubdiv">
    <w:name w:val="TofSects(Subdiv)"/>
    <w:basedOn w:val="OPCParaBase"/>
    <w:rsid w:val="00DA0AD8"/>
    <w:pPr>
      <w:keepLines/>
      <w:spacing w:before="80" w:line="240" w:lineRule="auto"/>
      <w:ind w:left="1588" w:hanging="794"/>
    </w:pPr>
    <w:rPr>
      <w:kern w:val="28"/>
    </w:rPr>
  </w:style>
  <w:style w:type="paragraph" w:customStyle="1" w:styleId="WRStyle">
    <w:name w:val="WR Style"/>
    <w:aliases w:val="WR"/>
    <w:basedOn w:val="OPCParaBase"/>
    <w:rsid w:val="00DA0AD8"/>
    <w:pPr>
      <w:spacing w:before="240" w:line="240" w:lineRule="auto"/>
      <w:ind w:left="284" w:hanging="284"/>
    </w:pPr>
    <w:rPr>
      <w:b/>
      <w:i/>
      <w:kern w:val="28"/>
      <w:sz w:val="24"/>
    </w:rPr>
  </w:style>
  <w:style w:type="paragraph" w:customStyle="1" w:styleId="notepara">
    <w:name w:val="note(para)"/>
    <w:aliases w:val="na"/>
    <w:basedOn w:val="OPCParaBase"/>
    <w:rsid w:val="00DA0AD8"/>
    <w:pPr>
      <w:spacing w:before="40" w:line="198" w:lineRule="exact"/>
      <w:ind w:left="2354" w:hanging="369"/>
    </w:pPr>
    <w:rPr>
      <w:sz w:val="18"/>
    </w:rPr>
  </w:style>
  <w:style w:type="character" w:customStyle="1" w:styleId="FooterChar">
    <w:name w:val="Footer Char"/>
    <w:basedOn w:val="DefaultParagraphFont"/>
    <w:link w:val="Footer"/>
    <w:rsid w:val="00DA0AD8"/>
    <w:rPr>
      <w:sz w:val="22"/>
      <w:szCs w:val="24"/>
    </w:rPr>
  </w:style>
  <w:style w:type="table" w:customStyle="1" w:styleId="CFlag">
    <w:name w:val="CFlag"/>
    <w:basedOn w:val="TableNormal"/>
    <w:uiPriority w:val="99"/>
    <w:rsid w:val="00DA0AD8"/>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DA0AD8"/>
    <w:rPr>
      <w:rFonts w:ascii="Tahoma" w:eastAsiaTheme="minorHAnsi" w:hAnsi="Tahoma" w:cs="Tahoma"/>
      <w:sz w:val="16"/>
      <w:szCs w:val="16"/>
      <w:lang w:eastAsia="en-US"/>
    </w:rPr>
  </w:style>
  <w:style w:type="paragraph" w:customStyle="1" w:styleId="InstNo">
    <w:name w:val="InstNo"/>
    <w:basedOn w:val="OPCParaBase"/>
    <w:next w:val="Normal"/>
    <w:rsid w:val="00DA0AD8"/>
    <w:rPr>
      <w:b/>
      <w:sz w:val="28"/>
      <w:szCs w:val="32"/>
    </w:rPr>
  </w:style>
  <w:style w:type="paragraph" w:customStyle="1" w:styleId="TerritoryT">
    <w:name w:val="TerritoryT"/>
    <w:basedOn w:val="OPCParaBase"/>
    <w:next w:val="Normal"/>
    <w:rsid w:val="00DA0AD8"/>
    <w:rPr>
      <w:b/>
      <w:sz w:val="32"/>
    </w:rPr>
  </w:style>
  <w:style w:type="paragraph" w:customStyle="1" w:styleId="LegislationMadeUnder">
    <w:name w:val="LegislationMadeUnder"/>
    <w:basedOn w:val="OPCParaBase"/>
    <w:next w:val="Normal"/>
    <w:rsid w:val="00DA0AD8"/>
    <w:rPr>
      <w:i/>
      <w:sz w:val="32"/>
      <w:szCs w:val="32"/>
    </w:rPr>
  </w:style>
  <w:style w:type="paragraph" w:customStyle="1" w:styleId="ActHead10">
    <w:name w:val="ActHead 10"/>
    <w:aliases w:val="sp"/>
    <w:basedOn w:val="OPCParaBase"/>
    <w:next w:val="ActHead3"/>
    <w:rsid w:val="00DA0AD8"/>
    <w:pPr>
      <w:keepNext/>
      <w:spacing w:before="280" w:line="240" w:lineRule="auto"/>
      <w:outlineLvl w:val="1"/>
    </w:pPr>
    <w:rPr>
      <w:b/>
      <w:sz w:val="32"/>
      <w:szCs w:val="30"/>
    </w:rPr>
  </w:style>
  <w:style w:type="paragraph" w:customStyle="1" w:styleId="SignCoverPageEnd">
    <w:name w:val="SignCoverPageEnd"/>
    <w:basedOn w:val="OPCParaBase"/>
    <w:next w:val="Normal"/>
    <w:rsid w:val="00DA0AD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A0AD8"/>
    <w:pPr>
      <w:pBdr>
        <w:top w:val="single" w:sz="4" w:space="1" w:color="auto"/>
      </w:pBdr>
      <w:spacing w:before="360"/>
      <w:ind w:right="397"/>
      <w:jc w:val="both"/>
    </w:pPr>
  </w:style>
  <w:style w:type="paragraph" w:customStyle="1" w:styleId="NotesHeading2">
    <w:name w:val="NotesHeading 2"/>
    <w:basedOn w:val="OPCParaBase"/>
    <w:next w:val="Normal"/>
    <w:rsid w:val="00DA0AD8"/>
    <w:rPr>
      <w:b/>
      <w:sz w:val="28"/>
      <w:szCs w:val="28"/>
    </w:rPr>
  </w:style>
  <w:style w:type="paragraph" w:customStyle="1" w:styleId="NotesHeading1">
    <w:name w:val="NotesHeading 1"/>
    <w:basedOn w:val="OPCParaBase"/>
    <w:next w:val="Normal"/>
    <w:rsid w:val="00DA0AD8"/>
    <w:rPr>
      <w:b/>
      <w:sz w:val="28"/>
      <w:szCs w:val="28"/>
    </w:rPr>
  </w:style>
  <w:style w:type="paragraph" w:customStyle="1" w:styleId="CompiledActNo">
    <w:name w:val="CompiledActNo"/>
    <w:basedOn w:val="OPCParaBase"/>
    <w:next w:val="Normal"/>
    <w:rsid w:val="00DA0AD8"/>
    <w:rPr>
      <w:b/>
      <w:sz w:val="24"/>
      <w:szCs w:val="24"/>
    </w:rPr>
  </w:style>
  <w:style w:type="paragraph" w:customStyle="1" w:styleId="ENotesText">
    <w:name w:val="ENotesText"/>
    <w:aliases w:val="Ent"/>
    <w:basedOn w:val="OPCParaBase"/>
    <w:next w:val="Normal"/>
    <w:rsid w:val="00DA0AD8"/>
    <w:pPr>
      <w:spacing w:before="120"/>
    </w:pPr>
  </w:style>
  <w:style w:type="paragraph" w:customStyle="1" w:styleId="CompiledMadeUnder">
    <w:name w:val="CompiledMadeUnder"/>
    <w:basedOn w:val="OPCParaBase"/>
    <w:next w:val="Normal"/>
    <w:rsid w:val="00DA0AD8"/>
    <w:rPr>
      <w:i/>
      <w:sz w:val="24"/>
      <w:szCs w:val="24"/>
    </w:rPr>
  </w:style>
  <w:style w:type="paragraph" w:customStyle="1" w:styleId="Paragraphsub-sub-sub">
    <w:name w:val="Paragraph(sub-sub-sub)"/>
    <w:aliases w:val="aaaa"/>
    <w:basedOn w:val="OPCParaBase"/>
    <w:rsid w:val="00DA0AD8"/>
    <w:pPr>
      <w:tabs>
        <w:tab w:val="right" w:pos="3402"/>
      </w:tabs>
      <w:spacing w:before="40" w:line="240" w:lineRule="auto"/>
      <w:ind w:left="3402" w:hanging="3402"/>
    </w:pPr>
  </w:style>
  <w:style w:type="paragraph" w:customStyle="1" w:styleId="TableTextEndNotes">
    <w:name w:val="TableTextEndNotes"/>
    <w:aliases w:val="Tten"/>
    <w:basedOn w:val="Normal"/>
    <w:rsid w:val="00DA0AD8"/>
    <w:pPr>
      <w:spacing w:before="60" w:line="240" w:lineRule="auto"/>
    </w:pPr>
    <w:rPr>
      <w:rFonts w:cs="Arial"/>
      <w:sz w:val="20"/>
      <w:szCs w:val="22"/>
    </w:rPr>
  </w:style>
  <w:style w:type="paragraph" w:customStyle="1" w:styleId="NoteToSubpara">
    <w:name w:val="NoteToSubpara"/>
    <w:aliases w:val="nts"/>
    <w:basedOn w:val="OPCParaBase"/>
    <w:rsid w:val="00DA0AD8"/>
    <w:pPr>
      <w:spacing w:before="40" w:line="198" w:lineRule="exact"/>
      <w:ind w:left="2835" w:hanging="709"/>
    </w:pPr>
    <w:rPr>
      <w:sz w:val="18"/>
    </w:rPr>
  </w:style>
  <w:style w:type="paragraph" w:customStyle="1" w:styleId="ENoteTableHeading">
    <w:name w:val="ENoteTableHeading"/>
    <w:aliases w:val="enth"/>
    <w:basedOn w:val="OPCParaBase"/>
    <w:rsid w:val="00DA0AD8"/>
    <w:pPr>
      <w:keepNext/>
      <w:spacing w:before="60" w:line="240" w:lineRule="atLeast"/>
    </w:pPr>
    <w:rPr>
      <w:rFonts w:ascii="Arial" w:hAnsi="Arial"/>
      <w:b/>
      <w:sz w:val="16"/>
    </w:rPr>
  </w:style>
  <w:style w:type="paragraph" w:customStyle="1" w:styleId="ENoteTTi">
    <w:name w:val="ENoteTTi"/>
    <w:aliases w:val="entti"/>
    <w:basedOn w:val="OPCParaBase"/>
    <w:rsid w:val="00DA0AD8"/>
    <w:pPr>
      <w:keepNext/>
      <w:spacing w:before="60" w:line="240" w:lineRule="atLeast"/>
      <w:ind w:left="170"/>
    </w:pPr>
    <w:rPr>
      <w:sz w:val="16"/>
    </w:rPr>
  </w:style>
  <w:style w:type="paragraph" w:customStyle="1" w:styleId="ENotesHeading1">
    <w:name w:val="ENotesHeading 1"/>
    <w:aliases w:val="Enh1"/>
    <w:basedOn w:val="OPCParaBase"/>
    <w:next w:val="Normal"/>
    <w:rsid w:val="00DA0AD8"/>
    <w:pPr>
      <w:spacing w:before="120"/>
      <w:outlineLvl w:val="1"/>
    </w:pPr>
    <w:rPr>
      <w:b/>
      <w:sz w:val="28"/>
      <w:szCs w:val="28"/>
    </w:rPr>
  </w:style>
  <w:style w:type="paragraph" w:customStyle="1" w:styleId="ENotesHeading2">
    <w:name w:val="ENotesHeading 2"/>
    <w:aliases w:val="Enh2"/>
    <w:basedOn w:val="OPCParaBase"/>
    <w:next w:val="Normal"/>
    <w:rsid w:val="00DA0AD8"/>
    <w:pPr>
      <w:spacing w:before="120" w:after="120"/>
      <w:outlineLvl w:val="2"/>
    </w:pPr>
    <w:rPr>
      <w:b/>
      <w:sz w:val="24"/>
      <w:szCs w:val="28"/>
    </w:rPr>
  </w:style>
  <w:style w:type="paragraph" w:customStyle="1" w:styleId="ENotesHeading3">
    <w:name w:val="ENotesHeading 3"/>
    <w:aliases w:val="Enh3"/>
    <w:basedOn w:val="OPCParaBase"/>
    <w:next w:val="Normal"/>
    <w:rsid w:val="00DA0AD8"/>
    <w:pPr>
      <w:keepNext/>
      <w:spacing w:before="120" w:line="240" w:lineRule="auto"/>
      <w:outlineLvl w:val="4"/>
    </w:pPr>
    <w:rPr>
      <w:b/>
      <w:szCs w:val="24"/>
    </w:rPr>
  </w:style>
  <w:style w:type="paragraph" w:customStyle="1" w:styleId="ENoteTTIndentHeading">
    <w:name w:val="ENoteTTIndentHeading"/>
    <w:aliases w:val="enTTHi"/>
    <w:basedOn w:val="OPCParaBase"/>
    <w:rsid w:val="00DA0AD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A0AD8"/>
    <w:pPr>
      <w:spacing w:before="60" w:line="240" w:lineRule="atLeast"/>
    </w:pPr>
    <w:rPr>
      <w:sz w:val="16"/>
    </w:rPr>
  </w:style>
  <w:style w:type="paragraph" w:customStyle="1" w:styleId="MadeunderText">
    <w:name w:val="MadeunderText"/>
    <w:basedOn w:val="OPCParaBase"/>
    <w:next w:val="CompiledMadeUnder"/>
    <w:rsid w:val="00DA0AD8"/>
    <w:pPr>
      <w:spacing w:before="240"/>
    </w:pPr>
    <w:rPr>
      <w:sz w:val="24"/>
      <w:szCs w:val="24"/>
    </w:rPr>
  </w:style>
  <w:style w:type="paragraph" w:customStyle="1" w:styleId="SubPartCASA">
    <w:name w:val="SubPart(CASA)"/>
    <w:aliases w:val="csp"/>
    <w:basedOn w:val="OPCParaBase"/>
    <w:next w:val="ActHead3"/>
    <w:rsid w:val="00DA0AD8"/>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DA0AD8"/>
  </w:style>
  <w:style w:type="character" w:customStyle="1" w:styleId="CharSubPartNoCASA">
    <w:name w:val="CharSubPartNo(CASA)"/>
    <w:basedOn w:val="OPCCharBase"/>
    <w:uiPriority w:val="1"/>
    <w:rsid w:val="00DA0AD8"/>
  </w:style>
  <w:style w:type="paragraph" w:customStyle="1" w:styleId="ENoteTTIndentHeadingSub">
    <w:name w:val="ENoteTTIndentHeadingSub"/>
    <w:aliases w:val="enTTHis"/>
    <w:basedOn w:val="OPCParaBase"/>
    <w:rsid w:val="00DA0AD8"/>
    <w:pPr>
      <w:keepNext/>
      <w:spacing w:before="60" w:line="240" w:lineRule="atLeast"/>
      <w:ind w:left="340"/>
    </w:pPr>
    <w:rPr>
      <w:b/>
      <w:sz w:val="16"/>
    </w:rPr>
  </w:style>
  <w:style w:type="paragraph" w:customStyle="1" w:styleId="ENoteTTiSub">
    <w:name w:val="ENoteTTiSub"/>
    <w:aliases w:val="enttis"/>
    <w:basedOn w:val="OPCParaBase"/>
    <w:rsid w:val="00DA0AD8"/>
    <w:pPr>
      <w:keepNext/>
      <w:spacing w:before="60" w:line="240" w:lineRule="atLeast"/>
      <w:ind w:left="340"/>
    </w:pPr>
    <w:rPr>
      <w:sz w:val="16"/>
    </w:rPr>
  </w:style>
  <w:style w:type="paragraph" w:customStyle="1" w:styleId="SubDivisionMigration">
    <w:name w:val="SubDivisionMigration"/>
    <w:aliases w:val="sdm"/>
    <w:basedOn w:val="OPCParaBase"/>
    <w:rsid w:val="00DA0AD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A0AD8"/>
    <w:pPr>
      <w:keepNext/>
      <w:keepLines/>
      <w:spacing w:before="240" w:line="240" w:lineRule="auto"/>
      <w:ind w:left="1134" w:hanging="1134"/>
    </w:pPr>
    <w:rPr>
      <w:b/>
      <w:sz w:val="28"/>
    </w:rPr>
  </w:style>
  <w:style w:type="paragraph" w:customStyle="1" w:styleId="notetext">
    <w:name w:val="note(text)"/>
    <w:aliases w:val="n"/>
    <w:basedOn w:val="OPCParaBase"/>
    <w:rsid w:val="00DA0AD8"/>
    <w:pPr>
      <w:spacing w:before="122" w:line="240" w:lineRule="auto"/>
      <w:ind w:left="1985" w:hanging="851"/>
    </w:pPr>
    <w:rPr>
      <w:sz w:val="18"/>
    </w:rPr>
  </w:style>
  <w:style w:type="paragraph" w:customStyle="1" w:styleId="FreeForm">
    <w:name w:val="FreeForm"/>
    <w:rsid w:val="00DA0AD8"/>
    <w:rPr>
      <w:rFonts w:ascii="Arial" w:eastAsiaTheme="minorHAnsi" w:hAnsi="Arial" w:cstheme="minorBidi"/>
      <w:sz w:val="22"/>
      <w:lang w:eastAsia="en-US"/>
    </w:rPr>
  </w:style>
  <w:style w:type="paragraph" w:customStyle="1" w:styleId="SOText">
    <w:name w:val="SO Text"/>
    <w:aliases w:val="sot"/>
    <w:link w:val="SOTextChar"/>
    <w:rsid w:val="00DA0AD8"/>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DA0AD8"/>
    <w:rPr>
      <w:rFonts w:eastAsiaTheme="minorHAnsi" w:cstheme="minorBidi"/>
      <w:sz w:val="22"/>
      <w:lang w:eastAsia="en-US"/>
    </w:rPr>
  </w:style>
  <w:style w:type="paragraph" w:customStyle="1" w:styleId="SOTextNote">
    <w:name w:val="SO TextNote"/>
    <w:aliases w:val="sont"/>
    <w:basedOn w:val="SOText"/>
    <w:qFormat/>
    <w:rsid w:val="00DA0AD8"/>
    <w:pPr>
      <w:spacing w:before="122" w:line="198" w:lineRule="exact"/>
      <w:ind w:left="1843" w:hanging="709"/>
    </w:pPr>
    <w:rPr>
      <w:sz w:val="18"/>
    </w:rPr>
  </w:style>
  <w:style w:type="paragraph" w:customStyle="1" w:styleId="SOPara">
    <w:name w:val="SO Para"/>
    <w:aliases w:val="soa"/>
    <w:basedOn w:val="SOText"/>
    <w:link w:val="SOParaChar"/>
    <w:qFormat/>
    <w:rsid w:val="00DA0AD8"/>
    <w:pPr>
      <w:tabs>
        <w:tab w:val="right" w:pos="1786"/>
      </w:tabs>
      <w:spacing w:before="40"/>
      <w:ind w:left="2070" w:hanging="936"/>
    </w:pPr>
  </w:style>
  <w:style w:type="character" w:customStyle="1" w:styleId="SOParaChar">
    <w:name w:val="SO Para Char"/>
    <w:aliases w:val="soa Char"/>
    <w:basedOn w:val="DefaultParagraphFont"/>
    <w:link w:val="SOPara"/>
    <w:rsid w:val="00DA0AD8"/>
    <w:rPr>
      <w:rFonts w:eastAsiaTheme="minorHAnsi" w:cstheme="minorBidi"/>
      <w:sz w:val="22"/>
      <w:lang w:eastAsia="en-US"/>
    </w:rPr>
  </w:style>
  <w:style w:type="paragraph" w:customStyle="1" w:styleId="FileName">
    <w:name w:val="FileName"/>
    <w:basedOn w:val="Normal"/>
    <w:rsid w:val="00DA0AD8"/>
  </w:style>
  <w:style w:type="paragraph" w:customStyle="1" w:styleId="TableHeading">
    <w:name w:val="TableHeading"/>
    <w:aliases w:val="th"/>
    <w:basedOn w:val="OPCParaBase"/>
    <w:next w:val="Tabletext"/>
    <w:rsid w:val="00DA0AD8"/>
    <w:pPr>
      <w:keepNext/>
      <w:spacing w:before="60" w:line="240" w:lineRule="atLeast"/>
    </w:pPr>
    <w:rPr>
      <w:b/>
      <w:sz w:val="20"/>
    </w:rPr>
  </w:style>
  <w:style w:type="paragraph" w:customStyle="1" w:styleId="SOHeadBold">
    <w:name w:val="SO HeadBold"/>
    <w:aliases w:val="sohb"/>
    <w:basedOn w:val="SOText"/>
    <w:next w:val="SOText"/>
    <w:link w:val="SOHeadBoldChar"/>
    <w:qFormat/>
    <w:rsid w:val="00DA0AD8"/>
    <w:rPr>
      <w:b/>
    </w:rPr>
  </w:style>
  <w:style w:type="character" w:customStyle="1" w:styleId="SOHeadBoldChar">
    <w:name w:val="SO HeadBold Char"/>
    <w:aliases w:val="sohb Char"/>
    <w:basedOn w:val="DefaultParagraphFont"/>
    <w:link w:val="SOHeadBold"/>
    <w:rsid w:val="00DA0AD8"/>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DA0AD8"/>
    <w:rPr>
      <w:i/>
    </w:rPr>
  </w:style>
  <w:style w:type="character" w:customStyle="1" w:styleId="SOHeadItalicChar">
    <w:name w:val="SO HeadItalic Char"/>
    <w:aliases w:val="sohi Char"/>
    <w:basedOn w:val="DefaultParagraphFont"/>
    <w:link w:val="SOHeadItalic"/>
    <w:rsid w:val="00DA0AD8"/>
    <w:rPr>
      <w:rFonts w:eastAsiaTheme="minorHAnsi" w:cstheme="minorBidi"/>
      <w:i/>
      <w:sz w:val="22"/>
      <w:lang w:eastAsia="en-US"/>
    </w:rPr>
  </w:style>
  <w:style w:type="paragraph" w:customStyle="1" w:styleId="SOBullet">
    <w:name w:val="SO Bullet"/>
    <w:aliases w:val="sotb"/>
    <w:basedOn w:val="SOText"/>
    <w:link w:val="SOBulletChar"/>
    <w:qFormat/>
    <w:rsid w:val="00DA0AD8"/>
    <w:pPr>
      <w:ind w:left="1559" w:hanging="425"/>
    </w:pPr>
  </w:style>
  <w:style w:type="character" w:customStyle="1" w:styleId="SOBulletChar">
    <w:name w:val="SO Bullet Char"/>
    <w:aliases w:val="sotb Char"/>
    <w:basedOn w:val="DefaultParagraphFont"/>
    <w:link w:val="SOBullet"/>
    <w:rsid w:val="00DA0AD8"/>
    <w:rPr>
      <w:rFonts w:eastAsiaTheme="minorHAnsi" w:cstheme="minorBidi"/>
      <w:sz w:val="22"/>
      <w:lang w:eastAsia="en-US"/>
    </w:rPr>
  </w:style>
  <w:style w:type="paragraph" w:customStyle="1" w:styleId="SOBulletNote">
    <w:name w:val="SO BulletNote"/>
    <w:aliases w:val="sonb"/>
    <w:basedOn w:val="SOTextNote"/>
    <w:link w:val="SOBulletNoteChar"/>
    <w:qFormat/>
    <w:rsid w:val="00DA0AD8"/>
    <w:pPr>
      <w:tabs>
        <w:tab w:val="left" w:pos="1560"/>
      </w:tabs>
      <w:ind w:left="2268" w:hanging="1134"/>
    </w:pPr>
  </w:style>
  <w:style w:type="character" w:customStyle="1" w:styleId="SOBulletNoteChar">
    <w:name w:val="SO BulletNote Char"/>
    <w:aliases w:val="sonb Char"/>
    <w:basedOn w:val="DefaultParagraphFont"/>
    <w:link w:val="SOBulletNote"/>
    <w:rsid w:val="00DA0AD8"/>
    <w:rPr>
      <w:rFonts w:eastAsiaTheme="minorHAnsi" w:cstheme="minorBidi"/>
      <w:sz w:val="18"/>
      <w:lang w:eastAsia="en-US"/>
    </w:rPr>
  </w:style>
  <w:style w:type="paragraph" w:styleId="Revision">
    <w:name w:val="Revision"/>
    <w:hidden/>
    <w:uiPriority w:val="99"/>
    <w:semiHidden/>
    <w:rsid w:val="0028386A"/>
    <w:rPr>
      <w:rFonts w:eastAsia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footer" Target="footer15.xml"/><Relationship Id="rId47" Type="http://schemas.openxmlformats.org/officeDocument/2006/relationships/footer" Target="footer1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46"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header" Target="header16.xml"/><Relationship Id="rId45" Type="http://schemas.openxmlformats.org/officeDocument/2006/relationships/header" Target="header1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49"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oter" Target="footer16.xml"/><Relationship Id="rId48"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BF30A-CF49-4E9E-A60F-1FDBC134D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42</Pages>
  <Words>7201</Words>
  <Characters>38237</Characters>
  <Application>Microsoft Office Word</Application>
  <DocSecurity>0</DocSecurity>
  <PresentationFormat/>
  <Lines>318</Lines>
  <Paragraphs>90</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45348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Regulations 2001</dc:title>
  <dc:subject/>
  <dc:creator/>
  <cp:keywords/>
  <dc:description/>
  <cp:lastModifiedBy/>
  <cp:revision>1</cp:revision>
  <cp:lastPrinted>2015-09-03T00:30:00Z</cp:lastPrinted>
  <dcterms:created xsi:type="dcterms:W3CDTF">2015-09-04T01:56:00Z</dcterms:created>
  <dcterms:modified xsi:type="dcterms:W3CDTF">2015-09-04T02:28:00Z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 </vt:lpwstr>
  </property>
  <property fmtid="{D5CDD505-2E9C-101B-9397-08002B2CF9AE}" pid="4" name="DLM">
    <vt:lpwstr> </vt:lpwstr>
  </property>
  <property fmtid="{D5CDD505-2E9C-101B-9397-08002B2CF9AE}" pid="5" name="ShortT">
    <vt:lpwstr>Telecommunications Regulations 2001</vt:lpwstr>
  </property>
  <property fmtid="{D5CDD505-2E9C-101B-9397-08002B2CF9AE}" pid="6" name="Compilation">
    <vt:lpwstr>Yes</vt:lpwstr>
  </property>
  <property fmtid="{D5CDD505-2E9C-101B-9397-08002B2CF9AE}" pid="7" name="Type">
    <vt:lpwstr>SLI</vt:lpwstr>
  </property>
  <property fmtid="{D5CDD505-2E9C-101B-9397-08002B2CF9AE}" pid="8" name="DocType">
    <vt:lpwstr>NEW</vt:lpwstr>
  </property>
  <property fmtid="{D5CDD505-2E9C-101B-9397-08002B2CF9AE}" pid="9" name="ActNo">
    <vt:lpwstr/>
  </property>
  <property fmtid="{D5CDD505-2E9C-101B-9397-08002B2CF9AE}" pid="10" name="Header">
    <vt:lpwstr>Regulation</vt:lpwstr>
  </property>
  <property fmtid="{D5CDD505-2E9C-101B-9397-08002B2CF9AE}" pid="11" name="Class">
    <vt:lpwstr/>
  </property>
  <property fmtid="{D5CDD505-2E9C-101B-9397-08002B2CF9AE}" pid="12" name="DateMade">
    <vt:lpwstr> </vt:lpwstr>
  </property>
  <property fmtid="{D5CDD505-2E9C-101B-9397-08002B2CF9AE}" pid="13" name="EXCO">
    <vt:lpwstr> </vt:lpwstr>
  </property>
  <property fmtid="{D5CDD505-2E9C-101B-9397-08002B2CF9AE}" pid="14" name="Authority">
    <vt:lpwstr> </vt:lpwstr>
  </property>
  <property fmtid="{D5CDD505-2E9C-101B-9397-08002B2CF9AE}" pid="15" name="CompilationVersion">
    <vt:i4>2</vt:i4>
  </property>
  <property fmtid="{D5CDD505-2E9C-101B-9397-08002B2CF9AE}" pid="16" name="CompilationNumber">
    <vt:lpwstr>14</vt:lpwstr>
  </property>
  <property fmtid="{D5CDD505-2E9C-101B-9397-08002B2CF9AE}" pid="17" name="StartDate">
    <vt:filetime>2015-08-20T14:00:00Z</vt:filetime>
  </property>
  <property fmtid="{D5CDD505-2E9C-101B-9397-08002B2CF9AE}" pid="18" name="PreparedDate">
    <vt:filetime>2015-08-30T14:00:00Z</vt:filetime>
  </property>
  <property fmtid="{D5CDD505-2E9C-101B-9397-08002B2CF9AE}" pid="19" name="RegisteredDate">
    <vt:filetime>2015-09-03T14:00:00Z</vt:filetime>
  </property>
  <property fmtid="{D5CDD505-2E9C-101B-9397-08002B2CF9AE}" pid="20" name="DoNotAsk">
    <vt:lpwstr>0</vt:lpwstr>
  </property>
  <property fmtid="{D5CDD505-2E9C-101B-9397-08002B2CF9AE}" pid="21" name="ChangedTitle">
    <vt:lpwstr/>
  </property>
</Properties>
</file>