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1CC8" w:rsidRPr="004E278C" w:rsidRDefault="00971CC8" w:rsidP="00D172BC">
      <w:r w:rsidRPr="004E278C">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7" o:title=""/>
          </v:shape>
          <o:OLEObject Type="Embed" ProgID="Word.Picture.8" ShapeID="_x0000_i1025" DrawAspect="Content" ObjectID="_1685882069" r:id="rId8"/>
        </w:object>
      </w:r>
    </w:p>
    <w:p w:rsidR="00971CC8" w:rsidRPr="004E278C" w:rsidRDefault="00971CC8" w:rsidP="00D172BC">
      <w:pPr>
        <w:pStyle w:val="ShortT"/>
        <w:spacing w:before="240"/>
      </w:pPr>
      <w:r w:rsidRPr="004E278C">
        <w:t xml:space="preserve">Fisheries Research and Development Corporation </w:t>
      </w:r>
      <w:r w:rsidR="00994A83">
        <w:t>Regulations 1</w:t>
      </w:r>
      <w:r w:rsidRPr="004E278C">
        <w:t>991</w:t>
      </w:r>
      <w:bookmarkStart w:id="0" w:name="opcCurrentPosition"/>
      <w:bookmarkEnd w:id="0"/>
    </w:p>
    <w:p w:rsidR="00971CC8" w:rsidRPr="004E278C" w:rsidRDefault="00971CC8" w:rsidP="00D172BC">
      <w:pPr>
        <w:pStyle w:val="CompiledActNo"/>
        <w:spacing w:before="240"/>
      </w:pPr>
      <w:r w:rsidRPr="004E278C">
        <w:t>Statutory Rules No.</w:t>
      </w:r>
      <w:r w:rsidR="004E278C">
        <w:t> </w:t>
      </w:r>
      <w:r w:rsidRPr="004E278C">
        <w:t>91, 1991</w:t>
      </w:r>
    </w:p>
    <w:p w:rsidR="00971CC8" w:rsidRPr="004E278C" w:rsidRDefault="00971CC8" w:rsidP="00971CC8">
      <w:pPr>
        <w:pStyle w:val="MadeunderText"/>
      </w:pPr>
      <w:r w:rsidRPr="004E278C">
        <w:t>made under the</w:t>
      </w:r>
    </w:p>
    <w:p w:rsidR="00971CC8" w:rsidRPr="004E278C" w:rsidRDefault="00971CC8" w:rsidP="00971CC8">
      <w:pPr>
        <w:pStyle w:val="CompiledMadeUnder"/>
        <w:spacing w:before="240"/>
      </w:pPr>
      <w:r w:rsidRPr="004E278C">
        <w:t>Primary Industries Research and Development Act 1989</w:t>
      </w:r>
    </w:p>
    <w:p w:rsidR="00971CC8" w:rsidRPr="004E278C" w:rsidRDefault="00971CC8" w:rsidP="00D172BC">
      <w:pPr>
        <w:spacing w:before="1000"/>
        <w:rPr>
          <w:rFonts w:cs="Arial"/>
          <w:b/>
          <w:sz w:val="32"/>
          <w:szCs w:val="32"/>
        </w:rPr>
      </w:pPr>
      <w:r w:rsidRPr="004E278C">
        <w:rPr>
          <w:rFonts w:cs="Arial"/>
          <w:b/>
          <w:sz w:val="32"/>
          <w:szCs w:val="32"/>
        </w:rPr>
        <w:t>Compilation No.</w:t>
      </w:r>
      <w:r w:rsidR="004E278C">
        <w:rPr>
          <w:rFonts w:cs="Arial"/>
          <w:b/>
          <w:sz w:val="32"/>
          <w:szCs w:val="32"/>
        </w:rPr>
        <w:t> </w:t>
      </w:r>
      <w:r w:rsidRPr="004E278C">
        <w:rPr>
          <w:rFonts w:cs="Arial"/>
          <w:b/>
          <w:sz w:val="32"/>
          <w:szCs w:val="32"/>
        </w:rPr>
        <w:fldChar w:fldCharType="begin"/>
      </w:r>
      <w:r w:rsidRPr="004E278C">
        <w:rPr>
          <w:rFonts w:cs="Arial"/>
          <w:b/>
          <w:sz w:val="32"/>
          <w:szCs w:val="32"/>
        </w:rPr>
        <w:instrText xml:space="preserve"> DOCPROPERTY  CompilationNumber </w:instrText>
      </w:r>
      <w:r w:rsidRPr="004E278C">
        <w:rPr>
          <w:rFonts w:cs="Arial"/>
          <w:b/>
          <w:sz w:val="32"/>
          <w:szCs w:val="32"/>
        </w:rPr>
        <w:fldChar w:fldCharType="separate"/>
      </w:r>
      <w:r w:rsidR="009F7D66">
        <w:rPr>
          <w:rFonts w:cs="Arial"/>
          <w:b/>
          <w:sz w:val="32"/>
          <w:szCs w:val="32"/>
        </w:rPr>
        <w:t>23</w:t>
      </w:r>
      <w:r w:rsidRPr="004E278C">
        <w:rPr>
          <w:rFonts w:cs="Arial"/>
          <w:b/>
          <w:sz w:val="32"/>
          <w:szCs w:val="32"/>
        </w:rPr>
        <w:fldChar w:fldCharType="end"/>
      </w:r>
    </w:p>
    <w:p w:rsidR="00971CC8" w:rsidRPr="004E278C" w:rsidRDefault="00C863A2" w:rsidP="00B814BC">
      <w:pPr>
        <w:tabs>
          <w:tab w:val="left" w:pos="3600"/>
        </w:tabs>
        <w:spacing w:before="480"/>
        <w:rPr>
          <w:rFonts w:cs="Arial"/>
          <w:sz w:val="24"/>
        </w:rPr>
      </w:pPr>
      <w:r w:rsidRPr="004E278C">
        <w:rPr>
          <w:rFonts w:cs="Arial"/>
          <w:b/>
          <w:sz w:val="24"/>
        </w:rPr>
        <w:t>Compilation date:</w:t>
      </w:r>
      <w:r w:rsidR="00B814BC">
        <w:rPr>
          <w:rFonts w:cs="Arial"/>
          <w:b/>
          <w:sz w:val="24"/>
        </w:rPr>
        <w:tab/>
      </w:r>
      <w:r w:rsidR="00971CC8" w:rsidRPr="009F7D66">
        <w:rPr>
          <w:rFonts w:cs="Arial"/>
          <w:sz w:val="24"/>
        </w:rPr>
        <w:fldChar w:fldCharType="begin"/>
      </w:r>
      <w:r w:rsidR="00B814BC" w:rsidRPr="009F7D66">
        <w:rPr>
          <w:rFonts w:cs="Arial"/>
          <w:sz w:val="24"/>
        </w:rPr>
        <w:instrText>DOCPROPERTY StartDate \@ "d MMMM yyyy" \* MERGEFORMAT</w:instrText>
      </w:r>
      <w:r w:rsidR="00971CC8" w:rsidRPr="009F7D66">
        <w:rPr>
          <w:rFonts w:cs="Arial"/>
          <w:sz w:val="24"/>
        </w:rPr>
        <w:fldChar w:fldCharType="separate"/>
      </w:r>
      <w:r w:rsidR="00994A83">
        <w:rPr>
          <w:rFonts w:cs="Arial"/>
          <w:bCs/>
          <w:sz w:val="24"/>
        </w:rPr>
        <w:t>16 June</w:t>
      </w:r>
      <w:r w:rsidR="009F7D66" w:rsidRPr="009F7D66">
        <w:rPr>
          <w:rFonts w:cs="Arial"/>
          <w:sz w:val="24"/>
        </w:rPr>
        <w:t xml:space="preserve"> 2021</w:t>
      </w:r>
      <w:r w:rsidR="00971CC8" w:rsidRPr="009F7D66">
        <w:rPr>
          <w:rFonts w:cs="Arial"/>
          <w:sz w:val="24"/>
        </w:rPr>
        <w:fldChar w:fldCharType="end"/>
      </w:r>
    </w:p>
    <w:p w:rsidR="00971CC8" w:rsidRPr="004E278C" w:rsidRDefault="00971CC8" w:rsidP="00D172BC">
      <w:pPr>
        <w:spacing w:before="240"/>
        <w:rPr>
          <w:rFonts w:cs="Arial"/>
          <w:sz w:val="24"/>
        </w:rPr>
      </w:pPr>
      <w:r w:rsidRPr="004E278C">
        <w:rPr>
          <w:rFonts w:cs="Arial"/>
          <w:b/>
          <w:sz w:val="24"/>
        </w:rPr>
        <w:t>Includes amendments up to:</w:t>
      </w:r>
      <w:r w:rsidRPr="004E278C">
        <w:rPr>
          <w:rFonts w:cs="Arial"/>
          <w:b/>
          <w:sz w:val="24"/>
        </w:rPr>
        <w:tab/>
      </w:r>
      <w:r w:rsidRPr="009F7D66">
        <w:rPr>
          <w:rFonts w:cs="Arial"/>
          <w:sz w:val="24"/>
        </w:rPr>
        <w:fldChar w:fldCharType="begin"/>
      </w:r>
      <w:r w:rsidRPr="009F7D66">
        <w:rPr>
          <w:rFonts w:cs="Arial"/>
          <w:sz w:val="24"/>
        </w:rPr>
        <w:instrText xml:space="preserve"> DOCPROPERTY IncludesUpTo </w:instrText>
      </w:r>
      <w:r w:rsidRPr="009F7D66">
        <w:rPr>
          <w:rFonts w:cs="Arial"/>
          <w:sz w:val="24"/>
        </w:rPr>
        <w:fldChar w:fldCharType="separate"/>
      </w:r>
      <w:r w:rsidR="009F7D66" w:rsidRPr="009F7D66">
        <w:rPr>
          <w:rFonts w:cs="Arial"/>
          <w:sz w:val="24"/>
        </w:rPr>
        <w:t>F2021L00756</w:t>
      </w:r>
      <w:r w:rsidRPr="009F7D66">
        <w:rPr>
          <w:rFonts w:cs="Arial"/>
          <w:sz w:val="24"/>
        </w:rPr>
        <w:fldChar w:fldCharType="end"/>
      </w:r>
    </w:p>
    <w:p w:rsidR="00971CC8" w:rsidRPr="004E278C" w:rsidRDefault="00971CC8" w:rsidP="00B814BC">
      <w:pPr>
        <w:tabs>
          <w:tab w:val="left" w:pos="3600"/>
        </w:tabs>
        <w:spacing w:before="240" w:after="240"/>
        <w:rPr>
          <w:rFonts w:cs="Arial"/>
          <w:sz w:val="28"/>
          <w:szCs w:val="28"/>
        </w:rPr>
      </w:pPr>
      <w:r w:rsidRPr="004E278C">
        <w:rPr>
          <w:rFonts w:cs="Arial"/>
          <w:b/>
          <w:sz w:val="24"/>
        </w:rPr>
        <w:t>Registered:</w:t>
      </w:r>
      <w:r w:rsidR="00B814BC">
        <w:rPr>
          <w:rFonts w:cs="Arial"/>
          <w:b/>
          <w:sz w:val="24"/>
        </w:rPr>
        <w:tab/>
      </w:r>
      <w:r w:rsidRPr="009F7D66">
        <w:rPr>
          <w:rFonts w:cs="Arial"/>
          <w:sz w:val="24"/>
        </w:rPr>
        <w:fldChar w:fldCharType="begin"/>
      </w:r>
      <w:r w:rsidRPr="009F7D66">
        <w:rPr>
          <w:rFonts w:cs="Arial"/>
          <w:sz w:val="24"/>
        </w:rPr>
        <w:instrText xml:space="preserve"> IF </w:instrText>
      </w:r>
      <w:r w:rsidRPr="009F7D66">
        <w:rPr>
          <w:rFonts w:cs="Arial"/>
          <w:sz w:val="24"/>
        </w:rPr>
        <w:fldChar w:fldCharType="begin"/>
      </w:r>
      <w:r w:rsidRPr="009F7D66">
        <w:rPr>
          <w:rFonts w:cs="Arial"/>
          <w:sz w:val="24"/>
        </w:rPr>
        <w:instrText xml:space="preserve"> DOCPROPERTY RegisteredDate </w:instrText>
      </w:r>
      <w:r w:rsidRPr="009F7D66">
        <w:rPr>
          <w:rFonts w:cs="Arial"/>
          <w:sz w:val="24"/>
        </w:rPr>
        <w:fldChar w:fldCharType="separate"/>
      </w:r>
      <w:r w:rsidR="009F7D66" w:rsidRPr="009F7D66">
        <w:rPr>
          <w:rFonts w:cs="Arial"/>
          <w:sz w:val="24"/>
        </w:rPr>
        <w:instrText>22/06/2021</w:instrText>
      </w:r>
      <w:r w:rsidRPr="009F7D66">
        <w:rPr>
          <w:rFonts w:cs="Arial"/>
          <w:sz w:val="24"/>
        </w:rPr>
        <w:fldChar w:fldCharType="end"/>
      </w:r>
      <w:r w:rsidRPr="009F7D66">
        <w:rPr>
          <w:rFonts w:cs="Arial"/>
          <w:sz w:val="24"/>
        </w:rPr>
        <w:instrText xml:space="preserve"> = #1/1/1901# "Unknown" </w:instrText>
      </w:r>
      <w:r w:rsidRPr="009F7D66">
        <w:rPr>
          <w:rFonts w:cs="Arial"/>
          <w:sz w:val="24"/>
        </w:rPr>
        <w:fldChar w:fldCharType="begin"/>
      </w:r>
      <w:r w:rsidRPr="009F7D66">
        <w:rPr>
          <w:rFonts w:cs="Arial"/>
          <w:sz w:val="24"/>
        </w:rPr>
        <w:instrText xml:space="preserve"> DOCPROPERTY RegisteredDate \@ "d MMMM yyyy" </w:instrText>
      </w:r>
      <w:r w:rsidRPr="009F7D66">
        <w:rPr>
          <w:rFonts w:cs="Arial"/>
          <w:sz w:val="24"/>
        </w:rPr>
        <w:fldChar w:fldCharType="separate"/>
      </w:r>
      <w:r w:rsidR="009F7D66" w:rsidRPr="009F7D66">
        <w:rPr>
          <w:rFonts w:cs="Arial"/>
          <w:sz w:val="24"/>
        </w:rPr>
        <w:instrText>22 June 2021</w:instrText>
      </w:r>
      <w:r w:rsidRPr="009F7D66">
        <w:rPr>
          <w:rFonts w:cs="Arial"/>
          <w:sz w:val="24"/>
        </w:rPr>
        <w:fldChar w:fldCharType="end"/>
      </w:r>
      <w:r w:rsidRPr="009F7D66">
        <w:rPr>
          <w:rFonts w:cs="Arial"/>
          <w:sz w:val="24"/>
        </w:rPr>
        <w:instrText xml:space="preserve"> \*MERGEFORMAT </w:instrText>
      </w:r>
      <w:r w:rsidRPr="009F7D66">
        <w:rPr>
          <w:rFonts w:cs="Arial"/>
          <w:sz w:val="24"/>
        </w:rPr>
        <w:fldChar w:fldCharType="separate"/>
      </w:r>
      <w:r w:rsidR="00994A83">
        <w:rPr>
          <w:rFonts w:cs="Arial"/>
          <w:noProof/>
          <w:sz w:val="24"/>
        </w:rPr>
        <w:t>22 June</w:t>
      </w:r>
      <w:r w:rsidR="009F7D66" w:rsidRPr="009F7D66">
        <w:rPr>
          <w:rFonts w:cs="Arial"/>
          <w:noProof/>
          <w:sz w:val="24"/>
        </w:rPr>
        <w:t xml:space="preserve"> 2021</w:t>
      </w:r>
      <w:r w:rsidRPr="009F7D66">
        <w:rPr>
          <w:rFonts w:cs="Arial"/>
          <w:sz w:val="24"/>
        </w:rPr>
        <w:fldChar w:fldCharType="end"/>
      </w:r>
    </w:p>
    <w:p w:rsidR="00971CC8" w:rsidRPr="004E278C" w:rsidRDefault="00971CC8" w:rsidP="00D172BC">
      <w:pPr>
        <w:pageBreakBefore/>
        <w:rPr>
          <w:rFonts w:cs="Arial"/>
          <w:b/>
          <w:sz w:val="32"/>
          <w:szCs w:val="32"/>
        </w:rPr>
      </w:pPr>
      <w:r w:rsidRPr="004E278C">
        <w:rPr>
          <w:rFonts w:cs="Arial"/>
          <w:b/>
          <w:sz w:val="32"/>
          <w:szCs w:val="32"/>
        </w:rPr>
        <w:lastRenderedPageBreak/>
        <w:t>About this compilation</w:t>
      </w:r>
    </w:p>
    <w:p w:rsidR="00971CC8" w:rsidRPr="004E278C" w:rsidRDefault="00971CC8" w:rsidP="00D172BC">
      <w:pPr>
        <w:spacing w:before="240"/>
        <w:rPr>
          <w:rFonts w:cs="Arial"/>
        </w:rPr>
      </w:pPr>
      <w:r w:rsidRPr="004E278C">
        <w:rPr>
          <w:rFonts w:cs="Arial"/>
          <w:b/>
          <w:szCs w:val="22"/>
        </w:rPr>
        <w:t>This compilation</w:t>
      </w:r>
    </w:p>
    <w:p w:rsidR="00971CC8" w:rsidRPr="004E278C" w:rsidRDefault="00971CC8" w:rsidP="00D172BC">
      <w:pPr>
        <w:spacing w:before="120" w:after="120"/>
        <w:rPr>
          <w:rFonts w:cs="Arial"/>
          <w:szCs w:val="22"/>
        </w:rPr>
      </w:pPr>
      <w:r w:rsidRPr="004E278C">
        <w:rPr>
          <w:rFonts w:cs="Arial"/>
          <w:szCs w:val="22"/>
        </w:rPr>
        <w:t xml:space="preserve">This is a compilation of the </w:t>
      </w:r>
      <w:r w:rsidRPr="004E278C">
        <w:rPr>
          <w:rFonts w:cs="Arial"/>
          <w:i/>
          <w:szCs w:val="22"/>
        </w:rPr>
        <w:fldChar w:fldCharType="begin"/>
      </w:r>
      <w:r w:rsidRPr="004E278C">
        <w:rPr>
          <w:rFonts w:cs="Arial"/>
          <w:i/>
          <w:szCs w:val="22"/>
        </w:rPr>
        <w:instrText xml:space="preserve"> STYLEREF  ShortT </w:instrText>
      </w:r>
      <w:r w:rsidRPr="004E278C">
        <w:rPr>
          <w:rFonts w:cs="Arial"/>
          <w:i/>
          <w:szCs w:val="22"/>
        </w:rPr>
        <w:fldChar w:fldCharType="separate"/>
      </w:r>
      <w:r w:rsidR="00994A83">
        <w:rPr>
          <w:rFonts w:cs="Arial"/>
          <w:i/>
          <w:noProof/>
          <w:szCs w:val="22"/>
        </w:rPr>
        <w:t>Fisheries Research and Development Corporation Regulations 1991</w:t>
      </w:r>
      <w:r w:rsidRPr="004E278C">
        <w:rPr>
          <w:rFonts w:cs="Arial"/>
          <w:i/>
          <w:szCs w:val="22"/>
        </w:rPr>
        <w:fldChar w:fldCharType="end"/>
      </w:r>
      <w:r w:rsidRPr="004E278C">
        <w:rPr>
          <w:rFonts w:cs="Arial"/>
          <w:szCs w:val="22"/>
        </w:rPr>
        <w:t xml:space="preserve"> that shows the text of the law as amended and in force on </w:t>
      </w:r>
      <w:r w:rsidRPr="009F7D66">
        <w:rPr>
          <w:rFonts w:cs="Arial"/>
          <w:szCs w:val="22"/>
        </w:rPr>
        <w:fldChar w:fldCharType="begin"/>
      </w:r>
      <w:r w:rsidR="00B814BC" w:rsidRPr="009F7D66">
        <w:rPr>
          <w:rFonts w:cs="Arial"/>
          <w:szCs w:val="22"/>
        </w:rPr>
        <w:instrText>DOCPROPERTY StartDate \@ "d MMMM yyyy" \* MERGEFORMAT</w:instrText>
      </w:r>
      <w:r w:rsidRPr="009F7D66">
        <w:rPr>
          <w:rFonts w:cs="Arial"/>
          <w:szCs w:val="22"/>
        </w:rPr>
        <w:fldChar w:fldCharType="separate"/>
      </w:r>
      <w:r w:rsidR="00994A83">
        <w:rPr>
          <w:rFonts w:cs="Arial"/>
          <w:szCs w:val="22"/>
        </w:rPr>
        <w:t>16 June</w:t>
      </w:r>
      <w:r w:rsidR="009F7D66" w:rsidRPr="009F7D66">
        <w:rPr>
          <w:rFonts w:cs="Arial"/>
          <w:szCs w:val="22"/>
        </w:rPr>
        <w:t xml:space="preserve"> 2021</w:t>
      </w:r>
      <w:r w:rsidRPr="009F7D66">
        <w:rPr>
          <w:rFonts w:cs="Arial"/>
          <w:szCs w:val="22"/>
        </w:rPr>
        <w:fldChar w:fldCharType="end"/>
      </w:r>
      <w:r w:rsidRPr="004E278C">
        <w:rPr>
          <w:rFonts w:cs="Arial"/>
          <w:szCs w:val="22"/>
        </w:rPr>
        <w:t xml:space="preserve"> (the </w:t>
      </w:r>
      <w:r w:rsidRPr="004E278C">
        <w:rPr>
          <w:rFonts w:cs="Arial"/>
          <w:b/>
          <w:i/>
          <w:szCs w:val="22"/>
        </w:rPr>
        <w:t>compilation date</w:t>
      </w:r>
      <w:r w:rsidRPr="004E278C">
        <w:rPr>
          <w:rFonts w:cs="Arial"/>
          <w:szCs w:val="22"/>
        </w:rPr>
        <w:t>).</w:t>
      </w:r>
    </w:p>
    <w:p w:rsidR="00971CC8" w:rsidRPr="004E278C" w:rsidRDefault="00971CC8" w:rsidP="00D172BC">
      <w:pPr>
        <w:spacing w:after="120"/>
        <w:rPr>
          <w:rFonts w:cs="Arial"/>
          <w:szCs w:val="22"/>
        </w:rPr>
      </w:pPr>
      <w:r w:rsidRPr="004E278C">
        <w:rPr>
          <w:rFonts w:cs="Arial"/>
          <w:szCs w:val="22"/>
        </w:rPr>
        <w:t xml:space="preserve">The notes at the end of this compilation (the </w:t>
      </w:r>
      <w:r w:rsidRPr="004E278C">
        <w:rPr>
          <w:rFonts w:cs="Arial"/>
          <w:b/>
          <w:i/>
          <w:szCs w:val="22"/>
        </w:rPr>
        <w:t>endnotes</w:t>
      </w:r>
      <w:r w:rsidRPr="004E278C">
        <w:rPr>
          <w:rFonts w:cs="Arial"/>
          <w:szCs w:val="22"/>
        </w:rPr>
        <w:t>) include information about amending laws and the amendment history of provisions of the compiled law.</w:t>
      </w:r>
    </w:p>
    <w:p w:rsidR="00971CC8" w:rsidRPr="004E278C" w:rsidRDefault="00971CC8" w:rsidP="00D172BC">
      <w:pPr>
        <w:tabs>
          <w:tab w:val="left" w:pos="5640"/>
        </w:tabs>
        <w:spacing w:before="120" w:after="120"/>
        <w:rPr>
          <w:rFonts w:cs="Arial"/>
          <w:b/>
          <w:szCs w:val="22"/>
        </w:rPr>
      </w:pPr>
      <w:r w:rsidRPr="004E278C">
        <w:rPr>
          <w:rFonts w:cs="Arial"/>
          <w:b/>
          <w:szCs w:val="22"/>
        </w:rPr>
        <w:t>Uncommenced amendments</w:t>
      </w:r>
    </w:p>
    <w:p w:rsidR="00971CC8" w:rsidRPr="004E278C" w:rsidRDefault="00971CC8" w:rsidP="00D172BC">
      <w:pPr>
        <w:spacing w:after="120"/>
        <w:rPr>
          <w:rFonts w:cs="Arial"/>
          <w:szCs w:val="22"/>
        </w:rPr>
      </w:pPr>
      <w:r w:rsidRPr="004E278C">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971CC8" w:rsidRPr="004E278C" w:rsidRDefault="00971CC8" w:rsidP="00D172BC">
      <w:pPr>
        <w:spacing w:before="120" w:after="120"/>
        <w:rPr>
          <w:rFonts w:cs="Arial"/>
          <w:b/>
          <w:szCs w:val="22"/>
        </w:rPr>
      </w:pPr>
      <w:r w:rsidRPr="004E278C">
        <w:rPr>
          <w:rFonts w:cs="Arial"/>
          <w:b/>
          <w:szCs w:val="22"/>
        </w:rPr>
        <w:t>Application, saving and transitional provisions for provisions and amendments</w:t>
      </w:r>
    </w:p>
    <w:p w:rsidR="00971CC8" w:rsidRPr="004E278C" w:rsidRDefault="00971CC8" w:rsidP="00D172BC">
      <w:pPr>
        <w:spacing w:after="120"/>
        <w:rPr>
          <w:rFonts w:cs="Arial"/>
          <w:szCs w:val="22"/>
        </w:rPr>
      </w:pPr>
      <w:r w:rsidRPr="004E278C">
        <w:rPr>
          <w:rFonts w:cs="Arial"/>
          <w:szCs w:val="22"/>
        </w:rPr>
        <w:t>If the operation of a provision or amendment of the compiled law is affected by an application, saving or transitional provision that is not included in this compilation, details are included in the endnotes.</w:t>
      </w:r>
    </w:p>
    <w:p w:rsidR="00971CC8" w:rsidRPr="004E278C" w:rsidRDefault="00971CC8" w:rsidP="00D172BC">
      <w:pPr>
        <w:spacing w:after="120"/>
        <w:rPr>
          <w:rFonts w:cs="Arial"/>
          <w:b/>
          <w:szCs w:val="22"/>
        </w:rPr>
      </w:pPr>
      <w:r w:rsidRPr="004E278C">
        <w:rPr>
          <w:rFonts w:cs="Arial"/>
          <w:b/>
          <w:szCs w:val="22"/>
        </w:rPr>
        <w:t>Editorial changes</w:t>
      </w:r>
    </w:p>
    <w:p w:rsidR="00971CC8" w:rsidRPr="004E278C" w:rsidRDefault="00971CC8" w:rsidP="00D172BC">
      <w:pPr>
        <w:spacing w:after="120"/>
        <w:rPr>
          <w:rFonts w:cs="Arial"/>
          <w:szCs w:val="22"/>
        </w:rPr>
      </w:pPr>
      <w:r w:rsidRPr="004E278C">
        <w:rPr>
          <w:rFonts w:cs="Arial"/>
          <w:szCs w:val="22"/>
        </w:rPr>
        <w:t>For more information about any editorial changes made in this compilation, see the endnotes.</w:t>
      </w:r>
    </w:p>
    <w:p w:rsidR="00971CC8" w:rsidRPr="004E278C" w:rsidRDefault="00971CC8" w:rsidP="00D172BC">
      <w:pPr>
        <w:spacing w:before="120" w:after="120"/>
        <w:rPr>
          <w:rFonts w:cs="Arial"/>
          <w:b/>
          <w:szCs w:val="22"/>
        </w:rPr>
      </w:pPr>
      <w:r w:rsidRPr="004E278C">
        <w:rPr>
          <w:rFonts w:cs="Arial"/>
          <w:b/>
          <w:szCs w:val="22"/>
        </w:rPr>
        <w:t>Modifications</w:t>
      </w:r>
    </w:p>
    <w:p w:rsidR="00971CC8" w:rsidRPr="004E278C" w:rsidRDefault="00971CC8" w:rsidP="00D172BC">
      <w:pPr>
        <w:spacing w:after="120"/>
        <w:rPr>
          <w:rFonts w:cs="Arial"/>
          <w:szCs w:val="22"/>
        </w:rPr>
      </w:pPr>
      <w:r w:rsidRPr="004E278C">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971CC8" w:rsidRPr="004E278C" w:rsidRDefault="00971CC8" w:rsidP="00D172BC">
      <w:pPr>
        <w:spacing w:before="80" w:after="120"/>
        <w:rPr>
          <w:rFonts w:cs="Arial"/>
          <w:b/>
          <w:szCs w:val="22"/>
        </w:rPr>
      </w:pPr>
      <w:r w:rsidRPr="004E278C">
        <w:rPr>
          <w:rFonts w:cs="Arial"/>
          <w:b/>
          <w:szCs w:val="22"/>
        </w:rPr>
        <w:t>Self</w:t>
      </w:r>
      <w:r w:rsidR="00994A83">
        <w:rPr>
          <w:rFonts w:cs="Arial"/>
          <w:b/>
          <w:szCs w:val="22"/>
        </w:rPr>
        <w:noBreakHyphen/>
      </w:r>
      <w:r w:rsidRPr="004E278C">
        <w:rPr>
          <w:rFonts w:cs="Arial"/>
          <w:b/>
          <w:szCs w:val="22"/>
        </w:rPr>
        <w:t>repealing provisions</w:t>
      </w:r>
    </w:p>
    <w:p w:rsidR="00971CC8" w:rsidRPr="004E278C" w:rsidRDefault="00971CC8" w:rsidP="00D172BC">
      <w:pPr>
        <w:spacing w:after="120"/>
        <w:rPr>
          <w:rFonts w:cs="Arial"/>
          <w:szCs w:val="22"/>
        </w:rPr>
      </w:pPr>
      <w:r w:rsidRPr="004E278C">
        <w:rPr>
          <w:rFonts w:cs="Arial"/>
          <w:szCs w:val="22"/>
        </w:rPr>
        <w:t>If a provision of the compiled law has been repealed in accordance with a provision of the law, details are included in the endnotes.</w:t>
      </w:r>
    </w:p>
    <w:p w:rsidR="00971CC8" w:rsidRPr="004E278C" w:rsidRDefault="00971CC8" w:rsidP="00D172BC">
      <w:pPr>
        <w:pStyle w:val="Header"/>
        <w:tabs>
          <w:tab w:val="clear" w:pos="4150"/>
          <w:tab w:val="clear" w:pos="8307"/>
        </w:tabs>
      </w:pPr>
      <w:r w:rsidRPr="00994A83">
        <w:rPr>
          <w:rStyle w:val="CharChapNo"/>
        </w:rPr>
        <w:t xml:space="preserve"> </w:t>
      </w:r>
      <w:r w:rsidRPr="00994A83">
        <w:rPr>
          <w:rStyle w:val="CharChapText"/>
        </w:rPr>
        <w:t xml:space="preserve"> </w:t>
      </w:r>
    </w:p>
    <w:p w:rsidR="00971CC8" w:rsidRPr="004E278C" w:rsidRDefault="00971CC8" w:rsidP="00D172BC">
      <w:pPr>
        <w:pStyle w:val="Header"/>
        <w:tabs>
          <w:tab w:val="clear" w:pos="4150"/>
          <w:tab w:val="clear" w:pos="8307"/>
        </w:tabs>
      </w:pPr>
      <w:r w:rsidRPr="00994A83">
        <w:rPr>
          <w:rStyle w:val="CharPartNo"/>
        </w:rPr>
        <w:t xml:space="preserve"> </w:t>
      </w:r>
      <w:r w:rsidRPr="00994A83">
        <w:rPr>
          <w:rStyle w:val="CharPartText"/>
        </w:rPr>
        <w:t xml:space="preserve"> </w:t>
      </w:r>
    </w:p>
    <w:p w:rsidR="00971CC8" w:rsidRPr="004E278C" w:rsidRDefault="00971CC8" w:rsidP="00D172BC">
      <w:pPr>
        <w:pStyle w:val="Header"/>
        <w:tabs>
          <w:tab w:val="clear" w:pos="4150"/>
          <w:tab w:val="clear" w:pos="8307"/>
        </w:tabs>
      </w:pPr>
      <w:r w:rsidRPr="00994A83">
        <w:rPr>
          <w:rStyle w:val="CharDivNo"/>
        </w:rPr>
        <w:t xml:space="preserve"> </w:t>
      </w:r>
      <w:r w:rsidRPr="00994A83">
        <w:rPr>
          <w:rStyle w:val="CharDivText"/>
        </w:rPr>
        <w:t xml:space="preserve"> </w:t>
      </w:r>
    </w:p>
    <w:p w:rsidR="00971CC8" w:rsidRPr="004E278C" w:rsidRDefault="00971CC8" w:rsidP="00D172BC">
      <w:pPr>
        <w:sectPr w:rsidR="00971CC8" w:rsidRPr="004E278C" w:rsidSect="00407681">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3417" w:gutter="0"/>
          <w:cols w:space="708"/>
          <w:titlePg/>
          <w:docGrid w:linePitch="360"/>
        </w:sectPr>
      </w:pPr>
    </w:p>
    <w:p w:rsidR="00303534" w:rsidRPr="004E278C" w:rsidRDefault="00303534" w:rsidP="00D30277">
      <w:pPr>
        <w:rPr>
          <w:sz w:val="36"/>
        </w:rPr>
      </w:pPr>
      <w:r w:rsidRPr="004E278C">
        <w:rPr>
          <w:sz w:val="36"/>
        </w:rPr>
        <w:lastRenderedPageBreak/>
        <w:t>Contents</w:t>
      </w:r>
    </w:p>
    <w:bookmarkStart w:id="1" w:name="_GoBack"/>
    <w:p w:rsidR="00994A83" w:rsidRDefault="00303534" w:rsidP="00994A83">
      <w:pPr>
        <w:pStyle w:val="TOC5"/>
        <w:ind w:right="1792"/>
        <w:rPr>
          <w:rFonts w:asciiTheme="minorHAnsi" w:eastAsiaTheme="minorEastAsia" w:hAnsiTheme="minorHAnsi" w:cstheme="minorBidi"/>
          <w:noProof/>
          <w:kern w:val="0"/>
          <w:sz w:val="22"/>
          <w:szCs w:val="22"/>
        </w:rPr>
      </w:pPr>
      <w:r w:rsidRPr="004E278C">
        <w:fldChar w:fldCharType="begin"/>
      </w:r>
      <w:r w:rsidRPr="004E278C">
        <w:instrText xml:space="preserve"> TOC \o "1-9" </w:instrText>
      </w:r>
      <w:r w:rsidRPr="004E278C">
        <w:fldChar w:fldCharType="separate"/>
      </w:r>
      <w:r w:rsidR="00994A83">
        <w:rPr>
          <w:noProof/>
        </w:rPr>
        <w:t>1</w:t>
      </w:r>
      <w:r w:rsidR="00994A83">
        <w:rPr>
          <w:noProof/>
        </w:rPr>
        <w:tab/>
        <w:t>Name of Regulations</w:t>
      </w:r>
      <w:r w:rsidR="00994A83" w:rsidRPr="00994A83">
        <w:rPr>
          <w:noProof/>
        </w:rPr>
        <w:tab/>
      </w:r>
      <w:r w:rsidR="00994A83" w:rsidRPr="00994A83">
        <w:rPr>
          <w:noProof/>
        </w:rPr>
        <w:fldChar w:fldCharType="begin"/>
      </w:r>
      <w:r w:rsidR="00994A83" w:rsidRPr="00994A83">
        <w:rPr>
          <w:noProof/>
        </w:rPr>
        <w:instrText xml:space="preserve"> PAGEREF _Toc75269197 \h </w:instrText>
      </w:r>
      <w:r w:rsidR="00994A83" w:rsidRPr="00994A83">
        <w:rPr>
          <w:noProof/>
        </w:rPr>
      </w:r>
      <w:r w:rsidR="00994A83" w:rsidRPr="00994A83">
        <w:rPr>
          <w:noProof/>
        </w:rPr>
        <w:fldChar w:fldCharType="separate"/>
      </w:r>
      <w:r w:rsidR="00994A83" w:rsidRPr="00994A83">
        <w:rPr>
          <w:noProof/>
        </w:rPr>
        <w:t>1</w:t>
      </w:r>
      <w:r w:rsidR="00994A83" w:rsidRPr="00994A83">
        <w:rPr>
          <w:noProof/>
        </w:rPr>
        <w:fldChar w:fldCharType="end"/>
      </w:r>
    </w:p>
    <w:p w:rsidR="00994A83" w:rsidRDefault="00994A83" w:rsidP="00994A83">
      <w:pPr>
        <w:pStyle w:val="TOC5"/>
        <w:ind w:right="1792"/>
        <w:rPr>
          <w:rFonts w:asciiTheme="minorHAnsi" w:eastAsiaTheme="minorEastAsia" w:hAnsiTheme="minorHAnsi" w:cstheme="minorBidi"/>
          <w:noProof/>
          <w:kern w:val="0"/>
          <w:sz w:val="22"/>
          <w:szCs w:val="22"/>
        </w:rPr>
      </w:pPr>
      <w:r>
        <w:rPr>
          <w:noProof/>
        </w:rPr>
        <w:t>3</w:t>
      </w:r>
      <w:r>
        <w:rPr>
          <w:noProof/>
        </w:rPr>
        <w:tab/>
        <w:t>Interpretation</w:t>
      </w:r>
      <w:r w:rsidRPr="00994A83">
        <w:rPr>
          <w:noProof/>
        </w:rPr>
        <w:tab/>
      </w:r>
      <w:r w:rsidRPr="00994A83">
        <w:rPr>
          <w:noProof/>
        </w:rPr>
        <w:fldChar w:fldCharType="begin"/>
      </w:r>
      <w:r w:rsidRPr="00994A83">
        <w:rPr>
          <w:noProof/>
        </w:rPr>
        <w:instrText xml:space="preserve"> PAGEREF _Toc75269198 \h </w:instrText>
      </w:r>
      <w:r w:rsidRPr="00994A83">
        <w:rPr>
          <w:noProof/>
        </w:rPr>
      </w:r>
      <w:r w:rsidRPr="00994A83">
        <w:rPr>
          <w:noProof/>
        </w:rPr>
        <w:fldChar w:fldCharType="separate"/>
      </w:r>
      <w:r w:rsidRPr="00994A83">
        <w:rPr>
          <w:noProof/>
        </w:rPr>
        <w:t>1</w:t>
      </w:r>
      <w:r w:rsidRPr="00994A83">
        <w:rPr>
          <w:noProof/>
        </w:rPr>
        <w:fldChar w:fldCharType="end"/>
      </w:r>
    </w:p>
    <w:p w:rsidR="00994A83" w:rsidRDefault="00994A83" w:rsidP="00994A83">
      <w:pPr>
        <w:pStyle w:val="TOC5"/>
        <w:ind w:right="1792"/>
        <w:rPr>
          <w:rFonts w:asciiTheme="minorHAnsi" w:eastAsiaTheme="minorEastAsia" w:hAnsiTheme="minorHAnsi" w:cstheme="minorBidi"/>
          <w:noProof/>
          <w:kern w:val="0"/>
          <w:sz w:val="22"/>
          <w:szCs w:val="22"/>
        </w:rPr>
      </w:pPr>
      <w:r>
        <w:rPr>
          <w:noProof/>
        </w:rPr>
        <w:t>4</w:t>
      </w:r>
      <w:r>
        <w:rPr>
          <w:noProof/>
        </w:rPr>
        <w:tab/>
        <w:t>Establishment of the Fisheries Corporation</w:t>
      </w:r>
      <w:r w:rsidRPr="00994A83">
        <w:rPr>
          <w:noProof/>
        </w:rPr>
        <w:tab/>
      </w:r>
      <w:r w:rsidRPr="00994A83">
        <w:rPr>
          <w:noProof/>
        </w:rPr>
        <w:fldChar w:fldCharType="begin"/>
      </w:r>
      <w:r w:rsidRPr="00994A83">
        <w:rPr>
          <w:noProof/>
        </w:rPr>
        <w:instrText xml:space="preserve"> PAGEREF _Toc75269199 \h </w:instrText>
      </w:r>
      <w:r w:rsidRPr="00994A83">
        <w:rPr>
          <w:noProof/>
        </w:rPr>
      </w:r>
      <w:r w:rsidRPr="00994A83">
        <w:rPr>
          <w:noProof/>
        </w:rPr>
        <w:fldChar w:fldCharType="separate"/>
      </w:r>
      <w:r w:rsidRPr="00994A83">
        <w:rPr>
          <w:noProof/>
        </w:rPr>
        <w:t>1</w:t>
      </w:r>
      <w:r w:rsidRPr="00994A83">
        <w:rPr>
          <w:noProof/>
        </w:rPr>
        <w:fldChar w:fldCharType="end"/>
      </w:r>
    </w:p>
    <w:p w:rsidR="00994A83" w:rsidRDefault="00994A83" w:rsidP="00994A83">
      <w:pPr>
        <w:pStyle w:val="TOC5"/>
        <w:ind w:right="1792"/>
        <w:rPr>
          <w:rFonts w:asciiTheme="minorHAnsi" w:eastAsiaTheme="minorEastAsia" w:hAnsiTheme="minorHAnsi" w:cstheme="minorBidi"/>
          <w:noProof/>
          <w:kern w:val="0"/>
          <w:sz w:val="22"/>
          <w:szCs w:val="22"/>
        </w:rPr>
      </w:pPr>
      <w:r>
        <w:rPr>
          <w:noProof/>
        </w:rPr>
        <w:t>4A</w:t>
      </w:r>
      <w:r>
        <w:rPr>
          <w:noProof/>
        </w:rPr>
        <w:tab/>
        <w:t>Levies attached to the Corporation—fishing</w:t>
      </w:r>
      <w:r w:rsidRPr="00994A83">
        <w:rPr>
          <w:noProof/>
        </w:rPr>
        <w:tab/>
      </w:r>
      <w:r w:rsidRPr="00994A83">
        <w:rPr>
          <w:noProof/>
        </w:rPr>
        <w:fldChar w:fldCharType="begin"/>
      </w:r>
      <w:r w:rsidRPr="00994A83">
        <w:rPr>
          <w:noProof/>
        </w:rPr>
        <w:instrText xml:space="preserve"> PAGEREF _Toc75269200 \h </w:instrText>
      </w:r>
      <w:r w:rsidRPr="00994A83">
        <w:rPr>
          <w:noProof/>
        </w:rPr>
      </w:r>
      <w:r w:rsidRPr="00994A83">
        <w:rPr>
          <w:noProof/>
        </w:rPr>
        <w:fldChar w:fldCharType="separate"/>
      </w:r>
      <w:r w:rsidRPr="00994A83">
        <w:rPr>
          <w:noProof/>
        </w:rPr>
        <w:t>2</w:t>
      </w:r>
      <w:r w:rsidRPr="00994A83">
        <w:rPr>
          <w:noProof/>
        </w:rPr>
        <w:fldChar w:fldCharType="end"/>
      </w:r>
    </w:p>
    <w:p w:rsidR="00994A83" w:rsidRDefault="00994A83" w:rsidP="00994A83">
      <w:pPr>
        <w:pStyle w:val="TOC5"/>
        <w:ind w:right="1792"/>
        <w:rPr>
          <w:rFonts w:asciiTheme="minorHAnsi" w:eastAsiaTheme="minorEastAsia" w:hAnsiTheme="minorHAnsi" w:cstheme="minorBidi"/>
          <w:noProof/>
          <w:kern w:val="0"/>
          <w:sz w:val="22"/>
          <w:szCs w:val="22"/>
        </w:rPr>
      </w:pPr>
      <w:r>
        <w:rPr>
          <w:noProof/>
        </w:rPr>
        <w:t>4B</w:t>
      </w:r>
      <w:r>
        <w:rPr>
          <w:noProof/>
        </w:rPr>
        <w:tab/>
        <w:t>Levies attached to the Corporation—product levies on farmed prawns</w:t>
      </w:r>
      <w:r w:rsidRPr="00994A83">
        <w:rPr>
          <w:noProof/>
        </w:rPr>
        <w:tab/>
      </w:r>
      <w:r w:rsidRPr="00994A83">
        <w:rPr>
          <w:noProof/>
        </w:rPr>
        <w:fldChar w:fldCharType="begin"/>
      </w:r>
      <w:r w:rsidRPr="00994A83">
        <w:rPr>
          <w:noProof/>
        </w:rPr>
        <w:instrText xml:space="preserve"> PAGEREF _Toc75269201 \h </w:instrText>
      </w:r>
      <w:r w:rsidRPr="00994A83">
        <w:rPr>
          <w:noProof/>
        </w:rPr>
      </w:r>
      <w:r w:rsidRPr="00994A83">
        <w:rPr>
          <w:noProof/>
        </w:rPr>
        <w:fldChar w:fldCharType="separate"/>
      </w:r>
      <w:r w:rsidRPr="00994A83">
        <w:rPr>
          <w:noProof/>
        </w:rPr>
        <w:t>2</w:t>
      </w:r>
      <w:r w:rsidRPr="00994A83">
        <w:rPr>
          <w:noProof/>
        </w:rPr>
        <w:fldChar w:fldCharType="end"/>
      </w:r>
    </w:p>
    <w:p w:rsidR="00994A83" w:rsidRDefault="00994A83" w:rsidP="00994A83">
      <w:pPr>
        <w:pStyle w:val="TOC5"/>
        <w:ind w:right="1792"/>
        <w:rPr>
          <w:rFonts w:asciiTheme="minorHAnsi" w:eastAsiaTheme="minorEastAsia" w:hAnsiTheme="minorHAnsi" w:cstheme="minorBidi"/>
          <w:noProof/>
          <w:kern w:val="0"/>
          <w:sz w:val="22"/>
          <w:szCs w:val="22"/>
        </w:rPr>
      </w:pPr>
      <w:r>
        <w:rPr>
          <w:noProof/>
        </w:rPr>
        <w:t>4BA</w:t>
      </w:r>
      <w:r>
        <w:rPr>
          <w:noProof/>
        </w:rPr>
        <w:tab/>
        <w:t>Levies attached to the Corporation—white spot disease repayment levies on farmed prawns</w:t>
      </w:r>
      <w:r w:rsidRPr="00994A83">
        <w:rPr>
          <w:noProof/>
        </w:rPr>
        <w:tab/>
      </w:r>
      <w:r w:rsidRPr="00994A83">
        <w:rPr>
          <w:noProof/>
        </w:rPr>
        <w:fldChar w:fldCharType="begin"/>
      </w:r>
      <w:r w:rsidRPr="00994A83">
        <w:rPr>
          <w:noProof/>
        </w:rPr>
        <w:instrText xml:space="preserve"> PAGEREF _Toc75269202 \h </w:instrText>
      </w:r>
      <w:r w:rsidRPr="00994A83">
        <w:rPr>
          <w:noProof/>
        </w:rPr>
      </w:r>
      <w:r w:rsidRPr="00994A83">
        <w:rPr>
          <w:noProof/>
        </w:rPr>
        <w:fldChar w:fldCharType="separate"/>
      </w:r>
      <w:r w:rsidRPr="00994A83">
        <w:rPr>
          <w:noProof/>
        </w:rPr>
        <w:t>3</w:t>
      </w:r>
      <w:r w:rsidRPr="00994A83">
        <w:rPr>
          <w:noProof/>
        </w:rPr>
        <w:fldChar w:fldCharType="end"/>
      </w:r>
    </w:p>
    <w:p w:rsidR="00994A83" w:rsidRDefault="00994A83" w:rsidP="00994A83">
      <w:pPr>
        <w:pStyle w:val="TOC5"/>
        <w:ind w:right="1792"/>
        <w:rPr>
          <w:rFonts w:asciiTheme="minorHAnsi" w:eastAsiaTheme="minorEastAsia" w:hAnsiTheme="minorHAnsi" w:cstheme="minorBidi"/>
          <w:noProof/>
          <w:kern w:val="0"/>
          <w:sz w:val="22"/>
          <w:szCs w:val="22"/>
        </w:rPr>
      </w:pPr>
      <w:r>
        <w:rPr>
          <w:noProof/>
        </w:rPr>
        <w:t>4C</w:t>
      </w:r>
      <w:r>
        <w:rPr>
          <w:noProof/>
        </w:rPr>
        <w:tab/>
        <w:t>Gross value of production of fishing industry</w:t>
      </w:r>
      <w:r w:rsidRPr="00994A83">
        <w:rPr>
          <w:noProof/>
        </w:rPr>
        <w:tab/>
      </w:r>
      <w:r w:rsidRPr="00994A83">
        <w:rPr>
          <w:noProof/>
        </w:rPr>
        <w:fldChar w:fldCharType="begin"/>
      </w:r>
      <w:r w:rsidRPr="00994A83">
        <w:rPr>
          <w:noProof/>
        </w:rPr>
        <w:instrText xml:space="preserve"> PAGEREF _Toc75269203 \h </w:instrText>
      </w:r>
      <w:r w:rsidRPr="00994A83">
        <w:rPr>
          <w:noProof/>
        </w:rPr>
      </w:r>
      <w:r w:rsidRPr="00994A83">
        <w:rPr>
          <w:noProof/>
        </w:rPr>
        <w:fldChar w:fldCharType="separate"/>
      </w:r>
      <w:r w:rsidRPr="00994A83">
        <w:rPr>
          <w:noProof/>
        </w:rPr>
        <w:t>6</w:t>
      </w:r>
      <w:r w:rsidRPr="00994A83">
        <w:rPr>
          <w:noProof/>
        </w:rPr>
        <w:fldChar w:fldCharType="end"/>
      </w:r>
    </w:p>
    <w:p w:rsidR="00994A83" w:rsidRDefault="00994A83" w:rsidP="00994A83">
      <w:pPr>
        <w:pStyle w:val="TOC5"/>
        <w:ind w:right="1792"/>
        <w:rPr>
          <w:rFonts w:asciiTheme="minorHAnsi" w:eastAsiaTheme="minorEastAsia" w:hAnsiTheme="minorHAnsi" w:cstheme="minorBidi"/>
          <w:noProof/>
          <w:kern w:val="0"/>
          <w:sz w:val="22"/>
          <w:szCs w:val="22"/>
        </w:rPr>
      </w:pPr>
      <w:r>
        <w:rPr>
          <w:noProof/>
        </w:rPr>
        <w:t>4D</w:t>
      </w:r>
      <w:r>
        <w:rPr>
          <w:noProof/>
        </w:rPr>
        <w:tab/>
        <w:t>Gross value of production of Commonwealth managed fisheries</w:t>
      </w:r>
      <w:r w:rsidRPr="00994A83">
        <w:rPr>
          <w:noProof/>
        </w:rPr>
        <w:tab/>
      </w:r>
      <w:r w:rsidRPr="00994A83">
        <w:rPr>
          <w:noProof/>
        </w:rPr>
        <w:fldChar w:fldCharType="begin"/>
      </w:r>
      <w:r w:rsidRPr="00994A83">
        <w:rPr>
          <w:noProof/>
        </w:rPr>
        <w:instrText xml:space="preserve"> PAGEREF _Toc75269204 \h </w:instrText>
      </w:r>
      <w:r w:rsidRPr="00994A83">
        <w:rPr>
          <w:noProof/>
        </w:rPr>
      </w:r>
      <w:r w:rsidRPr="00994A83">
        <w:rPr>
          <w:noProof/>
        </w:rPr>
        <w:fldChar w:fldCharType="separate"/>
      </w:r>
      <w:r w:rsidRPr="00994A83">
        <w:rPr>
          <w:noProof/>
        </w:rPr>
        <w:t>6</w:t>
      </w:r>
      <w:r w:rsidRPr="00994A83">
        <w:rPr>
          <w:noProof/>
        </w:rPr>
        <w:fldChar w:fldCharType="end"/>
      </w:r>
    </w:p>
    <w:p w:rsidR="00994A83" w:rsidRDefault="00994A83" w:rsidP="00994A83">
      <w:pPr>
        <w:pStyle w:val="TOC5"/>
        <w:ind w:right="1792"/>
        <w:rPr>
          <w:rFonts w:asciiTheme="minorHAnsi" w:eastAsiaTheme="minorEastAsia" w:hAnsiTheme="minorHAnsi" w:cstheme="minorBidi"/>
          <w:noProof/>
          <w:kern w:val="0"/>
          <w:sz w:val="22"/>
          <w:szCs w:val="22"/>
        </w:rPr>
      </w:pPr>
      <w:r>
        <w:rPr>
          <w:noProof/>
        </w:rPr>
        <w:t>4E</w:t>
      </w:r>
      <w:r>
        <w:rPr>
          <w:noProof/>
        </w:rPr>
        <w:tab/>
        <w:t>Gross value of production of State or Territory managed fisheries</w:t>
      </w:r>
      <w:r w:rsidRPr="00994A83">
        <w:rPr>
          <w:noProof/>
        </w:rPr>
        <w:tab/>
      </w:r>
      <w:r w:rsidRPr="00994A83">
        <w:rPr>
          <w:noProof/>
        </w:rPr>
        <w:fldChar w:fldCharType="begin"/>
      </w:r>
      <w:r w:rsidRPr="00994A83">
        <w:rPr>
          <w:noProof/>
        </w:rPr>
        <w:instrText xml:space="preserve"> PAGEREF _Toc75269205 \h </w:instrText>
      </w:r>
      <w:r w:rsidRPr="00994A83">
        <w:rPr>
          <w:noProof/>
        </w:rPr>
      </w:r>
      <w:r w:rsidRPr="00994A83">
        <w:rPr>
          <w:noProof/>
        </w:rPr>
        <w:fldChar w:fldCharType="separate"/>
      </w:r>
      <w:r w:rsidRPr="00994A83">
        <w:rPr>
          <w:noProof/>
        </w:rPr>
        <w:t>7</w:t>
      </w:r>
      <w:r w:rsidRPr="00994A83">
        <w:rPr>
          <w:noProof/>
        </w:rPr>
        <w:fldChar w:fldCharType="end"/>
      </w:r>
    </w:p>
    <w:p w:rsidR="00994A83" w:rsidRDefault="00994A83" w:rsidP="00994A83">
      <w:pPr>
        <w:pStyle w:val="TOC5"/>
        <w:ind w:right="1792"/>
        <w:rPr>
          <w:rFonts w:asciiTheme="minorHAnsi" w:eastAsiaTheme="minorEastAsia" w:hAnsiTheme="minorHAnsi" w:cstheme="minorBidi"/>
          <w:noProof/>
          <w:kern w:val="0"/>
          <w:sz w:val="22"/>
          <w:szCs w:val="22"/>
        </w:rPr>
      </w:pPr>
      <w:r>
        <w:rPr>
          <w:noProof/>
        </w:rPr>
        <w:t>5</w:t>
      </w:r>
      <w:r>
        <w:rPr>
          <w:noProof/>
        </w:rPr>
        <w:tab/>
        <w:t>Annual Report</w:t>
      </w:r>
      <w:r w:rsidRPr="00994A83">
        <w:rPr>
          <w:noProof/>
        </w:rPr>
        <w:tab/>
      </w:r>
      <w:r w:rsidRPr="00994A83">
        <w:rPr>
          <w:noProof/>
        </w:rPr>
        <w:fldChar w:fldCharType="begin"/>
      </w:r>
      <w:r w:rsidRPr="00994A83">
        <w:rPr>
          <w:noProof/>
        </w:rPr>
        <w:instrText xml:space="preserve"> PAGEREF _Toc75269206 \h </w:instrText>
      </w:r>
      <w:r w:rsidRPr="00994A83">
        <w:rPr>
          <w:noProof/>
        </w:rPr>
      </w:r>
      <w:r w:rsidRPr="00994A83">
        <w:rPr>
          <w:noProof/>
        </w:rPr>
        <w:fldChar w:fldCharType="separate"/>
      </w:r>
      <w:r w:rsidRPr="00994A83">
        <w:rPr>
          <w:noProof/>
        </w:rPr>
        <w:t>7</w:t>
      </w:r>
      <w:r w:rsidRPr="00994A83">
        <w:rPr>
          <w:noProof/>
        </w:rPr>
        <w:fldChar w:fldCharType="end"/>
      </w:r>
    </w:p>
    <w:p w:rsidR="00994A83" w:rsidRDefault="00994A83" w:rsidP="00994A83">
      <w:pPr>
        <w:pStyle w:val="TOC5"/>
        <w:ind w:right="1792"/>
        <w:rPr>
          <w:rFonts w:asciiTheme="minorHAnsi" w:eastAsiaTheme="minorEastAsia" w:hAnsiTheme="minorHAnsi" w:cstheme="minorBidi"/>
          <w:noProof/>
          <w:kern w:val="0"/>
          <w:sz w:val="22"/>
          <w:szCs w:val="22"/>
        </w:rPr>
      </w:pPr>
      <w:r>
        <w:rPr>
          <w:noProof/>
        </w:rPr>
        <w:t>6</w:t>
      </w:r>
      <w:r>
        <w:rPr>
          <w:noProof/>
        </w:rPr>
        <w:tab/>
        <w:t>Accountability to representative organisations</w:t>
      </w:r>
      <w:r w:rsidRPr="00994A83">
        <w:rPr>
          <w:noProof/>
        </w:rPr>
        <w:tab/>
      </w:r>
      <w:r w:rsidRPr="00994A83">
        <w:rPr>
          <w:noProof/>
        </w:rPr>
        <w:fldChar w:fldCharType="begin"/>
      </w:r>
      <w:r w:rsidRPr="00994A83">
        <w:rPr>
          <w:noProof/>
        </w:rPr>
        <w:instrText xml:space="preserve"> PAGEREF _Toc75269207 \h </w:instrText>
      </w:r>
      <w:r w:rsidRPr="00994A83">
        <w:rPr>
          <w:noProof/>
        </w:rPr>
      </w:r>
      <w:r w:rsidRPr="00994A83">
        <w:rPr>
          <w:noProof/>
        </w:rPr>
        <w:fldChar w:fldCharType="separate"/>
      </w:r>
      <w:r w:rsidRPr="00994A83">
        <w:rPr>
          <w:noProof/>
        </w:rPr>
        <w:t>7</w:t>
      </w:r>
      <w:r w:rsidRPr="00994A83">
        <w:rPr>
          <w:noProof/>
        </w:rPr>
        <w:fldChar w:fldCharType="end"/>
      </w:r>
    </w:p>
    <w:p w:rsidR="00994A83" w:rsidRDefault="00994A83" w:rsidP="00994A83">
      <w:pPr>
        <w:pStyle w:val="TOC2"/>
        <w:ind w:right="1792"/>
        <w:rPr>
          <w:rFonts w:asciiTheme="minorHAnsi" w:eastAsiaTheme="minorEastAsia" w:hAnsiTheme="minorHAnsi" w:cstheme="minorBidi"/>
          <w:b w:val="0"/>
          <w:noProof/>
          <w:kern w:val="0"/>
          <w:sz w:val="22"/>
          <w:szCs w:val="22"/>
        </w:rPr>
      </w:pPr>
      <w:r>
        <w:rPr>
          <w:noProof/>
        </w:rPr>
        <w:t>Endnotes</w:t>
      </w:r>
      <w:r w:rsidRPr="00994A83">
        <w:rPr>
          <w:b w:val="0"/>
          <w:noProof/>
          <w:sz w:val="18"/>
        </w:rPr>
        <w:tab/>
      </w:r>
      <w:r w:rsidRPr="00994A83">
        <w:rPr>
          <w:b w:val="0"/>
          <w:noProof/>
          <w:sz w:val="18"/>
        </w:rPr>
        <w:fldChar w:fldCharType="begin"/>
      </w:r>
      <w:r w:rsidRPr="00994A83">
        <w:rPr>
          <w:b w:val="0"/>
          <w:noProof/>
          <w:sz w:val="18"/>
        </w:rPr>
        <w:instrText xml:space="preserve"> PAGEREF _Toc75269208 \h </w:instrText>
      </w:r>
      <w:r w:rsidRPr="00994A83">
        <w:rPr>
          <w:b w:val="0"/>
          <w:noProof/>
          <w:sz w:val="18"/>
        </w:rPr>
      </w:r>
      <w:r w:rsidRPr="00994A83">
        <w:rPr>
          <w:b w:val="0"/>
          <w:noProof/>
          <w:sz w:val="18"/>
        </w:rPr>
        <w:fldChar w:fldCharType="separate"/>
      </w:r>
      <w:r w:rsidRPr="00994A83">
        <w:rPr>
          <w:b w:val="0"/>
          <w:noProof/>
          <w:sz w:val="18"/>
        </w:rPr>
        <w:t>8</w:t>
      </w:r>
      <w:r w:rsidRPr="00994A83">
        <w:rPr>
          <w:b w:val="0"/>
          <w:noProof/>
          <w:sz w:val="18"/>
        </w:rPr>
        <w:fldChar w:fldCharType="end"/>
      </w:r>
    </w:p>
    <w:p w:rsidR="00994A83" w:rsidRDefault="00994A83" w:rsidP="00994A83">
      <w:pPr>
        <w:pStyle w:val="TOC3"/>
        <w:ind w:right="1792"/>
        <w:rPr>
          <w:rFonts w:asciiTheme="minorHAnsi" w:eastAsiaTheme="minorEastAsia" w:hAnsiTheme="minorHAnsi" w:cstheme="minorBidi"/>
          <w:b w:val="0"/>
          <w:noProof/>
          <w:kern w:val="0"/>
          <w:szCs w:val="22"/>
        </w:rPr>
      </w:pPr>
      <w:r>
        <w:rPr>
          <w:noProof/>
        </w:rPr>
        <w:t>Endnote 1—About the endnotes</w:t>
      </w:r>
      <w:r w:rsidRPr="00994A83">
        <w:rPr>
          <w:b w:val="0"/>
          <w:noProof/>
          <w:sz w:val="18"/>
        </w:rPr>
        <w:tab/>
      </w:r>
      <w:r w:rsidRPr="00994A83">
        <w:rPr>
          <w:b w:val="0"/>
          <w:noProof/>
          <w:sz w:val="18"/>
        </w:rPr>
        <w:fldChar w:fldCharType="begin"/>
      </w:r>
      <w:r w:rsidRPr="00994A83">
        <w:rPr>
          <w:b w:val="0"/>
          <w:noProof/>
          <w:sz w:val="18"/>
        </w:rPr>
        <w:instrText xml:space="preserve"> PAGEREF _Toc75269209 \h </w:instrText>
      </w:r>
      <w:r w:rsidRPr="00994A83">
        <w:rPr>
          <w:b w:val="0"/>
          <w:noProof/>
          <w:sz w:val="18"/>
        </w:rPr>
      </w:r>
      <w:r w:rsidRPr="00994A83">
        <w:rPr>
          <w:b w:val="0"/>
          <w:noProof/>
          <w:sz w:val="18"/>
        </w:rPr>
        <w:fldChar w:fldCharType="separate"/>
      </w:r>
      <w:r w:rsidRPr="00994A83">
        <w:rPr>
          <w:b w:val="0"/>
          <w:noProof/>
          <w:sz w:val="18"/>
        </w:rPr>
        <w:t>8</w:t>
      </w:r>
      <w:r w:rsidRPr="00994A83">
        <w:rPr>
          <w:b w:val="0"/>
          <w:noProof/>
          <w:sz w:val="18"/>
        </w:rPr>
        <w:fldChar w:fldCharType="end"/>
      </w:r>
    </w:p>
    <w:p w:rsidR="00994A83" w:rsidRDefault="00994A83" w:rsidP="00994A83">
      <w:pPr>
        <w:pStyle w:val="TOC3"/>
        <w:ind w:right="1792"/>
        <w:rPr>
          <w:rFonts w:asciiTheme="minorHAnsi" w:eastAsiaTheme="minorEastAsia" w:hAnsiTheme="minorHAnsi" w:cstheme="minorBidi"/>
          <w:b w:val="0"/>
          <w:noProof/>
          <w:kern w:val="0"/>
          <w:szCs w:val="22"/>
        </w:rPr>
      </w:pPr>
      <w:r>
        <w:rPr>
          <w:noProof/>
        </w:rPr>
        <w:t>Endnote 2—Abbreviation key</w:t>
      </w:r>
      <w:r w:rsidRPr="00994A83">
        <w:rPr>
          <w:b w:val="0"/>
          <w:noProof/>
          <w:sz w:val="18"/>
        </w:rPr>
        <w:tab/>
      </w:r>
      <w:r w:rsidRPr="00994A83">
        <w:rPr>
          <w:b w:val="0"/>
          <w:noProof/>
          <w:sz w:val="18"/>
        </w:rPr>
        <w:fldChar w:fldCharType="begin"/>
      </w:r>
      <w:r w:rsidRPr="00994A83">
        <w:rPr>
          <w:b w:val="0"/>
          <w:noProof/>
          <w:sz w:val="18"/>
        </w:rPr>
        <w:instrText xml:space="preserve"> PAGEREF _Toc75269210 \h </w:instrText>
      </w:r>
      <w:r w:rsidRPr="00994A83">
        <w:rPr>
          <w:b w:val="0"/>
          <w:noProof/>
          <w:sz w:val="18"/>
        </w:rPr>
      </w:r>
      <w:r w:rsidRPr="00994A83">
        <w:rPr>
          <w:b w:val="0"/>
          <w:noProof/>
          <w:sz w:val="18"/>
        </w:rPr>
        <w:fldChar w:fldCharType="separate"/>
      </w:r>
      <w:r w:rsidRPr="00994A83">
        <w:rPr>
          <w:b w:val="0"/>
          <w:noProof/>
          <w:sz w:val="18"/>
        </w:rPr>
        <w:t>9</w:t>
      </w:r>
      <w:r w:rsidRPr="00994A83">
        <w:rPr>
          <w:b w:val="0"/>
          <w:noProof/>
          <w:sz w:val="18"/>
        </w:rPr>
        <w:fldChar w:fldCharType="end"/>
      </w:r>
    </w:p>
    <w:p w:rsidR="00994A83" w:rsidRDefault="00994A83" w:rsidP="00994A83">
      <w:pPr>
        <w:pStyle w:val="TOC3"/>
        <w:ind w:right="1792"/>
        <w:rPr>
          <w:rFonts w:asciiTheme="minorHAnsi" w:eastAsiaTheme="minorEastAsia" w:hAnsiTheme="minorHAnsi" w:cstheme="minorBidi"/>
          <w:b w:val="0"/>
          <w:noProof/>
          <w:kern w:val="0"/>
          <w:szCs w:val="22"/>
        </w:rPr>
      </w:pPr>
      <w:r>
        <w:rPr>
          <w:noProof/>
        </w:rPr>
        <w:t>Endnote 3—Legislation history</w:t>
      </w:r>
      <w:r w:rsidRPr="00994A83">
        <w:rPr>
          <w:b w:val="0"/>
          <w:noProof/>
          <w:sz w:val="18"/>
        </w:rPr>
        <w:tab/>
      </w:r>
      <w:r w:rsidRPr="00994A83">
        <w:rPr>
          <w:b w:val="0"/>
          <w:noProof/>
          <w:sz w:val="18"/>
        </w:rPr>
        <w:fldChar w:fldCharType="begin"/>
      </w:r>
      <w:r w:rsidRPr="00994A83">
        <w:rPr>
          <w:b w:val="0"/>
          <w:noProof/>
          <w:sz w:val="18"/>
        </w:rPr>
        <w:instrText xml:space="preserve"> PAGEREF _Toc75269211 \h </w:instrText>
      </w:r>
      <w:r w:rsidRPr="00994A83">
        <w:rPr>
          <w:b w:val="0"/>
          <w:noProof/>
          <w:sz w:val="18"/>
        </w:rPr>
      </w:r>
      <w:r w:rsidRPr="00994A83">
        <w:rPr>
          <w:b w:val="0"/>
          <w:noProof/>
          <w:sz w:val="18"/>
        </w:rPr>
        <w:fldChar w:fldCharType="separate"/>
      </w:r>
      <w:r w:rsidRPr="00994A83">
        <w:rPr>
          <w:b w:val="0"/>
          <w:noProof/>
          <w:sz w:val="18"/>
        </w:rPr>
        <w:t>10</w:t>
      </w:r>
      <w:r w:rsidRPr="00994A83">
        <w:rPr>
          <w:b w:val="0"/>
          <w:noProof/>
          <w:sz w:val="18"/>
        </w:rPr>
        <w:fldChar w:fldCharType="end"/>
      </w:r>
    </w:p>
    <w:p w:rsidR="00994A83" w:rsidRDefault="00994A83" w:rsidP="00994A83">
      <w:pPr>
        <w:pStyle w:val="TOC3"/>
        <w:ind w:right="1792"/>
        <w:rPr>
          <w:rFonts w:asciiTheme="minorHAnsi" w:eastAsiaTheme="minorEastAsia" w:hAnsiTheme="minorHAnsi" w:cstheme="minorBidi"/>
          <w:b w:val="0"/>
          <w:noProof/>
          <w:kern w:val="0"/>
          <w:szCs w:val="22"/>
        </w:rPr>
      </w:pPr>
      <w:r>
        <w:rPr>
          <w:noProof/>
        </w:rPr>
        <w:t>Endnote 4—Amendment history</w:t>
      </w:r>
      <w:r w:rsidRPr="00994A83">
        <w:rPr>
          <w:b w:val="0"/>
          <w:noProof/>
          <w:sz w:val="18"/>
        </w:rPr>
        <w:tab/>
      </w:r>
      <w:r w:rsidRPr="00994A83">
        <w:rPr>
          <w:b w:val="0"/>
          <w:noProof/>
          <w:sz w:val="18"/>
        </w:rPr>
        <w:fldChar w:fldCharType="begin"/>
      </w:r>
      <w:r w:rsidRPr="00994A83">
        <w:rPr>
          <w:b w:val="0"/>
          <w:noProof/>
          <w:sz w:val="18"/>
        </w:rPr>
        <w:instrText xml:space="preserve"> PAGEREF _Toc75269212 \h </w:instrText>
      </w:r>
      <w:r w:rsidRPr="00994A83">
        <w:rPr>
          <w:b w:val="0"/>
          <w:noProof/>
          <w:sz w:val="18"/>
        </w:rPr>
      </w:r>
      <w:r w:rsidRPr="00994A83">
        <w:rPr>
          <w:b w:val="0"/>
          <w:noProof/>
          <w:sz w:val="18"/>
        </w:rPr>
        <w:fldChar w:fldCharType="separate"/>
      </w:r>
      <w:r w:rsidRPr="00994A83">
        <w:rPr>
          <w:b w:val="0"/>
          <w:noProof/>
          <w:sz w:val="18"/>
        </w:rPr>
        <w:t>12</w:t>
      </w:r>
      <w:r w:rsidRPr="00994A83">
        <w:rPr>
          <w:b w:val="0"/>
          <w:noProof/>
          <w:sz w:val="18"/>
        </w:rPr>
        <w:fldChar w:fldCharType="end"/>
      </w:r>
    </w:p>
    <w:p w:rsidR="004B49F8" w:rsidRPr="004E278C" w:rsidRDefault="00303534" w:rsidP="00994A83">
      <w:pPr>
        <w:ind w:right="1792"/>
        <w:sectPr w:rsidR="004B49F8" w:rsidRPr="004E278C" w:rsidSect="00407681">
          <w:headerReference w:type="even" r:id="rId15"/>
          <w:headerReference w:type="default" r:id="rId16"/>
          <w:footerReference w:type="even" r:id="rId17"/>
          <w:footerReference w:type="default" r:id="rId18"/>
          <w:headerReference w:type="first" r:id="rId19"/>
          <w:pgSz w:w="11907" w:h="16839"/>
          <w:pgMar w:top="2381" w:right="1797" w:bottom="1440" w:left="1797" w:header="720" w:footer="709" w:gutter="0"/>
          <w:pgNumType w:fmt="lowerRoman" w:start="1"/>
          <w:cols w:space="708"/>
          <w:docGrid w:linePitch="360"/>
        </w:sectPr>
      </w:pPr>
      <w:r w:rsidRPr="004E278C">
        <w:fldChar w:fldCharType="end"/>
      </w:r>
      <w:bookmarkEnd w:id="1"/>
    </w:p>
    <w:p w:rsidR="000A45F0" w:rsidRPr="004E278C" w:rsidRDefault="000A45F0" w:rsidP="00303534">
      <w:pPr>
        <w:pStyle w:val="ActHead5"/>
        <w:rPr>
          <w:sz w:val="18"/>
        </w:rPr>
      </w:pPr>
      <w:bookmarkStart w:id="2" w:name="_Toc75269197"/>
      <w:r w:rsidRPr="00994A83">
        <w:rPr>
          <w:rStyle w:val="CharSectno"/>
        </w:rPr>
        <w:lastRenderedPageBreak/>
        <w:t>1</w:t>
      </w:r>
      <w:r w:rsidR="00303534" w:rsidRPr="004E278C">
        <w:t xml:space="preserve">  </w:t>
      </w:r>
      <w:r w:rsidRPr="004E278C">
        <w:t>Name of Regulations</w:t>
      </w:r>
      <w:bookmarkEnd w:id="2"/>
    </w:p>
    <w:p w:rsidR="000A45F0" w:rsidRPr="004E278C" w:rsidRDefault="000A45F0" w:rsidP="00303534">
      <w:pPr>
        <w:pStyle w:val="subsection"/>
      </w:pPr>
      <w:r w:rsidRPr="004E278C">
        <w:tab/>
      </w:r>
      <w:r w:rsidRPr="004E278C">
        <w:tab/>
        <w:t xml:space="preserve">These Regulations are the </w:t>
      </w:r>
      <w:r w:rsidRPr="004E278C">
        <w:rPr>
          <w:i/>
        </w:rPr>
        <w:t xml:space="preserve">Fisheries Research and Development Corporation </w:t>
      </w:r>
      <w:r w:rsidR="00994A83">
        <w:rPr>
          <w:i/>
        </w:rPr>
        <w:t>Regulations 1</w:t>
      </w:r>
      <w:r w:rsidRPr="004E278C">
        <w:rPr>
          <w:i/>
        </w:rPr>
        <w:t>991</w:t>
      </w:r>
      <w:r w:rsidRPr="004E278C">
        <w:t>.</w:t>
      </w:r>
    </w:p>
    <w:p w:rsidR="000A45F0" w:rsidRPr="004E278C" w:rsidRDefault="000A45F0" w:rsidP="00303534">
      <w:pPr>
        <w:pStyle w:val="ActHead5"/>
      </w:pPr>
      <w:bookmarkStart w:id="3" w:name="_Toc75269198"/>
      <w:r w:rsidRPr="00994A83">
        <w:rPr>
          <w:rStyle w:val="CharSectno"/>
        </w:rPr>
        <w:t>3</w:t>
      </w:r>
      <w:r w:rsidR="00303534" w:rsidRPr="004E278C">
        <w:t xml:space="preserve">  </w:t>
      </w:r>
      <w:r w:rsidRPr="004E278C">
        <w:t>Interpretation</w:t>
      </w:r>
      <w:bookmarkEnd w:id="3"/>
    </w:p>
    <w:p w:rsidR="000A45F0" w:rsidRPr="004E278C" w:rsidRDefault="000A45F0" w:rsidP="00303534">
      <w:pPr>
        <w:pStyle w:val="subsection"/>
      </w:pPr>
      <w:r w:rsidRPr="004E278C">
        <w:tab/>
      </w:r>
      <w:r w:rsidRPr="004E278C">
        <w:tab/>
        <w:t>In these Regulations, unless the contrary intention appears:</w:t>
      </w:r>
    </w:p>
    <w:p w:rsidR="000A45F0" w:rsidRPr="004E278C" w:rsidRDefault="000A45F0" w:rsidP="00303534">
      <w:pPr>
        <w:pStyle w:val="Definition"/>
      </w:pPr>
      <w:r w:rsidRPr="004E278C">
        <w:rPr>
          <w:b/>
          <w:i/>
        </w:rPr>
        <w:t xml:space="preserve">Act </w:t>
      </w:r>
      <w:r w:rsidRPr="004E278C">
        <w:t xml:space="preserve">means the </w:t>
      </w:r>
      <w:r w:rsidRPr="004E278C">
        <w:rPr>
          <w:i/>
        </w:rPr>
        <w:t>Primary Industries Research and Development Act 1989</w:t>
      </w:r>
      <w:r w:rsidRPr="004E278C">
        <w:t>.</w:t>
      </w:r>
    </w:p>
    <w:p w:rsidR="000A45F0" w:rsidRPr="004E278C" w:rsidRDefault="000A45F0" w:rsidP="00303534">
      <w:pPr>
        <w:pStyle w:val="Definition"/>
      </w:pPr>
      <w:r w:rsidRPr="004E278C">
        <w:rPr>
          <w:b/>
          <w:i/>
        </w:rPr>
        <w:t xml:space="preserve">Corporation </w:t>
      </w:r>
      <w:r w:rsidRPr="004E278C">
        <w:t>means the Fisheries Research and Development Corporation specified in regulation</w:t>
      </w:r>
      <w:r w:rsidR="004E278C">
        <w:t> </w:t>
      </w:r>
      <w:r w:rsidRPr="004E278C">
        <w:t>4.</w:t>
      </w:r>
    </w:p>
    <w:p w:rsidR="000A45F0" w:rsidRPr="004E278C" w:rsidRDefault="000A45F0" w:rsidP="00303534">
      <w:pPr>
        <w:pStyle w:val="Definition"/>
      </w:pPr>
      <w:r w:rsidRPr="004E278C">
        <w:rPr>
          <w:b/>
          <w:i/>
        </w:rPr>
        <w:t xml:space="preserve">fish </w:t>
      </w:r>
      <w:r w:rsidRPr="004E278C">
        <w:t>means all living aquatic natural resources of:</w:t>
      </w:r>
    </w:p>
    <w:p w:rsidR="000A45F0" w:rsidRPr="004E278C" w:rsidRDefault="000A45F0" w:rsidP="00303534">
      <w:pPr>
        <w:pStyle w:val="paragraph"/>
      </w:pPr>
      <w:r w:rsidRPr="004E278C">
        <w:tab/>
        <w:t>(a)</w:t>
      </w:r>
      <w:r w:rsidRPr="004E278C">
        <w:tab/>
        <w:t>rivers; or</w:t>
      </w:r>
    </w:p>
    <w:p w:rsidR="000A45F0" w:rsidRPr="004E278C" w:rsidRDefault="000A45F0" w:rsidP="00303534">
      <w:pPr>
        <w:pStyle w:val="paragraph"/>
      </w:pPr>
      <w:r w:rsidRPr="004E278C">
        <w:tab/>
        <w:t>(b)</w:t>
      </w:r>
      <w:r w:rsidRPr="004E278C">
        <w:tab/>
        <w:t>estuaries; or</w:t>
      </w:r>
    </w:p>
    <w:p w:rsidR="000A45F0" w:rsidRPr="004E278C" w:rsidRDefault="000A45F0" w:rsidP="00303534">
      <w:pPr>
        <w:pStyle w:val="paragraph"/>
      </w:pPr>
      <w:r w:rsidRPr="004E278C">
        <w:tab/>
        <w:t>(c)</w:t>
      </w:r>
      <w:r w:rsidRPr="004E278C">
        <w:tab/>
        <w:t>the sea; or</w:t>
      </w:r>
    </w:p>
    <w:p w:rsidR="000A45F0" w:rsidRPr="004E278C" w:rsidRDefault="000A45F0" w:rsidP="00303534">
      <w:pPr>
        <w:pStyle w:val="paragraph"/>
      </w:pPr>
      <w:r w:rsidRPr="004E278C">
        <w:tab/>
        <w:t>(d)</w:t>
      </w:r>
      <w:r w:rsidRPr="004E278C">
        <w:tab/>
        <w:t>the seabed; or</w:t>
      </w:r>
    </w:p>
    <w:p w:rsidR="000A45F0" w:rsidRPr="004E278C" w:rsidRDefault="000A45F0" w:rsidP="00303534">
      <w:pPr>
        <w:pStyle w:val="paragraph"/>
      </w:pPr>
      <w:r w:rsidRPr="004E278C">
        <w:tab/>
        <w:t>(e)</w:t>
      </w:r>
      <w:r w:rsidRPr="004E278C">
        <w:tab/>
        <w:t>waters within the limits of Australia.</w:t>
      </w:r>
    </w:p>
    <w:p w:rsidR="000A45F0" w:rsidRPr="004E278C" w:rsidRDefault="000A45F0" w:rsidP="00303534">
      <w:pPr>
        <w:pStyle w:val="Definition"/>
      </w:pPr>
      <w:r w:rsidRPr="004E278C">
        <w:rPr>
          <w:b/>
          <w:i/>
        </w:rPr>
        <w:t xml:space="preserve">fishing industry </w:t>
      </w:r>
      <w:r w:rsidRPr="004E278C">
        <w:t>includes any industry or activity carried on in or from Australia concerned with:</w:t>
      </w:r>
    </w:p>
    <w:p w:rsidR="000A45F0" w:rsidRPr="004E278C" w:rsidRDefault="000A45F0" w:rsidP="00303534">
      <w:pPr>
        <w:pStyle w:val="paragraph"/>
      </w:pPr>
      <w:r w:rsidRPr="004E278C">
        <w:tab/>
        <w:t>(a)</w:t>
      </w:r>
      <w:r w:rsidRPr="004E278C">
        <w:tab/>
        <w:t>taking; or</w:t>
      </w:r>
    </w:p>
    <w:p w:rsidR="000A45F0" w:rsidRPr="004E278C" w:rsidRDefault="000A45F0" w:rsidP="00303534">
      <w:pPr>
        <w:pStyle w:val="paragraph"/>
      </w:pPr>
      <w:r w:rsidRPr="004E278C">
        <w:tab/>
        <w:t>(b)</w:t>
      </w:r>
      <w:r w:rsidRPr="004E278C">
        <w:tab/>
        <w:t>culturing; or</w:t>
      </w:r>
    </w:p>
    <w:p w:rsidR="000A45F0" w:rsidRPr="004E278C" w:rsidRDefault="000A45F0" w:rsidP="00303534">
      <w:pPr>
        <w:pStyle w:val="paragraph"/>
      </w:pPr>
      <w:r w:rsidRPr="004E278C">
        <w:tab/>
        <w:t>(c)</w:t>
      </w:r>
      <w:r w:rsidRPr="004E278C">
        <w:tab/>
        <w:t>processing; or</w:t>
      </w:r>
    </w:p>
    <w:p w:rsidR="000A45F0" w:rsidRPr="004E278C" w:rsidRDefault="000A45F0" w:rsidP="00303534">
      <w:pPr>
        <w:pStyle w:val="paragraph"/>
      </w:pPr>
      <w:r w:rsidRPr="004E278C">
        <w:tab/>
        <w:t>(d)</w:t>
      </w:r>
      <w:r w:rsidRPr="004E278C">
        <w:tab/>
        <w:t>preserving; or</w:t>
      </w:r>
    </w:p>
    <w:p w:rsidR="000A45F0" w:rsidRPr="004E278C" w:rsidRDefault="000A45F0" w:rsidP="00303534">
      <w:pPr>
        <w:pStyle w:val="paragraph"/>
      </w:pPr>
      <w:r w:rsidRPr="004E278C">
        <w:tab/>
        <w:t>(e)</w:t>
      </w:r>
      <w:r w:rsidRPr="004E278C">
        <w:tab/>
        <w:t>storing; or</w:t>
      </w:r>
    </w:p>
    <w:p w:rsidR="000A45F0" w:rsidRPr="004E278C" w:rsidRDefault="000A45F0" w:rsidP="00303534">
      <w:pPr>
        <w:pStyle w:val="paragraph"/>
      </w:pPr>
      <w:r w:rsidRPr="004E278C">
        <w:tab/>
        <w:t>(f)</w:t>
      </w:r>
      <w:r w:rsidRPr="004E278C">
        <w:tab/>
        <w:t>transporting; or</w:t>
      </w:r>
    </w:p>
    <w:p w:rsidR="000A45F0" w:rsidRPr="004E278C" w:rsidRDefault="000A45F0" w:rsidP="00303534">
      <w:pPr>
        <w:pStyle w:val="paragraph"/>
      </w:pPr>
      <w:r w:rsidRPr="004E278C">
        <w:tab/>
        <w:t>(g)</w:t>
      </w:r>
      <w:r w:rsidRPr="004E278C">
        <w:tab/>
        <w:t>marketing; or</w:t>
      </w:r>
    </w:p>
    <w:p w:rsidR="000A45F0" w:rsidRPr="004E278C" w:rsidRDefault="000A45F0" w:rsidP="00303534">
      <w:pPr>
        <w:pStyle w:val="paragraph"/>
      </w:pPr>
      <w:r w:rsidRPr="004E278C">
        <w:tab/>
        <w:t>(h)</w:t>
      </w:r>
      <w:r w:rsidRPr="004E278C">
        <w:tab/>
        <w:t>selling;</w:t>
      </w:r>
    </w:p>
    <w:p w:rsidR="000A45F0" w:rsidRPr="004E278C" w:rsidRDefault="000A45F0" w:rsidP="00303534">
      <w:pPr>
        <w:pStyle w:val="subsection2"/>
      </w:pPr>
      <w:r w:rsidRPr="004E278C">
        <w:t>fish or fish products.</w:t>
      </w:r>
    </w:p>
    <w:p w:rsidR="000A45F0" w:rsidRPr="004E278C" w:rsidRDefault="000A45F0" w:rsidP="00303534">
      <w:pPr>
        <w:pStyle w:val="Definition"/>
      </w:pPr>
      <w:r w:rsidRPr="004E278C">
        <w:rPr>
          <w:b/>
          <w:i/>
        </w:rPr>
        <w:t xml:space="preserve">fish products </w:t>
      </w:r>
      <w:r w:rsidRPr="004E278C">
        <w:t>means all products derived from:</w:t>
      </w:r>
    </w:p>
    <w:p w:rsidR="000A45F0" w:rsidRPr="004E278C" w:rsidRDefault="000A45F0" w:rsidP="00303534">
      <w:pPr>
        <w:pStyle w:val="paragraph"/>
      </w:pPr>
      <w:r w:rsidRPr="004E278C">
        <w:tab/>
        <w:t>(a)</w:t>
      </w:r>
      <w:r w:rsidRPr="004E278C">
        <w:tab/>
        <w:t>culturing; or</w:t>
      </w:r>
    </w:p>
    <w:p w:rsidR="000A45F0" w:rsidRPr="004E278C" w:rsidRDefault="000A45F0" w:rsidP="00303534">
      <w:pPr>
        <w:pStyle w:val="paragraph"/>
      </w:pPr>
      <w:r w:rsidRPr="004E278C">
        <w:tab/>
        <w:t>(b)</w:t>
      </w:r>
      <w:r w:rsidRPr="004E278C">
        <w:tab/>
        <w:t>processing; or</w:t>
      </w:r>
    </w:p>
    <w:p w:rsidR="000A45F0" w:rsidRPr="004E278C" w:rsidRDefault="000A45F0" w:rsidP="00303534">
      <w:pPr>
        <w:pStyle w:val="paragraph"/>
      </w:pPr>
      <w:r w:rsidRPr="004E278C">
        <w:tab/>
        <w:t>(c)</w:t>
      </w:r>
      <w:r w:rsidRPr="004E278C">
        <w:tab/>
        <w:t>preserving;</w:t>
      </w:r>
    </w:p>
    <w:p w:rsidR="000A45F0" w:rsidRPr="004E278C" w:rsidRDefault="000A45F0" w:rsidP="00303534">
      <w:pPr>
        <w:pStyle w:val="subsection2"/>
      </w:pPr>
      <w:r w:rsidRPr="004E278C">
        <w:t>fish.</w:t>
      </w:r>
    </w:p>
    <w:p w:rsidR="000A45F0" w:rsidRPr="004E278C" w:rsidRDefault="000A45F0" w:rsidP="00303534">
      <w:pPr>
        <w:pStyle w:val="ActHead5"/>
      </w:pPr>
      <w:bookmarkStart w:id="4" w:name="_Toc75269199"/>
      <w:r w:rsidRPr="00994A83">
        <w:rPr>
          <w:rStyle w:val="CharSectno"/>
        </w:rPr>
        <w:lastRenderedPageBreak/>
        <w:t>4</w:t>
      </w:r>
      <w:r w:rsidR="00303534" w:rsidRPr="004E278C">
        <w:t xml:space="preserve">  </w:t>
      </w:r>
      <w:r w:rsidRPr="004E278C">
        <w:t>Establishment of the Fisheries Corporation</w:t>
      </w:r>
      <w:bookmarkEnd w:id="4"/>
    </w:p>
    <w:p w:rsidR="000A45F0" w:rsidRPr="004E278C" w:rsidRDefault="000A45F0" w:rsidP="00303534">
      <w:pPr>
        <w:pStyle w:val="subsection"/>
      </w:pPr>
      <w:r w:rsidRPr="004E278C">
        <w:tab/>
      </w:r>
      <w:r w:rsidRPr="004E278C">
        <w:tab/>
        <w:t>An R &amp; D Corporation to be known as the Fisheries Research and Development Corporation is declared to be established in respect of the fishing industry.</w:t>
      </w:r>
    </w:p>
    <w:p w:rsidR="000A45F0" w:rsidRPr="004E278C" w:rsidRDefault="000A45F0" w:rsidP="00303534">
      <w:pPr>
        <w:pStyle w:val="ActHead5"/>
      </w:pPr>
      <w:bookmarkStart w:id="5" w:name="_Toc75269200"/>
      <w:r w:rsidRPr="00994A83">
        <w:rPr>
          <w:rStyle w:val="CharSectno"/>
        </w:rPr>
        <w:t>4A</w:t>
      </w:r>
      <w:r w:rsidR="00303534" w:rsidRPr="004E278C">
        <w:t xml:space="preserve">  </w:t>
      </w:r>
      <w:r w:rsidRPr="004E278C">
        <w:t>Levies attached to the Corporation</w:t>
      </w:r>
      <w:r w:rsidR="00303534" w:rsidRPr="004E278C">
        <w:t>—</w:t>
      </w:r>
      <w:r w:rsidRPr="004E278C">
        <w:t>fishing</w:t>
      </w:r>
      <w:bookmarkEnd w:id="5"/>
    </w:p>
    <w:p w:rsidR="000A45F0" w:rsidRPr="004E278C" w:rsidRDefault="000A45F0" w:rsidP="00303534">
      <w:pPr>
        <w:pStyle w:val="subsection"/>
      </w:pPr>
      <w:r w:rsidRPr="004E278C">
        <w:tab/>
        <w:t>(1)</w:t>
      </w:r>
      <w:r w:rsidRPr="004E278C">
        <w:tab/>
        <w:t>For paragraph</w:t>
      </w:r>
      <w:r w:rsidR="004E278C">
        <w:t> </w:t>
      </w:r>
      <w:r w:rsidRPr="004E278C">
        <w:t>5(1)(a) of the Act, the levy imposed by section</w:t>
      </w:r>
      <w:r w:rsidR="004E278C">
        <w:t> </w:t>
      </w:r>
      <w:r w:rsidRPr="004E278C">
        <w:t xml:space="preserve">5 of the </w:t>
      </w:r>
      <w:r w:rsidRPr="004E278C">
        <w:rPr>
          <w:i/>
        </w:rPr>
        <w:t>Fishing Levy Act 1991</w:t>
      </w:r>
      <w:r w:rsidRPr="004E278C">
        <w:t xml:space="preserve"> is attached to the Corporation.</w:t>
      </w:r>
    </w:p>
    <w:p w:rsidR="00EE1915" w:rsidRPr="004E278C" w:rsidRDefault="00EE1915" w:rsidP="00303534">
      <w:pPr>
        <w:pStyle w:val="subsection"/>
      </w:pPr>
      <w:r w:rsidRPr="004E278C">
        <w:tab/>
        <w:t>(2)</w:t>
      </w:r>
      <w:r w:rsidRPr="004E278C">
        <w:tab/>
        <w:t>For paragraph</w:t>
      </w:r>
      <w:r w:rsidR="004E278C">
        <w:t> </w:t>
      </w:r>
      <w:r w:rsidRPr="004E278C">
        <w:t>5(3)(a) of the Act, for a financial year mentioned in an item of the following table, the research component of the levy mentioned in subregulation</w:t>
      </w:r>
      <w:r w:rsidR="00690B37" w:rsidRPr="004E278C">
        <w:t> </w:t>
      </w:r>
      <w:r w:rsidRPr="004E278C">
        <w:t>(1) is the percentage of the levy mentioned in the item.</w:t>
      </w:r>
    </w:p>
    <w:p w:rsidR="00303534" w:rsidRPr="004E278C" w:rsidRDefault="00303534" w:rsidP="00303534">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1241"/>
        <w:gridCol w:w="4253"/>
        <w:gridCol w:w="3035"/>
      </w:tblGrid>
      <w:tr w:rsidR="00EE1915" w:rsidRPr="004E278C" w:rsidTr="00AC7A77">
        <w:trPr>
          <w:tblHeader/>
        </w:trPr>
        <w:tc>
          <w:tcPr>
            <w:tcW w:w="728" w:type="pct"/>
            <w:tcBorders>
              <w:top w:val="single" w:sz="12" w:space="0" w:color="auto"/>
              <w:bottom w:val="single" w:sz="12" w:space="0" w:color="auto"/>
            </w:tcBorders>
            <w:shd w:val="clear" w:color="auto" w:fill="auto"/>
          </w:tcPr>
          <w:p w:rsidR="00EE1915" w:rsidRPr="004E278C" w:rsidRDefault="00EE1915" w:rsidP="00303534">
            <w:pPr>
              <w:pStyle w:val="TableHeading"/>
            </w:pPr>
            <w:r w:rsidRPr="004E278C">
              <w:t>Item</w:t>
            </w:r>
          </w:p>
        </w:tc>
        <w:tc>
          <w:tcPr>
            <w:tcW w:w="2493" w:type="pct"/>
            <w:tcBorders>
              <w:top w:val="single" w:sz="12" w:space="0" w:color="auto"/>
              <w:bottom w:val="single" w:sz="12" w:space="0" w:color="auto"/>
            </w:tcBorders>
            <w:shd w:val="clear" w:color="auto" w:fill="auto"/>
          </w:tcPr>
          <w:p w:rsidR="00EE1915" w:rsidRPr="004E278C" w:rsidRDefault="00EE1915" w:rsidP="00303534">
            <w:pPr>
              <w:pStyle w:val="TableHeading"/>
            </w:pPr>
            <w:r w:rsidRPr="004E278C">
              <w:t>For the financial year commencing on ...</w:t>
            </w:r>
          </w:p>
        </w:tc>
        <w:tc>
          <w:tcPr>
            <w:tcW w:w="1779" w:type="pct"/>
            <w:tcBorders>
              <w:top w:val="single" w:sz="12" w:space="0" w:color="auto"/>
              <w:bottom w:val="single" w:sz="12" w:space="0" w:color="auto"/>
            </w:tcBorders>
            <w:shd w:val="clear" w:color="auto" w:fill="auto"/>
          </w:tcPr>
          <w:p w:rsidR="00EE1915" w:rsidRPr="004E278C" w:rsidRDefault="00EE1915" w:rsidP="00AC7A77">
            <w:pPr>
              <w:pStyle w:val="TableHeading"/>
              <w:jc w:val="center"/>
            </w:pPr>
            <w:r w:rsidRPr="004E278C">
              <w:t>the percentage of the levy is ...</w:t>
            </w:r>
          </w:p>
        </w:tc>
      </w:tr>
      <w:tr w:rsidR="00EE1915" w:rsidRPr="004E278C" w:rsidTr="00AC7A77">
        <w:tc>
          <w:tcPr>
            <w:tcW w:w="728" w:type="pct"/>
            <w:tcBorders>
              <w:top w:val="single" w:sz="12" w:space="0" w:color="auto"/>
            </w:tcBorders>
            <w:shd w:val="clear" w:color="auto" w:fill="auto"/>
          </w:tcPr>
          <w:p w:rsidR="00EE1915" w:rsidRPr="004E278C" w:rsidRDefault="00EE1915" w:rsidP="00AC7A77">
            <w:pPr>
              <w:pStyle w:val="Tabletext"/>
            </w:pPr>
            <w:r w:rsidRPr="004E278C">
              <w:t>1</w:t>
            </w:r>
          </w:p>
        </w:tc>
        <w:tc>
          <w:tcPr>
            <w:tcW w:w="2493" w:type="pct"/>
            <w:tcBorders>
              <w:top w:val="single" w:sz="12" w:space="0" w:color="auto"/>
            </w:tcBorders>
            <w:shd w:val="clear" w:color="auto" w:fill="auto"/>
          </w:tcPr>
          <w:p w:rsidR="00EE1915" w:rsidRPr="004E278C" w:rsidRDefault="00EE1915" w:rsidP="00AC7A77">
            <w:pPr>
              <w:pStyle w:val="Tabletext"/>
            </w:pPr>
            <w:r w:rsidRPr="004E278C">
              <w:t>1</w:t>
            </w:r>
            <w:r w:rsidR="004E278C">
              <w:t> </w:t>
            </w:r>
            <w:r w:rsidRPr="004E278C">
              <w:t>July 1999</w:t>
            </w:r>
          </w:p>
        </w:tc>
        <w:tc>
          <w:tcPr>
            <w:tcW w:w="1779" w:type="pct"/>
            <w:tcBorders>
              <w:top w:val="single" w:sz="12" w:space="0" w:color="auto"/>
            </w:tcBorders>
            <w:shd w:val="clear" w:color="auto" w:fill="auto"/>
          </w:tcPr>
          <w:p w:rsidR="00EE1915" w:rsidRPr="004E278C" w:rsidRDefault="00EE1915" w:rsidP="00AC7A77">
            <w:pPr>
              <w:pStyle w:val="Tabletext"/>
              <w:tabs>
                <w:tab w:val="decimal" w:pos="1360"/>
              </w:tabs>
            </w:pPr>
            <w:r w:rsidRPr="004E278C">
              <w:t>10.3%</w:t>
            </w:r>
          </w:p>
        </w:tc>
      </w:tr>
      <w:tr w:rsidR="00EE1915" w:rsidRPr="004E278C" w:rsidTr="00AC7A77">
        <w:tc>
          <w:tcPr>
            <w:tcW w:w="728" w:type="pct"/>
            <w:shd w:val="clear" w:color="auto" w:fill="auto"/>
          </w:tcPr>
          <w:p w:rsidR="00EE1915" w:rsidRPr="004E278C" w:rsidRDefault="00EE1915" w:rsidP="00AC7A77">
            <w:pPr>
              <w:pStyle w:val="Tabletext"/>
            </w:pPr>
            <w:r w:rsidRPr="004E278C">
              <w:t>2</w:t>
            </w:r>
          </w:p>
        </w:tc>
        <w:tc>
          <w:tcPr>
            <w:tcW w:w="2493" w:type="pct"/>
            <w:shd w:val="clear" w:color="auto" w:fill="auto"/>
          </w:tcPr>
          <w:p w:rsidR="00EE1915" w:rsidRPr="004E278C" w:rsidRDefault="00EE1915" w:rsidP="00AC7A77">
            <w:pPr>
              <w:pStyle w:val="Tabletext"/>
            </w:pPr>
            <w:r w:rsidRPr="004E278C">
              <w:t>1</w:t>
            </w:r>
            <w:r w:rsidR="004E278C">
              <w:t> </w:t>
            </w:r>
            <w:r w:rsidRPr="004E278C">
              <w:t>July 2000</w:t>
            </w:r>
          </w:p>
        </w:tc>
        <w:tc>
          <w:tcPr>
            <w:tcW w:w="1779" w:type="pct"/>
            <w:shd w:val="clear" w:color="auto" w:fill="auto"/>
          </w:tcPr>
          <w:p w:rsidR="00EE1915" w:rsidRPr="004E278C" w:rsidRDefault="00EE1915" w:rsidP="00AC7A77">
            <w:pPr>
              <w:pStyle w:val="Tabletext"/>
              <w:tabs>
                <w:tab w:val="decimal" w:pos="1360"/>
              </w:tabs>
            </w:pPr>
            <w:r w:rsidRPr="004E278C">
              <w:t>10.1%</w:t>
            </w:r>
          </w:p>
        </w:tc>
      </w:tr>
      <w:tr w:rsidR="00EE1915" w:rsidRPr="004E278C" w:rsidTr="00AC7A77">
        <w:tc>
          <w:tcPr>
            <w:tcW w:w="728" w:type="pct"/>
            <w:shd w:val="clear" w:color="auto" w:fill="auto"/>
          </w:tcPr>
          <w:p w:rsidR="00EE1915" w:rsidRPr="004E278C" w:rsidRDefault="00EE1915" w:rsidP="00AC7A77">
            <w:pPr>
              <w:pStyle w:val="Tabletext"/>
            </w:pPr>
            <w:r w:rsidRPr="004E278C">
              <w:t>3</w:t>
            </w:r>
          </w:p>
        </w:tc>
        <w:tc>
          <w:tcPr>
            <w:tcW w:w="2493" w:type="pct"/>
            <w:shd w:val="clear" w:color="auto" w:fill="auto"/>
          </w:tcPr>
          <w:p w:rsidR="00EE1915" w:rsidRPr="004E278C" w:rsidRDefault="00EE1915" w:rsidP="00AC7A77">
            <w:pPr>
              <w:pStyle w:val="Tabletext"/>
            </w:pPr>
            <w:r w:rsidRPr="004E278C">
              <w:t>1</w:t>
            </w:r>
            <w:r w:rsidR="004E278C">
              <w:t> </w:t>
            </w:r>
            <w:r w:rsidRPr="004E278C">
              <w:t>July 2001</w:t>
            </w:r>
          </w:p>
        </w:tc>
        <w:tc>
          <w:tcPr>
            <w:tcW w:w="1779" w:type="pct"/>
            <w:shd w:val="clear" w:color="auto" w:fill="auto"/>
          </w:tcPr>
          <w:p w:rsidR="00EE1915" w:rsidRPr="004E278C" w:rsidRDefault="00EE1915" w:rsidP="00AC7A77">
            <w:pPr>
              <w:pStyle w:val="Tabletext"/>
              <w:tabs>
                <w:tab w:val="decimal" w:pos="1360"/>
              </w:tabs>
            </w:pPr>
            <w:r w:rsidRPr="004E278C">
              <w:t>10.4%</w:t>
            </w:r>
          </w:p>
        </w:tc>
      </w:tr>
      <w:tr w:rsidR="00EE1915" w:rsidRPr="004E278C" w:rsidTr="00AC7A77">
        <w:tc>
          <w:tcPr>
            <w:tcW w:w="728" w:type="pct"/>
            <w:shd w:val="clear" w:color="auto" w:fill="auto"/>
          </w:tcPr>
          <w:p w:rsidR="00EE1915" w:rsidRPr="004E278C" w:rsidRDefault="00EE1915" w:rsidP="00AC7A77">
            <w:pPr>
              <w:pStyle w:val="Tabletext"/>
            </w:pPr>
            <w:r w:rsidRPr="004E278C">
              <w:t>4</w:t>
            </w:r>
          </w:p>
        </w:tc>
        <w:tc>
          <w:tcPr>
            <w:tcW w:w="2493" w:type="pct"/>
            <w:shd w:val="clear" w:color="auto" w:fill="auto"/>
          </w:tcPr>
          <w:p w:rsidR="00EE1915" w:rsidRPr="004E278C" w:rsidRDefault="00EE1915" w:rsidP="00AC7A77">
            <w:pPr>
              <w:pStyle w:val="Tabletext"/>
            </w:pPr>
            <w:r w:rsidRPr="004E278C">
              <w:t>1</w:t>
            </w:r>
            <w:r w:rsidR="004E278C">
              <w:t> </w:t>
            </w:r>
            <w:r w:rsidRPr="004E278C">
              <w:t>July 2002</w:t>
            </w:r>
          </w:p>
        </w:tc>
        <w:tc>
          <w:tcPr>
            <w:tcW w:w="1779" w:type="pct"/>
            <w:shd w:val="clear" w:color="auto" w:fill="auto"/>
          </w:tcPr>
          <w:p w:rsidR="00EE1915" w:rsidRPr="004E278C" w:rsidRDefault="00EE1915" w:rsidP="00AC7A77">
            <w:pPr>
              <w:pStyle w:val="Tabletext"/>
              <w:tabs>
                <w:tab w:val="decimal" w:pos="1360"/>
              </w:tabs>
            </w:pPr>
            <w:r w:rsidRPr="004E278C">
              <w:t>9.5%</w:t>
            </w:r>
          </w:p>
        </w:tc>
      </w:tr>
      <w:tr w:rsidR="00EE1915" w:rsidRPr="004E278C" w:rsidTr="00AC7A77">
        <w:tc>
          <w:tcPr>
            <w:tcW w:w="728" w:type="pct"/>
            <w:shd w:val="clear" w:color="auto" w:fill="auto"/>
          </w:tcPr>
          <w:p w:rsidR="00EE1915" w:rsidRPr="004E278C" w:rsidRDefault="00EE1915" w:rsidP="00AC7A77">
            <w:pPr>
              <w:pStyle w:val="Tabletext"/>
            </w:pPr>
            <w:r w:rsidRPr="004E278C">
              <w:t>5</w:t>
            </w:r>
          </w:p>
        </w:tc>
        <w:tc>
          <w:tcPr>
            <w:tcW w:w="2493" w:type="pct"/>
            <w:shd w:val="clear" w:color="auto" w:fill="auto"/>
          </w:tcPr>
          <w:p w:rsidR="00EE1915" w:rsidRPr="004E278C" w:rsidRDefault="00EE1915" w:rsidP="00AC7A77">
            <w:pPr>
              <w:pStyle w:val="Tabletext"/>
            </w:pPr>
            <w:r w:rsidRPr="004E278C">
              <w:t>1</w:t>
            </w:r>
            <w:r w:rsidR="004E278C">
              <w:t> </w:t>
            </w:r>
            <w:r w:rsidRPr="004E278C">
              <w:t>July 2003</w:t>
            </w:r>
          </w:p>
        </w:tc>
        <w:tc>
          <w:tcPr>
            <w:tcW w:w="1779" w:type="pct"/>
            <w:shd w:val="clear" w:color="auto" w:fill="auto"/>
          </w:tcPr>
          <w:p w:rsidR="00EE1915" w:rsidRPr="004E278C" w:rsidRDefault="00EE1915" w:rsidP="00AC7A77">
            <w:pPr>
              <w:pStyle w:val="Tabletext"/>
              <w:tabs>
                <w:tab w:val="decimal" w:pos="1360"/>
              </w:tabs>
            </w:pPr>
            <w:r w:rsidRPr="004E278C">
              <w:t>8.7%</w:t>
            </w:r>
          </w:p>
        </w:tc>
      </w:tr>
      <w:tr w:rsidR="00EE1915" w:rsidRPr="004E278C" w:rsidTr="00AC7A77">
        <w:tc>
          <w:tcPr>
            <w:tcW w:w="728" w:type="pct"/>
            <w:shd w:val="clear" w:color="auto" w:fill="auto"/>
          </w:tcPr>
          <w:p w:rsidR="00EE1915" w:rsidRPr="004E278C" w:rsidRDefault="00EE1915" w:rsidP="00AC7A77">
            <w:pPr>
              <w:pStyle w:val="Tabletext"/>
            </w:pPr>
            <w:r w:rsidRPr="004E278C">
              <w:t>6</w:t>
            </w:r>
          </w:p>
        </w:tc>
        <w:tc>
          <w:tcPr>
            <w:tcW w:w="2493" w:type="pct"/>
            <w:shd w:val="clear" w:color="auto" w:fill="auto"/>
          </w:tcPr>
          <w:p w:rsidR="00EE1915" w:rsidRPr="004E278C" w:rsidRDefault="00EE1915" w:rsidP="00AC7A77">
            <w:pPr>
              <w:pStyle w:val="Tabletext"/>
            </w:pPr>
            <w:r w:rsidRPr="004E278C">
              <w:t>1</w:t>
            </w:r>
            <w:r w:rsidR="004E278C">
              <w:t> </w:t>
            </w:r>
            <w:r w:rsidRPr="004E278C">
              <w:t>July 2004</w:t>
            </w:r>
          </w:p>
        </w:tc>
        <w:tc>
          <w:tcPr>
            <w:tcW w:w="1779" w:type="pct"/>
            <w:shd w:val="clear" w:color="auto" w:fill="auto"/>
          </w:tcPr>
          <w:p w:rsidR="00EE1915" w:rsidRPr="004E278C" w:rsidRDefault="00EE1915" w:rsidP="00AC7A77">
            <w:pPr>
              <w:pStyle w:val="Tabletext"/>
              <w:tabs>
                <w:tab w:val="decimal" w:pos="1360"/>
              </w:tabs>
            </w:pPr>
            <w:r w:rsidRPr="004E278C">
              <w:t>8.2%</w:t>
            </w:r>
          </w:p>
        </w:tc>
      </w:tr>
      <w:tr w:rsidR="00EE1915" w:rsidRPr="004E278C" w:rsidTr="00AC7A77">
        <w:tc>
          <w:tcPr>
            <w:tcW w:w="728" w:type="pct"/>
            <w:shd w:val="clear" w:color="auto" w:fill="auto"/>
          </w:tcPr>
          <w:p w:rsidR="00EE1915" w:rsidRPr="004E278C" w:rsidRDefault="00EE1915" w:rsidP="00AC7A77">
            <w:pPr>
              <w:pStyle w:val="Tabletext"/>
            </w:pPr>
            <w:r w:rsidRPr="004E278C">
              <w:t>7</w:t>
            </w:r>
          </w:p>
        </w:tc>
        <w:tc>
          <w:tcPr>
            <w:tcW w:w="2493" w:type="pct"/>
            <w:shd w:val="clear" w:color="auto" w:fill="auto"/>
          </w:tcPr>
          <w:p w:rsidR="00EE1915" w:rsidRPr="004E278C" w:rsidRDefault="00EE1915" w:rsidP="00AC7A77">
            <w:pPr>
              <w:pStyle w:val="Tabletext"/>
            </w:pPr>
            <w:r w:rsidRPr="004E278C">
              <w:t>1</w:t>
            </w:r>
            <w:r w:rsidR="004E278C">
              <w:t> </w:t>
            </w:r>
            <w:r w:rsidRPr="004E278C">
              <w:t>July 2005</w:t>
            </w:r>
          </w:p>
        </w:tc>
        <w:tc>
          <w:tcPr>
            <w:tcW w:w="1779" w:type="pct"/>
            <w:shd w:val="clear" w:color="auto" w:fill="auto"/>
          </w:tcPr>
          <w:p w:rsidR="00EE1915" w:rsidRPr="004E278C" w:rsidRDefault="00EE1915" w:rsidP="00AC7A77">
            <w:pPr>
              <w:pStyle w:val="Tabletext"/>
              <w:tabs>
                <w:tab w:val="decimal" w:pos="1360"/>
              </w:tabs>
            </w:pPr>
            <w:r w:rsidRPr="004E278C">
              <w:t>6.7%</w:t>
            </w:r>
          </w:p>
        </w:tc>
      </w:tr>
      <w:tr w:rsidR="00EE1915" w:rsidRPr="004E278C" w:rsidTr="00AC7A77">
        <w:tc>
          <w:tcPr>
            <w:tcW w:w="728" w:type="pct"/>
            <w:shd w:val="clear" w:color="auto" w:fill="auto"/>
          </w:tcPr>
          <w:p w:rsidR="00EE1915" w:rsidRPr="004E278C" w:rsidRDefault="00EE1915" w:rsidP="00AC7A77">
            <w:pPr>
              <w:pStyle w:val="Tabletext"/>
            </w:pPr>
            <w:r w:rsidRPr="004E278C">
              <w:t>8</w:t>
            </w:r>
          </w:p>
        </w:tc>
        <w:tc>
          <w:tcPr>
            <w:tcW w:w="2493" w:type="pct"/>
            <w:shd w:val="clear" w:color="auto" w:fill="auto"/>
          </w:tcPr>
          <w:p w:rsidR="00EE1915" w:rsidRPr="004E278C" w:rsidRDefault="00EE1915" w:rsidP="00AC7A77">
            <w:pPr>
              <w:pStyle w:val="Tabletext"/>
            </w:pPr>
            <w:r w:rsidRPr="004E278C">
              <w:t>1</w:t>
            </w:r>
            <w:r w:rsidR="004E278C">
              <w:t> </w:t>
            </w:r>
            <w:r w:rsidRPr="004E278C">
              <w:t>July 2006</w:t>
            </w:r>
          </w:p>
        </w:tc>
        <w:tc>
          <w:tcPr>
            <w:tcW w:w="1779" w:type="pct"/>
            <w:shd w:val="clear" w:color="auto" w:fill="auto"/>
          </w:tcPr>
          <w:p w:rsidR="00EE1915" w:rsidRPr="004E278C" w:rsidRDefault="00EE1915" w:rsidP="00AC7A77">
            <w:pPr>
              <w:pStyle w:val="Tabletext"/>
              <w:tabs>
                <w:tab w:val="decimal" w:pos="1360"/>
              </w:tabs>
            </w:pPr>
            <w:r w:rsidRPr="004E278C">
              <w:t>12.35%</w:t>
            </w:r>
          </w:p>
        </w:tc>
      </w:tr>
      <w:tr w:rsidR="00EE1915" w:rsidRPr="004E278C" w:rsidTr="00AC7A77">
        <w:tc>
          <w:tcPr>
            <w:tcW w:w="728" w:type="pct"/>
            <w:shd w:val="clear" w:color="auto" w:fill="auto"/>
          </w:tcPr>
          <w:p w:rsidR="00EE1915" w:rsidRPr="004E278C" w:rsidRDefault="00EE1915" w:rsidP="00AC7A77">
            <w:pPr>
              <w:pStyle w:val="Tabletext"/>
            </w:pPr>
            <w:r w:rsidRPr="004E278C">
              <w:t>9</w:t>
            </w:r>
          </w:p>
        </w:tc>
        <w:tc>
          <w:tcPr>
            <w:tcW w:w="2493" w:type="pct"/>
            <w:shd w:val="clear" w:color="auto" w:fill="auto"/>
          </w:tcPr>
          <w:p w:rsidR="00EE1915" w:rsidRPr="004E278C" w:rsidRDefault="00EE1915" w:rsidP="00AC7A77">
            <w:pPr>
              <w:pStyle w:val="Tabletext"/>
            </w:pPr>
            <w:r w:rsidRPr="004E278C">
              <w:t>1</w:t>
            </w:r>
            <w:r w:rsidR="004E278C">
              <w:t> </w:t>
            </w:r>
            <w:r w:rsidRPr="004E278C">
              <w:t>July 2007</w:t>
            </w:r>
          </w:p>
        </w:tc>
        <w:tc>
          <w:tcPr>
            <w:tcW w:w="1779" w:type="pct"/>
            <w:shd w:val="clear" w:color="auto" w:fill="auto"/>
          </w:tcPr>
          <w:p w:rsidR="00EE1915" w:rsidRPr="004E278C" w:rsidRDefault="00EE1915" w:rsidP="00AC7A77">
            <w:pPr>
              <w:pStyle w:val="Tabletext"/>
              <w:tabs>
                <w:tab w:val="decimal" w:pos="1360"/>
              </w:tabs>
            </w:pPr>
            <w:r w:rsidRPr="004E278C">
              <w:t>7.51%</w:t>
            </w:r>
          </w:p>
        </w:tc>
      </w:tr>
      <w:tr w:rsidR="00EE1915" w:rsidRPr="004E278C" w:rsidTr="00AC7A77">
        <w:tc>
          <w:tcPr>
            <w:tcW w:w="728" w:type="pct"/>
            <w:shd w:val="clear" w:color="auto" w:fill="auto"/>
          </w:tcPr>
          <w:p w:rsidR="00EE1915" w:rsidRPr="004E278C" w:rsidRDefault="00EE1915" w:rsidP="00AC7A77">
            <w:pPr>
              <w:pStyle w:val="Tabletext"/>
            </w:pPr>
            <w:r w:rsidRPr="004E278C">
              <w:t>10</w:t>
            </w:r>
          </w:p>
        </w:tc>
        <w:tc>
          <w:tcPr>
            <w:tcW w:w="2493" w:type="pct"/>
            <w:shd w:val="clear" w:color="auto" w:fill="auto"/>
          </w:tcPr>
          <w:p w:rsidR="00EE1915" w:rsidRPr="004E278C" w:rsidRDefault="00EE1915" w:rsidP="00AC7A77">
            <w:pPr>
              <w:pStyle w:val="Tabletext"/>
            </w:pPr>
            <w:r w:rsidRPr="004E278C">
              <w:t>1</w:t>
            </w:r>
            <w:r w:rsidR="004E278C">
              <w:t> </w:t>
            </w:r>
            <w:r w:rsidRPr="004E278C">
              <w:t>July 2008</w:t>
            </w:r>
          </w:p>
        </w:tc>
        <w:tc>
          <w:tcPr>
            <w:tcW w:w="1779" w:type="pct"/>
            <w:shd w:val="clear" w:color="auto" w:fill="auto"/>
          </w:tcPr>
          <w:p w:rsidR="00EE1915" w:rsidRPr="004E278C" w:rsidRDefault="00EE1915" w:rsidP="00AC7A77">
            <w:pPr>
              <w:pStyle w:val="Tabletext"/>
              <w:tabs>
                <w:tab w:val="decimal" w:pos="1360"/>
              </w:tabs>
            </w:pPr>
            <w:r w:rsidRPr="004E278C">
              <w:t>7.64%</w:t>
            </w:r>
          </w:p>
        </w:tc>
      </w:tr>
      <w:tr w:rsidR="00EE1915" w:rsidRPr="004E278C" w:rsidTr="00AC7A77">
        <w:tc>
          <w:tcPr>
            <w:tcW w:w="728" w:type="pct"/>
            <w:shd w:val="clear" w:color="auto" w:fill="auto"/>
          </w:tcPr>
          <w:p w:rsidR="00EE1915" w:rsidRPr="004E278C" w:rsidRDefault="00EE1915" w:rsidP="00AC7A77">
            <w:pPr>
              <w:pStyle w:val="Tabletext"/>
            </w:pPr>
            <w:r w:rsidRPr="004E278C">
              <w:t>11</w:t>
            </w:r>
          </w:p>
        </w:tc>
        <w:tc>
          <w:tcPr>
            <w:tcW w:w="2493" w:type="pct"/>
            <w:shd w:val="clear" w:color="auto" w:fill="auto"/>
          </w:tcPr>
          <w:p w:rsidR="00EE1915" w:rsidRPr="004E278C" w:rsidRDefault="00EE1915" w:rsidP="00AC7A77">
            <w:pPr>
              <w:pStyle w:val="Tabletext"/>
            </w:pPr>
            <w:r w:rsidRPr="004E278C">
              <w:t>1</w:t>
            </w:r>
            <w:r w:rsidR="004E278C">
              <w:t> </w:t>
            </w:r>
            <w:r w:rsidRPr="004E278C">
              <w:t>July 2009</w:t>
            </w:r>
          </w:p>
        </w:tc>
        <w:tc>
          <w:tcPr>
            <w:tcW w:w="1779" w:type="pct"/>
            <w:shd w:val="clear" w:color="auto" w:fill="auto"/>
          </w:tcPr>
          <w:p w:rsidR="00EE1915" w:rsidRPr="004E278C" w:rsidRDefault="00EE1915" w:rsidP="00AC7A77">
            <w:pPr>
              <w:pStyle w:val="Tabletext"/>
              <w:tabs>
                <w:tab w:val="decimal" w:pos="1360"/>
              </w:tabs>
            </w:pPr>
            <w:r w:rsidRPr="004E278C">
              <w:t>5.66%</w:t>
            </w:r>
          </w:p>
        </w:tc>
      </w:tr>
      <w:tr w:rsidR="00F06927" w:rsidRPr="004E278C" w:rsidTr="00AC7A77">
        <w:tc>
          <w:tcPr>
            <w:tcW w:w="728" w:type="pct"/>
            <w:tcBorders>
              <w:bottom w:val="single" w:sz="4" w:space="0" w:color="auto"/>
            </w:tcBorders>
            <w:shd w:val="clear" w:color="auto" w:fill="auto"/>
          </w:tcPr>
          <w:p w:rsidR="00F06927" w:rsidRPr="004E278C" w:rsidRDefault="00F06927" w:rsidP="00AC7A77">
            <w:pPr>
              <w:pStyle w:val="Tabletext"/>
            </w:pPr>
            <w:r w:rsidRPr="004E278C">
              <w:t>12</w:t>
            </w:r>
          </w:p>
        </w:tc>
        <w:tc>
          <w:tcPr>
            <w:tcW w:w="2493" w:type="pct"/>
            <w:tcBorders>
              <w:bottom w:val="single" w:sz="4" w:space="0" w:color="auto"/>
            </w:tcBorders>
            <w:shd w:val="clear" w:color="auto" w:fill="auto"/>
          </w:tcPr>
          <w:p w:rsidR="00F06927" w:rsidRPr="004E278C" w:rsidRDefault="00F06927" w:rsidP="00AC7A77">
            <w:pPr>
              <w:pStyle w:val="Tabletext"/>
            </w:pPr>
            <w:r w:rsidRPr="004E278C">
              <w:t>1</w:t>
            </w:r>
            <w:r w:rsidR="004E278C">
              <w:t> </w:t>
            </w:r>
            <w:r w:rsidRPr="004E278C">
              <w:t>July 2010</w:t>
            </w:r>
          </w:p>
        </w:tc>
        <w:tc>
          <w:tcPr>
            <w:tcW w:w="1779" w:type="pct"/>
            <w:tcBorders>
              <w:bottom w:val="single" w:sz="4" w:space="0" w:color="auto"/>
            </w:tcBorders>
            <w:shd w:val="clear" w:color="auto" w:fill="auto"/>
          </w:tcPr>
          <w:p w:rsidR="00F06927" w:rsidRPr="004E278C" w:rsidRDefault="00F06927" w:rsidP="00AC7A77">
            <w:pPr>
              <w:pStyle w:val="Tabletext"/>
              <w:tabs>
                <w:tab w:val="decimal" w:pos="1360"/>
              </w:tabs>
            </w:pPr>
            <w:r w:rsidRPr="004E278C">
              <w:t>5.61%</w:t>
            </w:r>
          </w:p>
        </w:tc>
      </w:tr>
      <w:tr w:rsidR="006E3B5A" w:rsidRPr="004E278C" w:rsidTr="00AC7A77">
        <w:tc>
          <w:tcPr>
            <w:tcW w:w="728" w:type="pct"/>
            <w:shd w:val="clear" w:color="auto" w:fill="auto"/>
          </w:tcPr>
          <w:p w:rsidR="006E3B5A" w:rsidRPr="004E278C" w:rsidRDefault="006E3B5A" w:rsidP="00AC7A77">
            <w:pPr>
              <w:pStyle w:val="Tabletext"/>
            </w:pPr>
            <w:r w:rsidRPr="004E278C">
              <w:t>13</w:t>
            </w:r>
          </w:p>
        </w:tc>
        <w:tc>
          <w:tcPr>
            <w:tcW w:w="2493" w:type="pct"/>
            <w:shd w:val="clear" w:color="auto" w:fill="auto"/>
          </w:tcPr>
          <w:p w:rsidR="006E3B5A" w:rsidRPr="004E278C" w:rsidRDefault="006E3B5A" w:rsidP="00AC7A77">
            <w:pPr>
              <w:pStyle w:val="Tabletext"/>
            </w:pPr>
            <w:r w:rsidRPr="004E278C">
              <w:t>1</w:t>
            </w:r>
            <w:r w:rsidR="004E278C">
              <w:t> </w:t>
            </w:r>
            <w:r w:rsidRPr="004E278C">
              <w:t>July 2011</w:t>
            </w:r>
          </w:p>
        </w:tc>
        <w:tc>
          <w:tcPr>
            <w:tcW w:w="1779" w:type="pct"/>
            <w:shd w:val="clear" w:color="auto" w:fill="auto"/>
          </w:tcPr>
          <w:p w:rsidR="006E3B5A" w:rsidRPr="004E278C" w:rsidRDefault="006E3B5A" w:rsidP="00AC7A77">
            <w:pPr>
              <w:pStyle w:val="Tabletext"/>
              <w:tabs>
                <w:tab w:val="decimal" w:pos="1360"/>
              </w:tabs>
            </w:pPr>
            <w:r w:rsidRPr="004E278C">
              <w:t>4.89%</w:t>
            </w:r>
          </w:p>
        </w:tc>
      </w:tr>
      <w:tr w:rsidR="00CC48C1" w:rsidRPr="004E278C" w:rsidTr="00AC7A77">
        <w:tc>
          <w:tcPr>
            <w:tcW w:w="728" w:type="pct"/>
            <w:tcBorders>
              <w:bottom w:val="single" w:sz="4" w:space="0" w:color="auto"/>
            </w:tcBorders>
            <w:shd w:val="clear" w:color="auto" w:fill="auto"/>
          </w:tcPr>
          <w:p w:rsidR="00CC48C1" w:rsidRPr="004E278C" w:rsidRDefault="00CC48C1" w:rsidP="00AC7A77">
            <w:pPr>
              <w:pStyle w:val="Tabletext"/>
            </w:pPr>
            <w:r w:rsidRPr="004E278C">
              <w:t>14</w:t>
            </w:r>
          </w:p>
        </w:tc>
        <w:tc>
          <w:tcPr>
            <w:tcW w:w="2493" w:type="pct"/>
            <w:tcBorders>
              <w:bottom w:val="single" w:sz="4" w:space="0" w:color="auto"/>
            </w:tcBorders>
            <w:shd w:val="clear" w:color="auto" w:fill="auto"/>
          </w:tcPr>
          <w:p w:rsidR="00CC48C1" w:rsidRPr="004E278C" w:rsidRDefault="00CC48C1" w:rsidP="00AC7A77">
            <w:pPr>
              <w:pStyle w:val="Tabletext"/>
            </w:pPr>
            <w:r w:rsidRPr="004E278C">
              <w:t>1</w:t>
            </w:r>
            <w:r w:rsidR="004E278C">
              <w:t> </w:t>
            </w:r>
            <w:r w:rsidRPr="004E278C">
              <w:t>July 2012</w:t>
            </w:r>
          </w:p>
        </w:tc>
        <w:tc>
          <w:tcPr>
            <w:tcW w:w="1779" w:type="pct"/>
            <w:tcBorders>
              <w:bottom w:val="single" w:sz="4" w:space="0" w:color="auto"/>
            </w:tcBorders>
            <w:shd w:val="clear" w:color="auto" w:fill="auto"/>
          </w:tcPr>
          <w:p w:rsidR="00CC48C1" w:rsidRPr="004E278C" w:rsidRDefault="00CC48C1" w:rsidP="00AC7A77">
            <w:pPr>
              <w:pStyle w:val="Tabletext"/>
              <w:tabs>
                <w:tab w:val="decimal" w:pos="1360"/>
              </w:tabs>
            </w:pPr>
            <w:r w:rsidRPr="004E278C">
              <w:t>4.88%</w:t>
            </w:r>
          </w:p>
        </w:tc>
      </w:tr>
      <w:tr w:rsidR="00434911" w:rsidRPr="004E278C" w:rsidTr="00AC7A77">
        <w:tc>
          <w:tcPr>
            <w:tcW w:w="728" w:type="pct"/>
            <w:tcBorders>
              <w:top w:val="single" w:sz="4" w:space="0" w:color="auto"/>
              <w:bottom w:val="single" w:sz="4" w:space="0" w:color="auto"/>
            </w:tcBorders>
            <w:shd w:val="clear" w:color="auto" w:fill="auto"/>
          </w:tcPr>
          <w:p w:rsidR="00434911" w:rsidRPr="004E278C" w:rsidRDefault="00434911" w:rsidP="00AC7A77">
            <w:pPr>
              <w:pStyle w:val="Tabletext"/>
            </w:pPr>
            <w:r w:rsidRPr="004E278C">
              <w:t>15</w:t>
            </w:r>
          </w:p>
        </w:tc>
        <w:tc>
          <w:tcPr>
            <w:tcW w:w="2493" w:type="pct"/>
            <w:tcBorders>
              <w:top w:val="single" w:sz="4" w:space="0" w:color="auto"/>
              <w:bottom w:val="single" w:sz="4" w:space="0" w:color="auto"/>
            </w:tcBorders>
            <w:shd w:val="clear" w:color="auto" w:fill="auto"/>
          </w:tcPr>
          <w:p w:rsidR="00434911" w:rsidRPr="004E278C" w:rsidRDefault="00434911" w:rsidP="00AC7A77">
            <w:pPr>
              <w:pStyle w:val="Tabletext"/>
            </w:pPr>
            <w:r w:rsidRPr="004E278C">
              <w:t>1</w:t>
            </w:r>
            <w:r w:rsidR="004E278C">
              <w:t> </w:t>
            </w:r>
            <w:r w:rsidRPr="004E278C">
              <w:t>July 2013</w:t>
            </w:r>
          </w:p>
        </w:tc>
        <w:tc>
          <w:tcPr>
            <w:tcW w:w="1779" w:type="pct"/>
            <w:tcBorders>
              <w:top w:val="single" w:sz="4" w:space="0" w:color="auto"/>
              <w:bottom w:val="single" w:sz="4" w:space="0" w:color="auto"/>
            </w:tcBorders>
            <w:shd w:val="clear" w:color="auto" w:fill="auto"/>
          </w:tcPr>
          <w:p w:rsidR="00434911" w:rsidRPr="004E278C" w:rsidRDefault="00434911" w:rsidP="00AC7A77">
            <w:pPr>
              <w:pStyle w:val="Tabletext"/>
              <w:tabs>
                <w:tab w:val="decimal" w:pos="1360"/>
              </w:tabs>
            </w:pPr>
            <w:r w:rsidRPr="004E278C">
              <w:t>6.09%</w:t>
            </w:r>
          </w:p>
        </w:tc>
      </w:tr>
      <w:tr w:rsidR="00EE164F" w:rsidRPr="004E278C" w:rsidTr="00AC7A77">
        <w:tc>
          <w:tcPr>
            <w:tcW w:w="728" w:type="pct"/>
            <w:tcBorders>
              <w:top w:val="single" w:sz="4" w:space="0" w:color="auto"/>
              <w:bottom w:val="single" w:sz="4" w:space="0" w:color="auto"/>
            </w:tcBorders>
            <w:shd w:val="clear" w:color="auto" w:fill="auto"/>
          </w:tcPr>
          <w:p w:rsidR="00EE164F" w:rsidRPr="004E278C" w:rsidRDefault="00EE164F" w:rsidP="00AC7A77">
            <w:pPr>
              <w:pStyle w:val="Tabletext"/>
            </w:pPr>
            <w:r w:rsidRPr="004E278C">
              <w:t>16</w:t>
            </w:r>
          </w:p>
        </w:tc>
        <w:tc>
          <w:tcPr>
            <w:tcW w:w="2493" w:type="pct"/>
            <w:tcBorders>
              <w:top w:val="single" w:sz="4" w:space="0" w:color="auto"/>
              <w:bottom w:val="single" w:sz="4" w:space="0" w:color="auto"/>
            </w:tcBorders>
            <w:shd w:val="clear" w:color="auto" w:fill="auto"/>
          </w:tcPr>
          <w:p w:rsidR="00EE164F" w:rsidRPr="004E278C" w:rsidRDefault="00EE164F" w:rsidP="00AC7A77">
            <w:pPr>
              <w:pStyle w:val="Tabletext"/>
              <w:rPr>
                <w:rFonts w:eastAsiaTheme="minorHAnsi"/>
              </w:rPr>
            </w:pPr>
            <w:r w:rsidRPr="004E278C">
              <w:t>1</w:t>
            </w:r>
            <w:r w:rsidR="004E278C">
              <w:t> </w:t>
            </w:r>
            <w:r w:rsidRPr="004E278C">
              <w:t>July 2014</w:t>
            </w:r>
          </w:p>
        </w:tc>
        <w:tc>
          <w:tcPr>
            <w:tcW w:w="1779" w:type="pct"/>
            <w:tcBorders>
              <w:top w:val="single" w:sz="4" w:space="0" w:color="auto"/>
              <w:bottom w:val="single" w:sz="4" w:space="0" w:color="auto"/>
            </w:tcBorders>
            <w:shd w:val="clear" w:color="auto" w:fill="auto"/>
          </w:tcPr>
          <w:p w:rsidR="00EE164F" w:rsidRPr="004E278C" w:rsidRDefault="00EE164F" w:rsidP="00AC7A77">
            <w:pPr>
              <w:pStyle w:val="Tabletext"/>
              <w:tabs>
                <w:tab w:val="decimal" w:pos="1360"/>
              </w:tabs>
              <w:rPr>
                <w:rFonts w:eastAsiaTheme="minorHAnsi"/>
              </w:rPr>
            </w:pPr>
            <w:r w:rsidRPr="004E278C">
              <w:t>6.11%</w:t>
            </w:r>
          </w:p>
        </w:tc>
      </w:tr>
      <w:tr w:rsidR="006B0BD8" w:rsidRPr="004E278C" w:rsidTr="00A45750">
        <w:tc>
          <w:tcPr>
            <w:tcW w:w="728" w:type="pct"/>
            <w:tcBorders>
              <w:top w:val="single" w:sz="4" w:space="0" w:color="auto"/>
              <w:bottom w:val="single" w:sz="4" w:space="0" w:color="auto"/>
            </w:tcBorders>
            <w:shd w:val="clear" w:color="auto" w:fill="auto"/>
          </w:tcPr>
          <w:p w:rsidR="006B0BD8" w:rsidRPr="004E278C" w:rsidRDefault="006B0BD8" w:rsidP="00AC7A77">
            <w:pPr>
              <w:pStyle w:val="Tabletext"/>
            </w:pPr>
            <w:r w:rsidRPr="004E278C">
              <w:t>17</w:t>
            </w:r>
          </w:p>
        </w:tc>
        <w:tc>
          <w:tcPr>
            <w:tcW w:w="2493" w:type="pct"/>
            <w:tcBorders>
              <w:top w:val="single" w:sz="4" w:space="0" w:color="auto"/>
              <w:bottom w:val="single" w:sz="4" w:space="0" w:color="auto"/>
            </w:tcBorders>
            <w:shd w:val="clear" w:color="auto" w:fill="auto"/>
          </w:tcPr>
          <w:p w:rsidR="006B0BD8" w:rsidRPr="004E278C" w:rsidRDefault="006B0BD8" w:rsidP="00AC7A77">
            <w:pPr>
              <w:pStyle w:val="Tabletext"/>
            </w:pPr>
            <w:r w:rsidRPr="004E278C">
              <w:t>1</w:t>
            </w:r>
            <w:r w:rsidR="004E278C">
              <w:t> </w:t>
            </w:r>
            <w:r w:rsidRPr="004E278C">
              <w:t>July 2015</w:t>
            </w:r>
          </w:p>
        </w:tc>
        <w:tc>
          <w:tcPr>
            <w:tcW w:w="1779" w:type="pct"/>
            <w:tcBorders>
              <w:top w:val="single" w:sz="4" w:space="0" w:color="auto"/>
              <w:bottom w:val="single" w:sz="4" w:space="0" w:color="auto"/>
            </w:tcBorders>
            <w:shd w:val="clear" w:color="auto" w:fill="auto"/>
          </w:tcPr>
          <w:p w:rsidR="006B0BD8" w:rsidRPr="004E278C" w:rsidRDefault="006B0BD8" w:rsidP="00AC7A77">
            <w:pPr>
              <w:pStyle w:val="Tabletext"/>
              <w:tabs>
                <w:tab w:val="decimal" w:pos="1360"/>
              </w:tabs>
            </w:pPr>
            <w:r w:rsidRPr="004E278C">
              <w:t>5.82%</w:t>
            </w:r>
          </w:p>
        </w:tc>
      </w:tr>
      <w:tr w:rsidR="004E7AEA" w:rsidRPr="004E278C" w:rsidTr="00FA359E">
        <w:tc>
          <w:tcPr>
            <w:tcW w:w="728" w:type="pct"/>
            <w:tcBorders>
              <w:top w:val="single" w:sz="4" w:space="0" w:color="auto"/>
              <w:bottom w:val="single" w:sz="4" w:space="0" w:color="auto"/>
            </w:tcBorders>
            <w:shd w:val="clear" w:color="auto" w:fill="auto"/>
          </w:tcPr>
          <w:p w:rsidR="004E7AEA" w:rsidRPr="004E278C" w:rsidRDefault="004E7AEA" w:rsidP="00AC7A77">
            <w:pPr>
              <w:pStyle w:val="Tabletext"/>
            </w:pPr>
            <w:r w:rsidRPr="004E278C">
              <w:t>18</w:t>
            </w:r>
          </w:p>
        </w:tc>
        <w:tc>
          <w:tcPr>
            <w:tcW w:w="2493" w:type="pct"/>
            <w:tcBorders>
              <w:top w:val="single" w:sz="4" w:space="0" w:color="auto"/>
              <w:bottom w:val="single" w:sz="4" w:space="0" w:color="auto"/>
            </w:tcBorders>
            <w:shd w:val="clear" w:color="auto" w:fill="auto"/>
          </w:tcPr>
          <w:p w:rsidR="004E7AEA" w:rsidRPr="004E278C" w:rsidRDefault="004E7AEA" w:rsidP="00AC7A77">
            <w:pPr>
              <w:pStyle w:val="Tabletext"/>
            </w:pPr>
            <w:r w:rsidRPr="004E278C">
              <w:t>1</w:t>
            </w:r>
            <w:r w:rsidR="004E278C">
              <w:t> </w:t>
            </w:r>
            <w:r w:rsidRPr="004E278C">
              <w:t>July 2016</w:t>
            </w:r>
          </w:p>
        </w:tc>
        <w:tc>
          <w:tcPr>
            <w:tcW w:w="1779" w:type="pct"/>
            <w:tcBorders>
              <w:top w:val="single" w:sz="4" w:space="0" w:color="auto"/>
              <w:bottom w:val="single" w:sz="4" w:space="0" w:color="auto"/>
            </w:tcBorders>
            <w:shd w:val="clear" w:color="auto" w:fill="auto"/>
          </w:tcPr>
          <w:p w:rsidR="004E7AEA" w:rsidRPr="004E278C" w:rsidRDefault="004E7AEA" w:rsidP="00AC7A77">
            <w:pPr>
              <w:pStyle w:val="Tabletext"/>
              <w:tabs>
                <w:tab w:val="decimal" w:pos="1360"/>
              </w:tabs>
            </w:pPr>
            <w:r w:rsidRPr="004E278C">
              <w:t>5.8%</w:t>
            </w:r>
          </w:p>
        </w:tc>
      </w:tr>
      <w:tr w:rsidR="00170EA3" w:rsidRPr="004E278C" w:rsidTr="005107D8">
        <w:tc>
          <w:tcPr>
            <w:tcW w:w="728" w:type="pct"/>
            <w:tcBorders>
              <w:top w:val="single" w:sz="4" w:space="0" w:color="auto"/>
              <w:bottom w:val="single" w:sz="4" w:space="0" w:color="auto"/>
            </w:tcBorders>
            <w:shd w:val="clear" w:color="auto" w:fill="auto"/>
          </w:tcPr>
          <w:p w:rsidR="00170EA3" w:rsidRPr="004E278C" w:rsidRDefault="00170EA3" w:rsidP="00AF3C52">
            <w:pPr>
              <w:pStyle w:val="Tabletext"/>
            </w:pPr>
            <w:r w:rsidRPr="004E278C">
              <w:t>19</w:t>
            </w:r>
          </w:p>
        </w:tc>
        <w:tc>
          <w:tcPr>
            <w:tcW w:w="2493" w:type="pct"/>
            <w:tcBorders>
              <w:top w:val="single" w:sz="4" w:space="0" w:color="auto"/>
              <w:bottom w:val="single" w:sz="4" w:space="0" w:color="auto"/>
            </w:tcBorders>
            <w:shd w:val="clear" w:color="auto" w:fill="auto"/>
          </w:tcPr>
          <w:p w:rsidR="00170EA3" w:rsidRPr="004E278C" w:rsidRDefault="00170EA3" w:rsidP="00AF3C52">
            <w:pPr>
              <w:pStyle w:val="Tabletext"/>
            </w:pPr>
            <w:r w:rsidRPr="004E278C">
              <w:t>1</w:t>
            </w:r>
            <w:r w:rsidR="004E278C">
              <w:t> </w:t>
            </w:r>
            <w:r w:rsidRPr="004E278C">
              <w:t>July 2017</w:t>
            </w:r>
          </w:p>
        </w:tc>
        <w:tc>
          <w:tcPr>
            <w:tcW w:w="1779" w:type="pct"/>
            <w:tcBorders>
              <w:top w:val="single" w:sz="4" w:space="0" w:color="auto"/>
              <w:bottom w:val="single" w:sz="4" w:space="0" w:color="auto"/>
            </w:tcBorders>
            <w:shd w:val="clear" w:color="auto" w:fill="auto"/>
          </w:tcPr>
          <w:p w:rsidR="00170EA3" w:rsidRPr="004E278C" w:rsidRDefault="00170EA3" w:rsidP="00AF3C52">
            <w:pPr>
              <w:pStyle w:val="Tabletext"/>
              <w:tabs>
                <w:tab w:val="decimal" w:pos="1360"/>
              </w:tabs>
            </w:pPr>
            <w:r w:rsidRPr="004E278C">
              <w:t>6.55%</w:t>
            </w:r>
          </w:p>
        </w:tc>
      </w:tr>
      <w:tr w:rsidR="00EC0BFB" w:rsidRPr="004E278C" w:rsidTr="000B1873">
        <w:tc>
          <w:tcPr>
            <w:tcW w:w="728" w:type="pct"/>
            <w:tcBorders>
              <w:top w:val="single" w:sz="4" w:space="0" w:color="auto"/>
              <w:bottom w:val="single" w:sz="4" w:space="0" w:color="auto"/>
            </w:tcBorders>
            <w:shd w:val="clear" w:color="auto" w:fill="auto"/>
          </w:tcPr>
          <w:p w:rsidR="00EC0BFB" w:rsidRPr="004E278C" w:rsidRDefault="00EC0BFB" w:rsidP="00802015">
            <w:pPr>
              <w:pStyle w:val="Tabletext"/>
            </w:pPr>
            <w:r w:rsidRPr="004E278C">
              <w:t>20</w:t>
            </w:r>
          </w:p>
        </w:tc>
        <w:tc>
          <w:tcPr>
            <w:tcW w:w="2493" w:type="pct"/>
            <w:tcBorders>
              <w:top w:val="single" w:sz="4" w:space="0" w:color="auto"/>
              <w:bottom w:val="single" w:sz="4" w:space="0" w:color="auto"/>
            </w:tcBorders>
            <w:shd w:val="clear" w:color="auto" w:fill="auto"/>
          </w:tcPr>
          <w:p w:rsidR="00EC0BFB" w:rsidRPr="004E278C" w:rsidRDefault="00EC0BFB" w:rsidP="00802015">
            <w:pPr>
              <w:pStyle w:val="Tabletext"/>
            </w:pPr>
            <w:r w:rsidRPr="004E278C">
              <w:t>1</w:t>
            </w:r>
            <w:r w:rsidR="004E278C">
              <w:t> </w:t>
            </w:r>
            <w:r w:rsidRPr="004E278C">
              <w:t>July 2018</w:t>
            </w:r>
          </w:p>
        </w:tc>
        <w:tc>
          <w:tcPr>
            <w:tcW w:w="1779" w:type="pct"/>
            <w:tcBorders>
              <w:top w:val="single" w:sz="4" w:space="0" w:color="auto"/>
              <w:bottom w:val="single" w:sz="4" w:space="0" w:color="auto"/>
            </w:tcBorders>
            <w:shd w:val="clear" w:color="auto" w:fill="auto"/>
          </w:tcPr>
          <w:p w:rsidR="00EC0BFB" w:rsidRPr="004E278C" w:rsidRDefault="00EC0BFB" w:rsidP="00802015">
            <w:pPr>
              <w:pStyle w:val="Tabletext"/>
              <w:tabs>
                <w:tab w:val="decimal" w:pos="1360"/>
              </w:tabs>
            </w:pPr>
            <w:r w:rsidRPr="004E278C">
              <w:t>7.13%</w:t>
            </w:r>
          </w:p>
        </w:tc>
      </w:tr>
      <w:tr w:rsidR="00F02EE4" w:rsidRPr="004E278C" w:rsidTr="00F32162">
        <w:tc>
          <w:tcPr>
            <w:tcW w:w="728" w:type="pct"/>
            <w:tcBorders>
              <w:top w:val="single" w:sz="4" w:space="0" w:color="auto"/>
              <w:bottom w:val="single" w:sz="4" w:space="0" w:color="auto"/>
            </w:tcBorders>
            <w:shd w:val="clear" w:color="auto" w:fill="auto"/>
          </w:tcPr>
          <w:p w:rsidR="00F02EE4" w:rsidRPr="004E278C" w:rsidRDefault="00F02EE4" w:rsidP="00802015">
            <w:pPr>
              <w:pStyle w:val="Tabletext"/>
            </w:pPr>
            <w:r w:rsidRPr="004E278C">
              <w:t>21</w:t>
            </w:r>
          </w:p>
        </w:tc>
        <w:tc>
          <w:tcPr>
            <w:tcW w:w="2493" w:type="pct"/>
            <w:tcBorders>
              <w:top w:val="single" w:sz="4" w:space="0" w:color="auto"/>
              <w:bottom w:val="single" w:sz="4" w:space="0" w:color="auto"/>
            </w:tcBorders>
            <w:shd w:val="clear" w:color="auto" w:fill="auto"/>
          </w:tcPr>
          <w:p w:rsidR="00F02EE4" w:rsidRPr="004E278C" w:rsidRDefault="00F02EE4" w:rsidP="00802015">
            <w:pPr>
              <w:pStyle w:val="Tabletext"/>
            </w:pPr>
            <w:r w:rsidRPr="004E278C">
              <w:t>1</w:t>
            </w:r>
            <w:r w:rsidR="004E278C">
              <w:t> </w:t>
            </w:r>
            <w:r w:rsidRPr="004E278C">
              <w:t>July 2019</w:t>
            </w:r>
          </w:p>
        </w:tc>
        <w:tc>
          <w:tcPr>
            <w:tcW w:w="1779" w:type="pct"/>
            <w:tcBorders>
              <w:top w:val="single" w:sz="4" w:space="0" w:color="auto"/>
              <w:bottom w:val="single" w:sz="4" w:space="0" w:color="auto"/>
            </w:tcBorders>
            <w:shd w:val="clear" w:color="auto" w:fill="auto"/>
          </w:tcPr>
          <w:p w:rsidR="00F02EE4" w:rsidRPr="004E278C" w:rsidRDefault="00F02EE4" w:rsidP="00802015">
            <w:pPr>
              <w:pStyle w:val="Tabletext"/>
              <w:tabs>
                <w:tab w:val="decimal" w:pos="1360"/>
              </w:tabs>
            </w:pPr>
            <w:r w:rsidRPr="004E278C">
              <w:t>5.82%</w:t>
            </w:r>
          </w:p>
        </w:tc>
      </w:tr>
      <w:tr w:rsidR="00B814BC" w:rsidRPr="00936E9E" w:rsidTr="00F32162">
        <w:tc>
          <w:tcPr>
            <w:tcW w:w="728" w:type="pct"/>
            <w:tcBorders>
              <w:top w:val="single" w:sz="4" w:space="0" w:color="auto"/>
              <w:bottom w:val="single" w:sz="12" w:space="0" w:color="auto"/>
            </w:tcBorders>
            <w:shd w:val="clear" w:color="auto" w:fill="auto"/>
          </w:tcPr>
          <w:p w:rsidR="00B814BC" w:rsidRPr="00936E9E" w:rsidRDefault="00B814BC" w:rsidP="00B814BC">
            <w:pPr>
              <w:pStyle w:val="Tabletext"/>
            </w:pPr>
            <w:r w:rsidRPr="00936E9E">
              <w:t>22</w:t>
            </w:r>
          </w:p>
        </w:tc>
        <w:tc>
          <w:tcPr>
            <w:tcW w:w="2493" w:type="pct"/>
            <w:tcBorders>
              <w:top w:val="single" w:sz="4" w:space="0" w:color="auto"/>
              <w:bottom w:val="single" w:sz="12" w:space="0" w:color="auto"/>
            </w:tcBorders>
            <w:shd w:val="clear" w:color="auto" w:fill="auto"/>
          </w:tcPr>
          <w:p w:rsidR="00B814BC" w:rsidRPr="00936E9E" w:rsidRDefault="00B814BC" w:rsidP="00B814BC">
            <w:pPr>
              <w:pStyle w:val="Tabletext"/>
            </w:pPr>
            <w:r w:rsidRPr="00936E9E">
              <w:t>1 July 2020</w:t>
            </w:r>
          </w:p>
        </w:tc>
        <w:tc>
          <w:tcPr>
            <w:tcW w:w="1779" w:type="pct"/>
            <w:tcBorders>
              <w:top w:val="single" w:sz="4" w:space="0" w:color="auto"/>
              <w:bottom w:val="single" w:sz="12" w:space="0" w:color="auto"/>
            </w:tcBorders>
            <w:shd w:val="clear" w:color="auto" w:fill="auto"/>
          </w:tcPr>
          <w:p w:rsidR="00B814BC" w:rsidRPr="00936E9E" w:rsidRDefault="00B814BC" w:rsidP="00B814BC">
            <w:pPr>
              <w:pStyle w:val="Tabletext"/>
              <w:tabs>
                <w:tab w:val="decimal" w:pos="1360"/>
              </w:tabs>
            </w:pPr>
            <w:r w:rsidRPr="00936E9E">
              <w:t>7.07%</w:t>
            </w:r>
          </w:p>
        </w:tc>
      </w:tr>
    </w:tbl>
    <w:p w:rsidR="000A45F0" w:rsidRPr="004E278C" w:rsidRDefault="000A45F0" w:rsidP="00303534">
      <w:pPr>
        <w:pStyle w:val="subsection"/>
      </w:pPr>
      <w:r w:rsidRPr="004E278C">
        <w:tab/>
        <w:t>(3)</w:t>
      </w:r>
      <w:r w:rsidRPr="004E278C">
        <w:tab/>
        <w:t>For paragraph</w:t>
      </w:r>
      <w:r w:rsidR="004E278C">
        <w:t> </w:t>
      </w:r>
      <w:r w:rsidRPr="004E278C">
        <w:t>5(3)(b) of the Act, the fishing industry is the primary industry to which the levy mentioned in subregulation (1) relates.</w:t>
      </w:r>
    </w:p>
    <w:p w:rsidR="000A45F0" w:rsidRPr="004E278C" w:rsidRDefault="000A45F0" w:rsidP="00303534">
      <w:pPr>
        <w:pStyle w:val="subsection"/>
      </w:pPr>
      <w:r w:rsidRPr="004E278C">
        <w:lastRenderedPageBreak/>
        <w:tab/>
        <w:t>(4)</w:t>
      </w:r>
      <w:r w:rsidRPr="004E278C">
        <w:tab/>
        <w:t xml:space="preserve">If the Corporation has received levy payments during a financial year mentioned in </w:t>
      </w:r>
      <w:r w:rsidR="006B0BD8" w:rsidRPr="004E278C">
        <w:t>an item of the table in subregulation (2)</w:t>
      </w:r>
      <w:r w:rsidRPr="004E278C">
        <w:t>, the amount of the research component of the levy for that year is to be reduced by any payments of levy already made to the Corporation for that year.</w:t>
      </w:r>
    </w:p>
    <w:p w:rsidR="000A45F0" w:rsidRPr="004E278C" w:rsidRDefault="000A45F0" w:rsidP="00303534">
      <w:pPr>
        <w:pStyle w:val="ActHead5"/>
      </w:pPr>
      <w:bookmarkStart w:id="6" w:name="_Toc75269201"/>
      <w:r w:rsidRPr="00994A83">
        <w:rPr>
          <w:rStyle w:val="CharSectno"/>
        </w:rPr>
        <w:t>4B</w:t>
      </w:r>
      <w:r w:rsidR="00303534" w:rsidRPr="004E278C">
        <w:t xml:space="preserve">  </w:t>
      </w:r>
      <w:r w:rsidRPr="004E278C">
        <w:t>Levies attached to the Corporation</w:t>
      </w:r>
      <w:r w:rsidR="00303534" w:rsidRPr="004E278C">
        <w:t>—</w:t>
      </w:r>
      <w:r w:rsidR="008336E3" w:rsidRPr="004E278C">
        <w:t>product levies on farmed prawns</w:t>
      </w:r>
      <w:bookmarkEnd w:id="6"/>
    </w:p>
    <w:p w:rsidR="000A45F0" w:rsidRPr="004E278C" w:rsidRDefault="000A45F0" w:rsidP="00303534">
      <w:pPr>
        <w:pStyle w:val="subsection"/>
      </w:pPr>
      <w:r w:rsidRPr="004E278C">
        <w:tab/>
        <w:t>(1)</w:t>
      </w:r>
      <w:r w:rsidRPr="004E278C">
        <w:tab/>
        <w:t>For paragraph</w:t>
      </w:r>
      <w:r w:rsidR="004E278C">
        <w:t> </w:t>
      </w:r>
      <w:r w:rsidRPr="004E278C">
        <w:t>5(1)(a) of the Act, the following are attached to the Corporation:</w:t>
      </w:r>
    </w:p>
    <w:p w:rsidR="000A45F0" w:rsidRPr="004E278C" w:rsidRDefault="000A45F0" w:rsidP="00303534">
      <w:pPr>
        <w:pStyle w:val="paragraph"/>
      </w:pPr>
      <w:r w:rsidRPr="004E278C">
        <w:tab/>
        <w:t>(a)</w:t>
      </w:r>
      <w:r w:rsidRPr="004E278C">
        <w:tab/>
        <w:t>the levy imposed by clause</w:t>
      </w:r>
      <w:r w:rsidR="004E278C">
        <w:t> </w:t>
      </w:r>
      <w:r w:rsidRPr="004E278C">
        <w:t>3.2 of Schedule</w:t>
      </w:r>
      <w:r w:rsidR="004E278C">
        <w:t> </w:t>
      </w:r>
      <w:r w:rsidRPr="004E278C">
        <w:t xml:space="preserve">27 to the </w:t>
      </w:r>
      <w:r w:rsidRPr="004E278C">
        <w:rPr>
          <w:i/>
        </w:rPr>
        <w:t xml:space="preserve">Primary Industries (Excise) Levies </w:t>
      </w:r>
      <w:r w:rsidR="00994A83">
        <w:rPr>
          <w:i/>
        </w:rPr>
        <w:t>Regulations 1</w:t>
      </w:r>
      <w:r w:rsidRPr="004E278C">
        <w:rPr>
          <w:i/>
        </w:rPr>
        <w:t>999</w:t>
      </w:r>
      <w:r w:rsidRPr="004E278C">
        <w:t>;</w:t>
      </w:r>
    </w:p>
    <w:p w:rsidR="000A45F0" w:rsidRPr="004E278C" w:rsidRDefault="000A45F0" w:rsidP="00303534">
      <w:pPr>
        <w:pStyle w:val="paragraph"/>
      </w:pPr>
      <w:r w:rsidRPr="004E278C">
        <w:tab/>
        <w:t>(b)</w:t>
      </w:r>
      <w:r w:rsidRPr="004E278C">
        <w:tab/>
        <w:t>the charge imposed by clause</w:t>
      </w:r>
      <w:r w:rsidR="004E278C">
        <w:t> </w:t>
      </w:r>
      <w:r w:rsidRPr="004E278C">
        <w:t>2.2 of Schedule</w:t>
      </w:r>
      <w:r w:rsidR="004E278C">
        <w:t> </w:t>
      </w:r>
      <w:r w:rsidRPr="004E278C">
        <w:t xml:space="preserve">14 to the </w:t>
      </w:r>
      <w:r w:rsidRPr="004E278C">
        <w:rPr>
          <w:i/>
        </w:rPr>
        <w:t xml:space="preserve">Primary Industries (Customs) Charges </w:t>
      </w:r>
      <w:r w:rsidR="009F7D66">
        <w:rPr>
          <w:i/>
        </w:rPr>
        <w:t>Regulations 2</w:t>
      </w:r>
      <w:r w:rsidRPr="004E278C">
        <w:rPr>
          <w:i/>
        </w:rPr>
        <w:t>000</w:t>
      </w:r>
      <w:r w:rsidRPr="004E278C">
        <w:t>.</w:t>
      </w:r>
    </w:p>
    <w:p w:rsidR="000A45F0" w:rsidRPr="004E278C" w:rsidRDefault="000A45F0" w:rsidP="00303534">
      <w:pPr>
        <w:pStyle w:val="subsection"/>
      </w:pPr>
      <w:r w:rsidRPr="004E278C">
        <w:tab/>
        <w:t>(2)</w:t>
      </w:r>
      <w:r w:rsidRPr="004E278C">
        <w:tab/>
        <w:t>For paragraph</w:t>
      </w:r>
      <w:r w:rsidR="004E278C">
        <w:t> </w:t>
      </w:r>
      <w:r w:rsidRPr="004E278C">
        <w:t>5(3)(a) of the Act, the research component of the levies mentioned in subregulation (1) is the whole of the levies.</w:t>
      </w:r>
    </w:p>
    <w:p w:rsidR="000A45F0" w:rsidRPr="004E278C" w:rsidRDefault="000A45F0" w:rsidP="00303534">
      <w:pPr>
        <w:pStyle w:val="subsection"/>
      </w:pPr>
      <w:r w:rsidRPr="004E278C">
        <w:tab/>
        <w:t>(3)</w:t>
      </w:r>
      <w:r w:rsidRPr="004E278C">
        <w:tab/>
        <w:t>For paragraph</w:t>
      </w:r>
      <w:r w:rsidR="004E278C">
        <w:t> </w:t>
      </w:r>
      <w:r w:rsidRPr="004E278C">
        <w:t>5(3)(b) of the Act, the fishing industry is the primary industry to which the levies mentioned in subregulation (1) relate.</w:t>
      </w:r>
    </w:p>
    <w:p w:rsidR="008336E3" w:rsidRPr="004E278C" w:rsidRDefault="008336E3" w:rsidP="008336E3">
      <w:pPr>
        <w:pStyle w:val="ActHead5"/>
      </w:pPr>
      <w:bookmarkStart w:id="7" w:name="_Toc75269202"/>
      <w:r w:rsidRPr="00994A83">
        <w:rPr>
          <w:rStyle w:val="CharSectno"/>
        </w:rPr>
        <w:t>4BA</w:t>
      </w:r>
      <w:r w:rsidRPr="004E278C">
        <w:t xml:space="preserve">  Levies attached to the Corporation—white spot disease repayment levies on farmed prawns</w:t>
      </w:r>
      <w:bookmarkEnd w:id="7"/>
    </w:p>
    <w:p w:rsidR="008336E3" w:rsidRPr="004E278C" w:rsidRDefault="008336E3" w:rsidP="008336E3">
      <w:pPr>
        <w:pStyle w:val="SubsectionHead"/>
      </w:pPr>
      <w:r w:rsidRPr="004E278C">
        <w:t>Interpretation</w:t>
      </w:r>
    </w:p>
    <w:p w:rsidR="008336E3" w:rsidRPr="004E278C" w:rsidRDefault="008336E3" w:rsidP="008336E3">
      <w:pPr>
        <w:pStyle w:val="subsection"/>
      </w:pPr>
      <w:r w:rsidRPr="004E278C">
        <w:tab/>
        <w:t>(1)</w:t>
      </w:r>
      <w:r w:rsidRPr="004E278C">
        <w:tab/>
        <w:t>In this regulation:</w:t>
      </w:r>
    </w:p>
    <w:p w:rsidR="008336E3" w:rsidRPr="004E278C" w:rsidRDefault="008336E3" w:rsidP="008336E3">
      <w:pPr>
        <w:pStyle w:val="Definition"/>
      </w:pPr>
      <w:r w:rsidRPr="004E278C">
        <w:rPr>
          <w:b/>
          <w:i/>
        </w:rPr>
        <w:t>final repayment year</w:t>
      </w:r>
      <w:r w:rsidRPr="004E278C">
        <w:t xml:space="preserve"> means the first financial year ending after the commencement of this regulation when the outstanding industry debt at the end of the year is nil.</w:t>
      </w:r>
    </w:p>
    <w:p w:rsidR="008336E3" w:rsidRPr="004E278C" w:rsidRDefault="008336E3" w:rsidP="008336E3">
      <w:pPr>
        <w:pStyle w:val="Definition"/>
      </w:pPr>
      <w:r w:rsidRPr="004E278C">
        <w:rPr>
          <w:b/>
          <w:i/>
        </w:rPr>
        <w:t>final repayment year surplus</w:t>
      </w:r>
      <w:r w:rsidRPr="004E278C">
        <w:t xml:space="preserve"> means the amount that is the difference between:</w:t>
      </w:r>
    </w:p>
    <w:p w:rsidR="008336E3" w:rsidRPr="004E278C" w:rsidRDefault="008336E3" w:rsidP="008336E3">
      <w:pPr>
        <w:pStyle w:val="paragraph"/>
      </w:pPr>
      <w:r w:rsidRPr="004E278C">
        <w:tab/>
        <w:t>(a)</w:t>
      </w:r>
      <w:r w:rsidRPr="004E278C">
        <w:tab/>
        <w:t>the total repayment levies amount for the final repayment year; and</w:t>
      </w:r>
    </w:p>
    <w:p w:rsidR="008336E3" w:rsidRPr="004E278C" w:rsidRDefault="008336E3" w:rsidP="008336E3">
      <w:pPr>
        <w:pStyle w:val="paragraph"/>
      </w:pPr>
      <w:r w:rsidRPr="004E278C">
        <w:tab/>
        <w:t>(b)</w:t>
      </w:r>
      <w:r w:rsidRPr="004E278C">
        <w:tab/>
        <w:t>the outstanding industry debt at the end of the financial year immediately preceding the final repayment year.</w:t>
      </w:r>
    </w:p>
    <w:p w:rsidR="008336E3" w:rsidRPr="004E278C" w:rsidRDefault="008336E3" w:rsidP="008336E3">
      <w:pPr>
        <w:pStyle w:val="Definition"/>
      </w:pPr>
      <w:r w:rsidRPr="004E278C">
        <w:rPr>
          <w:b/>
          <w:i/>
        </w:rPr>
        <w:t>first repayment year</w:t>
      </w:r>
      <w:r w:rsidRPr="004E278C">
        <w:rPr>
          <w:i/>
        </w:rPr>
        <w:t xml:space="preserve"> </w:t>
      </w:r>
      <w:r w:rsidRPr="004E278C">
        <w:t>means the financial year ending on 30</w:t>
      </w:r>
      <w:r w:rsidR="004E278C">
        <w:t> </w:t>
      </w:r>
      <w:r w:rsidRPr="004E278C">
        <w:t>June 2020.</w:t>
      </w:r>
    </w:p>
    <w:p w:rsidR="008336E3" w:rsidRPr="004E278C" w:rsidRDefault="008336E3" w:rsidP="008336E3">
      <w:pPr>
        <w:pStyle w:val="Definition"/>
      </w:pPr>
      <w:r w:rsidRPr="004E278C">
        <w:rPr>
          <w:b/>
          <w:i/>
        </w:rPr>
        <w:t>indexation factor</w:t>
      </w:r>
      <w:r w:rsidRPr="004E278C">
        <w:t xml:space="preserve"> for a financial year has the meaning given by subregulations (8) and (9).</w:t>
      </w:r>
    </w:p>
    <w:p w:rsidR="008336E3" w:rsidRPr="004E278C" w:rsidRDefault="008336E3" w:rsidP="008336E3">
      <w:pPr>
        <w:pStyle w:val="Definition"/>
      </w:pPr>
      <w:r w:rsidRPr="004E278C">
        <w:rPr>
          <w:b/>
          <w:i/>
        </w:rPr>
        <w:t>index number</w:t>
      </w:r>
      <w:r w:rsidRPr="004E278C">
        <w:t xml:space="preserve"> for a financial year means the All Groups Consumer Price Index number (being the weighted average of 8 capital cities) published by the Australian Statistician for that year.</w:t>
      </w:r>
    </w:p>
    <w:p w:rsidR="008336E3" w:rsidRPr="004E278C" w:rsidRDefault="008336E3" w:rsidP="008336E3">
      <w:pPr>
        <w:pStyle w:val="Definition"/>
      </w:pPr>
      <w:r w:rsidRPr="004E278C">
        <w:rPr>
          <w:b/>
          <w:i/>
        </w:rPr>
        <w:t xml:space="preserve">later repayment year </w:t>
      </w:r>
      <w:r w:rsidRPr="004E278C">
        <w:t>means a financial year commencing on or after 1</w:t>
      </w:r>
      <w:r w:rsidR="004E278C">
        <w:t> </w:t>
      </w:r>
      <w:r w:rsidRPr="004E278C">
        <w:t>July 2020.</w:t>
      </w:r>
    </w:p>
    <w:p w:rsidR="008336E3" w:rsidRPr="004E278C" w:rsidRDefault="008336E3" w:rsidP="008336E3">
      <w:pPr>
        <w:pStyle w:val="Definition"/>
      </w:pPr>
      <w:r w:rsidRPr="004E278C">
        <w:rPr>
          <w:b/>
          <w:i/>
        </w:rPr>
        <w:lastRenderedPageBreak/>
        <w:t>outstanding industry debt</w:t>
      </w:r>
      <w:r w:rsidRPr="004E278C">
        <w:t xml:space="preserve"> at the end of a financial year has the meaning given by subregulations (5) and (6).</w:t>
      </w:r>
    </w:p>
    <w:p w:rsidR="008336E3" w:rsidRPr="004E278C" w:rsidRDefault="008336E3" w:rsidP="008336E3">
      <w:pPr>
        <w:pStyle w:val="Definition"/>
      </w:pPr>
      <w:r w:rsidRPr="004E278C">
        <w:rPr>
          <w:b/>
          <w:i/>
        </w:rPr>
        <w:t>repayment levy</w:t>
      </w:r>
      <w:r w:rsidRPr="004E278C">
        <w:rPr>
          <w:b/>
        </w:rPr>
        <w:t xml:space="preserve"> </w:t>
      </w:r>
      <w:r w:rsidRPr="004E278C">
        <w:t>means:</w:t>
      </w:r>
    </w:p>
    <w:p w:rsidR="008336E3" w:rsidRPr="004E278C" w:rsidRDefault="008336E3" w:rsidP="008336E3">
      <w:pPr>
        <w:pStyle w:val="paragraph"/>
      </w:pPr>
      <w:r w:rsidRPr="004E278C">
        <w:tab/>
        <w:t>(a)</w:t>
      </w:r>
      <w:r w:rsidRPr="004E278C">
        <w:tab/>
        <w:t xml:space="preserve">the levy referred to in </w:t>
      </w:r>
      <w:r w:rsidR="004E278C">
        <w:t>paragraph (</w:t>
      </w:r>
      <w:r w:rsidRPr="004E278C">
        <w:t>2)(a); or</w:t>
      </w:r>
    </w:p>
    <w:p w:rsidR="008336E3" w:rsidRPr="004E278C" w:rsidRDefault="008336E3" w:rsidP="008336E3">
      <w:pPr>
        <w:pStyle w:val="paragraph"/>
      </w:pPr>
      <w:r w:rsidRPr="004E278C">
        <w:tab/>
        <w:t>(b)</w:t>
      </w:r>
      <w:r w:rsidRPr="004E278C">
        <w:tab/>
        <w:t xml:space="preserve">the charge referred to in </w:t>
      </w:r>
      <w:r w:rsidR="004E278C">
        <w:t>paragraph (</w:t>
      </w:r>
      <w:r w:rsidRPr="004E278C">
        <w:t>2)(b).</w:t>
      </w:r>
    </w:p>
    <w:p w:rsidR="008336E3" w:rsidRPr="004E278C" w:rsidRDefault="008336E3" w:rsidP="008336E3">
      <w:pPr>
        <w:pStyle w:val="Definition"/>
      </w:pPr>
      <w:r w:rsidRPr="004E278C">
        <w:rPr>
          <w:b/>
          <w:i/>
        </w:rPr>
        <w:t xml:space="preserve">total repayment levies amount </w:t>
      </w:r>
      <w:r w:rsidRPr="004E278C">
        <w:t>for a financial year means the amount worked out by:</w:t>
      </w:r>
    </w:p>
    <w:p w:rsidR="008336E3" w:rsidRPr="004E278C" w:rsidRDefault="008336E3" w:rsidP="008336E3">
      <w:pPr>
        <w:pStyle w:val="paragraph"/>
      </w:pPr>
      <w:r w:rsidRPr="004E278C">
        <w:tab/>
        <w:t>(a)</w:t>
      </w:r>
      <w:r w:rsidRPr="004E278C">
        <w:tab/>
        <w:t>calculating the total amount of all repayment levies received by the Commonwealth during the financial year; and</w:t>
      </w:r>
    </w:p>
    <w:p w:rsidR="008336E3" w:rsidRPr="004E278C" w:rsidRDefault="008336E3" w:rsidP="008336E3">
      <w:pPr>
        <w:pStyle w:val="paragraph"/>
      </w:pPr>
      <w:r w:rsidRPr="004E278C">
        <w:tab/>
        <w:t>(b)</w:t>
      </w:r>
      <w:r w:rsidRPr="004E278C">
        <w:tab/>
        <w:t>adding any amounts of penalty received by the Commonwealth during the financial year for non</w:t>
      </w:r>
      <w:r w:rsidR="00994A83">
        <w:noBreakHyphen/>
      </w:r>
      <w:r w:rsidRPr="004E278C">
        <w:t>payment of repayment levy; and</w:t>
      </w:r>
    </w:p>
    <w:p w:rsidR="008336E3" w:rsidRPr="004E278C" w:rsidRDefault="008336E3" w:rsidP="008336E3">
      <w:pPr>
        <w:pStyle w:val="paragraph"/>
      </w:pPr>
      <w:r w:rsidRPr="004E278C">
        <w:tab/>
        <w:t>(c)</w:t>
      </w:r>
      <w:r w:rsidRPr="004E278C">
        <w:tab/>
        <w:t>subtracting any overpaid amounts of repayment levy, and any overpaid amounts of penalty for non</w:t>
      </w:r>
      <w:r w:rsidR="00994A83">
        <w:noBreakHyphen/>
      </w:r>
      <w:r w:rsidRPr="004E278C">
        <w:t>payment of repayment levy, that were refunded by the Commonwealth during the financial year (whether or not those overpaid amounts were received by the Commonwealth during the financial year).</w:t>
      </w:r>
    </w:p>
    <w:p w:rsidR="008336E3" w:rsidRPr="004E278C" w:rsidRDefault="008336E3" w:rsidP="008336E3">
      <w:pPr>
        <w:pStyle w:val="notetext"/>
      </w:pPr>
      <w:r w:rsidRPr="004E278C">
        <w:t>Note:</w:t>
      </w:r>
      <w:r w:rsidRPr="004E278C">
        <w:tab/>
        <w:t>Section</w:t>
      </w:r>
      <w:r w:rsidR="004E278C">
        <w:t> </w:t>
      </w:r>
      <w:r w:rsidRPr="004E278C">
        <w:t xml:space="preserve">18 of the </w:t>
      </w:r>
      <w:r w:rsidRPr="004E278C">
        <w:rPr>
          <w:i/>
        </w:rPr>
        <w:t xml:space="preserve">Primary Industries Levies and Charges Collection Act 1991 </w:t>
      </w:r>
      <w:r w:rsidRPr="004E278C">
        <w:t xml:space="preserve">deals with refunds of the overpaid amounts referred to in </w:t>
      </w:r>
      <w:r w:rsidR="004E278C">
        <w:t>paragraph (</w:t>
      </w:r>
      <w:r w:rsidRPr="004E278C">
        <w:t>c)</w:t>
      </w:r>
      <w:r w:rsidRPr="004E278C">
        <w:rPr>
          <w:i/>
        </w:rPr>
        <w:t>.</w:t>
      </w:r>
    </w:p>
    <w:p w:rsidR="008336E3" w:rsidRPr="004E278C" w:rsidRDefault="008336E3" w:rsidP="008336E3">
      <w:pPr>
        <w:pStyle w:val="SubsectionHead"/>
      </w:pPr>
      <w:r w:rsidRPr="004E278C">
        <w:t>Repayment levies attached to the Corporation</w:t>
      </w:r>
    </w:p>
    <w:p w:rsidR="008336E3" w:rsidRPr="004E278C" w:rsidRDefault="008336E3" w:rsidP="008336E3">
      <w:pPr>
        <w:pStyle w:val="subsection"/>
      </w:pPr>
      <w:r w:rsidRPr="004E278C">
        <w:tab/>
        <w:t>(2)</w:t>
      </w:r>
      <w:r w:rsidRPr="004E278C">
        <w:tab/>
        <w:t>For the purposes of paragraph</w:t>
      </w:r>
      <w:r w:rsidR="004E278C">
        <w:t> </w:t>
      </w:r>
      <w:r w:rsidRPr="004E278C">
        <w:t>5(1)(a) of the Act, the following levies are attached to the Corporation:</w:t>
      </w:r>
    </w:p>
    <w:p w:rsidR="008336E3" w:rsidRPr="004E278C" w:rsidRDefault="008336E3" w:rsidP="008336E3">
      <w:pPr>
        <w:pStyle w:val="paragraph"/>
      </w:pPr>
      <w:r w:rsidRPr="004E278C">
        <w:tab/>
        <w:t>(a)</w:t>
      </w:r>
      <w:r w:rsidRPr="004E278C">
        <w:tab/>
        <w:t>the levy imposed by Division</w:t>
      </w:r>
      <w:r w:rsidR="004E278C">
        <w:t> </w:t>
      </w:r>
      <w:r w:rsidRPr="004E278C">
        <w:t>3.3 of Schedule</w:t>
      </w:r>
      <w:r w:rsidR="004E278C">
        <w:t> </w:t>
      </w:r>
      <w:r w:rsidRPr="004E278C">
        <w:t xml:space="preserve">27 to the </w:t>
      </w:r>
      <w:r w:rsidRPr="004E278C">
        <w:rPr>
          <w:i/>
        </w:rPr>
        <w:t xml:space="preserve">Primary Industries (Excise) Levies </w:t>
      </w:r>
      <w:r w:rsidR="00994A83">
        <w:rPr>
          <w:i/>
        </w:rPr>
        <w:t>Regulations 1</w:t>
      </w:r>
      <w:r w:rsidRPr="004E278C">
        <w:rPr>
          <w:i/>
        </w:rPr>
        <w:t>999</w:t>
      </w:r>
      <w:r w:rsidRPr="004E278C">
        <w:t>;</w:t>
      </w:r>
    </w:p>
    <w:p w:rsidR="008336E3" w:rsidRPr="004E278C" w:rsidRDefault="008336E3" w:rsidP="008336E3">
      <w:pPr>
        <w:pStyle w:val="paragraph"/>
      </w:pPr>
      <w:r w:rsidRPr="004E278C">
        <w:tab/>
        <w:t>(b)</w:t>
      </w:r>
      <w:r w:rsidRPr="004E278C">
        <w:tab/>
        <w:t>the charge imposed by Division</w:t>
      </w:r>
      <w:r w:rsidR="004E278C">
        <w:t> </w:t>
      </w:r>
      <w:r w:rsidRPr="004E278C">
        <w:t>2.3 of Schedule</w:t>
      </w:r>
      <w:r w:rsidR="004E278C">
        <w:t> </w:t>
      </w:r>
      <w:r w:rsidRPr="004E278C">
        <w:t xml:space="preserve">14 to the </w:t>
      </w:r>
      <w:r w:rsidRPr="004E278C">
        <w:rPr>
          <w:i/>
        </w:rPr>
        <w:t xml:space="preserve">Primary Industries (Customs) Charges </w:t>
      </w:r>
      <w:r w:rsidR="009F7D66">
        <w:rPr>
          <w:i/>
        </w:rPr>
        <w:t>Regulations 2</w:t>
      </w:r>
      <w:r w:rsidRPr="004E278C">
        <w:rPr>
          <w:i/>
        </w:rPr>
        <w:t>000</w:t>
      </w:r>
      <w:r w:rsidRPr="004E278C">
        <w:t>.</w:t>
      </w:r>
    </w:p>
    <w:p w:rsidR="008336E3" w:rsidRPr="004E278C" w:rsidRDefault="008336E3" w:rsidP="008336E3">
      <w:pPr>
        <w:pStyle w:val="SubsectionHead"/>
      </w:pPr>
      <w:r w:rsidRPr="004E278C">
        <w:t>Research component of repayment levies</w:t>
      </w:r>
    </w:p>
    <w:p w:rsidR="008336E3" w:rsidRPr="004E278C" w:rsidRDefault="008336E3" w:rsidP="008336E3">
      <w:pPr>
        <w:pStyle w:val="subsection"/>
      </w:pPr>
      <w:r w:rsidRPr="004E278C">
        <w:tab/>
        <w:t>(3)</w:t>
      </w:r>
      <w:r w:rsidRPr="004E278C">
        <w:tab/>
        <w:t>For the purposes of paragraph</w:t>
      </w:r>
      <w:r w:rsidR="004E278C">
        <w:t> </w:t>
      </w:r>
      <w:r w:rsidRPr="004E278C">
        <w:t xml:space="preserve">5(3)(a) of the Act, the research component of a levy referred to in </w:t>
      </w:r>
      <w:r w:rsidR="004E278C">
        <w:t>paragraph (</w:t>
      </w:r>
      <w:r w:rsidRPr="004E278C">
        <w:t xml:space="preserve">2)(a) or (b) of this regulation (the </w:t>
      </w:r>
      <w:r w:rsidRPr="004E278C">
        <w:rPr>
          <w:b/>
          <w:i/>
        </w:rPr>
        <w:t>relevant repayment levy</w:t>
      </w:r>
      <w:r w:rsidRPr="004E278C">
        <w:t>) is the sum of the following amounts:</w:t>
      </w:r>
    </w:p>
    <w:p w:rsidR="008336E3" w:rsidRPr="004E278C" w:rsidRDefault="008336E3" w:rsidP="008336E3">
      <w:pPr>
        <w:pStyle w:val="paragraph"/>
      </w:pPr>
      <w:r w:rsidRPr="004E278C">
        <w:tab/>
        <w:t>(a)</w:t>
      </w:r>
      <w:r w:rsidRPr="004E278C">
        <w:tab/>
        <w:t>the amount of the final repayment year surplus that is attributable to the relevant repayment levy (as worked out under subregulation (4));</w:t>
      </w:r>
    </w:p>
    <w:p w:rsidR="008336E3" w:rsidRPr="004E278C" w:rsidRDefault="008336E3" w:rsidP="008336E3">
      <w:pPr>
        <w:pStyle w:val="paragraph"/>
      </w:pPr>
      <w:r w:rsidRPr="004E278C">
        <w:tab/>
        <w:t>(b)</w:t>
      </w:r>
      <w:r w:rsidRPr="004E278C">
        <w:tab/>
        <w:t>any amounts of the relevant repayment levy that are due for payment before the end of the final repayment year but are not received by the Commonwealth before the end of that year;</w:t>
      </w:r>
    </w:p>
    <w:p w:rsidR="008336E3" w:rsidRPr="004E278C" w:rsidRDefault="008336E3" w:rsidP="008336E3">
      <w:pPr>
        <w:pStyle w:val="paragraph"/>
      </w:pPr>
      <w:r w:rsidRPr="004E278C">
        <w:tab/>
        <w:t>(c)</w:t>
      </w:r>
      <w:r w:rsidRPr="004E278C">
        <w:tab/>
        <w:t>any amounts of the relevant repayment levy that are due for payment after the end of the final repayment year.</w:t>
      </w:r>
    </w:p>
    <w:p w:rsidR="008336E3" w:rsidRPr="004E278C" w:rsidRDefault="008336E3" w:rsidP="008336E3">
      <w:pPr>
        <w:pStyle w:val="notetext"/>
      </w:pPr>
      <w:r w:rsidRPr="004E278C">
        <w:t>Note:</w:t>
      </w:r>
      <w:r w:rsidRPr="004E278C">
        <w:tab/>
        <w:t>For when the relevant repayment levy is due for payment, see Part</w:t>
      </w:r>
      <w:r w:rsidR="004E278C">
        <w:t> </w:t>
      </w:r>
      <w:r w:rsidRPr="004E278C">
        <w:t>3 of Schedule</w:t>
      </w:r>
      <w:r w:rsidR="004E278C">
        <w:t> </w:t>
      </w:r>
      <w:r w:rsidRPr="004E278C">
        <w:t xml:space="preserve">37 to the </w:t>
      </w:r>
      <w:r w:rsidRPr="004E278C">
        <w:rPr>
          <w:i/>
        </w:rPr>
        <w:t xml:space="preserve">Primary Industries Levies and Charges Collection </w:t>
      </w:r>
      <w:r w:rsidR="00994A83">
        <w:rPr>
          <w:i/>
        </w:rPr>
        <w:t>Regulations 1</w:t>
      </w:r>
      <w:r w:rsidRPr="004E278C">
        <w:rPr>
          <w:i/>
        </w:rPr>
        <w:t>991</w:t>
      </w:r>
      <w:r w:rsidRPr="004E278C">
        <w:t>.</w:t>
      </w:r>
    </w:p>
    <w:p w:rsidR="008336E3" w:rsidRPr="004E278C" w:rsidRDefault="008336E3" w:rsidP="008336E3">
      <w:pPr>
        <w:pStyle w:val="subsection"/>
      </w:pPr>
      <w:r w:rsidRPr="004E278C">
        <w:lastRenderedPageBreak/>
        <w:tab/>
        <w:t>(4)</w:t>
      </w:r>
      <w:r w:rsidRPr="004E278C">
        <w:tab/>
        <w:t xml:space="preserve">The amount of the final repayment year surplus that is attributable to a levy referred to in </w:t>
      </w:r>
      <w:r w:rsidR="004E278C">
        <w:t>paragraph (</w:t>
      </w:r>
      <w:r w:rsidRPr="004E278C">
        <w:t xml:space="preserve">2)(a) or (b) (the </w:t>
      </w:r>
      <w:r w:rsidRPr="004E278C">
        <w:rPr>
          <w:b/>
          <w:i/>
        </w:rPr>
        <w:t>relevant repayment levy</w:t>
      </w:r>
      <w:r w:rsidRPr="004E278C">
        <w:t>)</w:t>
      </w:r>
      <w:r w:rsidRPr="004E278C">
        <w:rPr>
          <w:b/>
          <w:i/>
        </w:rPr>
        <w:t xml:space="preserve"> </w:t>
      </w:r>
      <w:r w:rsidRPr="004E278C">
        <w:t>is worked out using the following formula:</w:t>
      </w:r>
    </w:p>
    <w:p w:rsidR="008336E3" w:rsidRPr="004E278C" w:rsidRDefault="00CA798A" w:rsidP="008336E3">
      <w:pPr>
        <w:pStyle w:val="subsection2"/>
      </w:pPr>
      <w:r w:rsidRPr="004E278C">
        <w:rPr>
          <w:noProof/>
        </w:rPr>
        <w:drawing>
          <wp:inline distT="0" distB="0" distL="0" distR="0" wp14:anchorId="4115DF49" wp14:editId="7F23C796">
            <wp:extent cx="3381375" cy="7715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81375" cy="771525"/>
                    </a:xfrm>
                    <a:prstGeom prst="rect">
                      <a:avLst/>
                    </a:prstGeom>
                    <a:noFill/>
                    <a:ln>
                      <a:noFill/>
                    </a:ln>
                  </pic:spPr>
                </pic:pic>
              </a:graphicData>
            </a:graphic>
          </wp:inline>
        </w:drawing>
      </w:r>
    </w:p>
    <w:p w:rsidR="008336E3" w:rsidRPr="004E278C" w:rsidRDefault="008336E3" w:rsidP="008336E3">
      <w:pPr>
        <w:pStyle w:val="subsection2"/>
      </w:pPr>
      <w:r w:rsidRPr="004E278C">
        <w:t>where:</w:t>
      </w:r>
    </w:p>
    <w:p w:rsidR="008336E3" w:rsidRPr="004E278C" w:rsidRDefault="008336E3" w:rsidP="008336E3">
      <w:pPr>
        <w:pStyle w:val="Definition"/>
      </w:pPr>
      <w:r w:rsidRPr="004E278C">
        <w:rPr>
          <w:b/>
          <w:i/>
        </w:rPr>
        <w:t xml:space="preserve">relevant repayment levy amount for the final repayment year </w:t>
      </w:r>
      <w:r w:rsidRPr="004E278C">
        <w:t>means the amount worked out by:</w:t>
      </w:r>
    </w:p>
    <w:p w:rsidR="008336E3" w:rsidRPr="004E278C" w:rsidRDefault="008336E3" w:rsidP="008336E3">
      <w:pPr>
        <w:pStyle w:val="paragraph"/>
      </w:pPr>
      <w:r w:rsidRPr="004E278C">
        <w:tab/>
        <w:t>(a)</w:t>
      </w:r>
      <w:r w:rsidRPr="004E278C">
        <w:tab/>
        <w:t>calculating the total amount of the relevant repayment levy received by the Commonwealth during the final repayment year; and</w:t>
      </w:r>
    </w:p>
    <w:p w:rsidR="008336E3" w:rsidRPr="004E278C" w:rsidRDefault="008336E3" w:rsidP="008336E3">
      <w:pPr>
        <w:pStyle w:val="paragraph"/>
      </w:pPr>
      <w:r w:rsidRPr="004E278C">
        <w:tab/>
        <w:t>(b)</w:t>
      </w:r>
      <w:r w:rsidRPr="004E278C">
        <w:tab/>
        <w:t>adding any amounts of penalty received by the Commonwealth during the final repayment year for non</w:t>
      </w:r>
      <w:r w:rsidR="00994A83">
        <w:noBreakHyphen/>
      </w:r>
      <w:r w:rsidRPr="004E278C">
        <w:t>payment of the relevant repayment levy; and</w:t>
      </w:r>
    </w:p>
    <w:p w:rsidR="008336E3" w:rsidRPr="004E278C" w:rsidRDefault="008336E3" w:rsidP="008336E3">
      <w:pPr>
        <w:pStyle w:val="paragraph"/>
      </w:pPr>
      <w:r w:rsidRPr="004E278C">
        <w:tab/>
        <w:t>(c)</w:t>
      </w:r>
      <w:r w:rsidRPr="004E278C">
        <w:tab/>
        <w:t>subtracting any overpaid amounts of the relevant repayment levy, and any overpaid amounts of penalty for non</w:t>
      </w:r>
      <w:r w:rsidR="00994A83">
        <w:noBreakHyphen/>
      </w:r>
      <w:r w:rsidRPr="004E278C">
        <w:t>payment of the relevant repayment levy, that were refunded by the Commonwealth during the final repayment year (whether or not those overpaid amounts were received by the Commonwealth during the final repayment year).</w:t>
      </w:r>
    </w:p>
    <w:p w:rsidR="008336E3" w:rsidRPr="004E278C" w:rsidRDefault="008336E3" w:rsidP="008336E3">
      <w:pPr>
        <w:pStyle w:val="SubsectionHead"/>
      </w:pPr>
      <w:r w:rsidRPr="004E278C">
        <w:t>Outstanding industry debt</w:t>
      </w:r>
    </w:p>
    <w:p w:rsidR="008336E3" w:rsidRPr="004E278C" w:rsidRDefault="008336E3" w:rsidP="008336E3">
      <w:pPr>
        <w:pStyle w:val="subsection"/>
      </w:pPr>
      <w:r w:rsidRPr="004E278C">
        <w:tab/>
        <w:t>(5)</w:t>
      </w:r>
      <w:r w:rsidRPr="004E278C">
        <w:tab/>
        <w:t xml:space="preserve">The </w:t>
      </w:r>
      <w:r w:rsidRPr="004E278C">
        <w:rPr>
          <w:b/>
          <w:i/>
        </w:rPr>
        <w:t>outstanding industry debt</w:t>
      </w:r>
      <w:r w:rsidRPr="004E278C">
        <w:t xml:space="preserve"> at the end of the financial year ending on 30</w:t>
      </w:r>
      <w:r w:rsidR="004E278C">
        <w:t> </w:t>
      </w:r>
      <w:r w:rsidRPr="004E278C">
        <w:t>June 2019 is $3,998,312.</w:t>
      </w:r>
    </w:p>
    <w:p w:rsidR="008336E3" w:rsidRPr="004E278C" w:rsidRDefault="008336E3" w:rsidP="008336E3">
      <w:pPr>
        <w:pStyle w:val="subsection"/>
      </w:pPr>
      <w:r w:rsidRPr="004E278C">
        <w:rPr>
          <w:b/>
        </w:rPr>
        <w:tab/>
      </w:r>
      <w:r w:rsidRPr="004E278C">
        <w:t>(6)</w:t>
      </w:r>
      <w:r w:rsidRPr="004E278C">
        <w:tab/>
        <w:t xml:space="preserve">The </w:t>
      </w:r>
      <w:r w:rsidRPr="004E278C">
        <w:rPr>
          <w:b/>
          <w:i/>
        </w:rPr>
        <w:t>outstanding industry debt</w:t>
      </w:r>
      <w:r w:rsidRPr="004E278C">
        <w:t xml:space="preserve"> at the end of a financial year commencing on or after 1</w:t>
      </w:r>
      <w:r w:rsidR="004E278C">
        <w:t> </w:t>
      </w:r>
      <w:r w:rsidRPr="004E278C">
        <w:t xml:space="preserve">July 2019 (the </w:t>
      </w:r>
      <w:r w:rsidRPr="004E278C">
        <w:rPr>
          <w:b/>
          <w:i/>
        </w:rPr>
        <w:t>relevant repayment year</w:t>
      </w:r>
      <w:r w:rsidRPr="004E278C">
        <w:t>) is:</w:t>
      </w:r>
    </w:p>
    <w:p w:rsidR="008336E3" w:rsidRPr="004E278C" w:rsidRDefault="008336E3" w:rsidP="008336E3">
      <w:pPr>
        <w:pStyle w:val="paragraph"/>
      </w:pPr>
      <w:r w:rsidRPr="004E278C">
        <w:tab/>
        <w:t>(a)</w:t>
      </w:r>
      <w:r w:rsidRPr="004E278C">
        <w:tab/>
        <w:t>if the total repayment levies amount for the relevant repayment year is less than the outstanding industry debt at the end of the immediately preceding financial year—the amount worked out by calculating the difference between that outstanding industry debt and the total repayment levies amount for the relevant repayment year and multiplying that difference by the indexation factor for the relevant repayment year; or</w:t>
      </w:r>
    </w:p>
    <w:p w:rsidR="008336E3" w:rsidRPr="004E278C" w:rsidRDefault="008336E3" w:rsidP="008336E3">
      <w:pPr>
        <w:pStyle w:val="paragraph"/>
      </w:pPr>
      <w:r w:rsidRPr="004E278C">
        <w:tab/>
        <w:t>(b)</w:t>
      </w:r>
      <w:r w:rsidRPr="004E278C">
        <w:tab/>
        <w:t>otherwise—nil.</w:t>
      </w:r>
    </w:p>
    <w:p w:rsidR="008336E3" w:rsidRPr="004E278C" w:rsidRDefault="008336E3" w:rsidP="008336E3">
      <w:pPr>
        <w:pStyle w:val="subsection"/>
      </w:pPr>
      <w:r w:rsidRPr="004E278C">
        <w:tab/>
        <w:t>(7)</w:t>
      </w:r>
      <w:r w:rsidRPr="004E278C">
        <w:tab/>
        <w:t>For the purposes of subregulation (6), the outstanding industry debt at the end of a financial year is to be rounded to the nearest whole cent (rounding 0.5 cents upwards).</w:t>
      </w:r>
    </w:p>
    <w:p w:rsidR="008336E3" w:rsidRPr="004E278C" w:rsidRDefault="008336E3" w:rsidP="008336E3">
      <w:pPr>
        <w:pStyle w:val="SubsectionHead"/>
      </w:pPr>
      <w:r w:rsidRPr="004E278C">
        <w:t>Indexation factor</w:t>
      </w:r>
    </w:p>
    <w:p w:rsidR="008336E3" w:rsidRPr="004E278C" w:rsidRDefault="008336E3" w:rsidP="008336E3">
      <w:pPr>
        <w:pStyle w:val="subsection"/>
      </w:pPr>
      <w:r w:rsidRPr="004E278C">
        <w:tab/>
        <w:t>(8)</w:t>
      </w:r>
      <w:r w:rsidRPr="004E278C">
        <w:tab/>
        <w:t xml:space="preserve">The </w:t>
      </w:r>
      <w:r w:rsidRPr="004E278C">
        <w:rPr>
          <w:b/>
          <w:i/>
        </w:rPr>
        <w:t>indexation factor</w:t>
      </w:r>
      <w:r w:rsidRPr="004E278C">
        <w:t xml:space="preserve"> for the first repayment year is the number worked out using the following formula:</w:t>
      </w:r>
    </w:p>
    <w:p w:rsidR="008336E3" w:rsidRPr="004E278C" w:rsidRDefault="00CA798A" w:rsidP="008336E3">
      <w:pPr>
        <w:pStyle w:val="subsection2"/>
      </w:pPr>
      <w:r w:rsidRPr="004E278C">
        <w:rPr>
          <w:noProof/>
        </w:rPr>
        <w:drawing>
          <wp:inline distT="0" distB="0" distL="0" distR="0" wp14:anchorId="1C66F037" wp14:editId="341A310B">
            <wp:extent cx="857250" cy="809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57250" cy="809625"/>
                    </a:xfrm>
                    <a:prstGeom prst="rect">
                      <a:avLst/>
                    </a:prstGeom>
                    <a:noFill/>
                    <a:ln>
                      <a:noFill/>
                    </a:ln>
                  </pic:spPr>
                </pic:pic>
              </a:graphicData>
            </a:graphic>
          </wp:inline>
        </w:drawing>
      </w:r>
    </w:p>
    <w:p w:rsidR="008336E3" w:rsidRPr="004E278C" w:rsidRDefault="008336E3" w:rsidP="008336E3">
      <w:pPr>
        <w:pStyle w:val="subsection2"/>
      </w:pPr>
      <w:r w:rsidRPr="004E278C">
        <w:t>where:</w:t>
      </w:r>
    </w:p>
    <w:p w:rsidR="008336E3" w:rsidRPr="004E278C" w:rsidRDefault="008336E3" w:rsidP="008336E3">
      <w:pPr>
        <w:pStyle w:val="Definition"/>
      </w:pPr>
      <w:r w:rsidRPr="004E278C">
        <w:rPr>
          <w:b/>
          <w:i/>
        </w:rPr>
        <w:t>A</w:t>
      </w:r>
      <w:r w:rsidRPr="004E278C">
        <w:rPr>
          <w:i/>
        </w:rPr>
        <w:t xml:space="preserve"> </w:t>
      </w:r>
      <w:r w:rsidRPr="004E278C">
        <w:t>is the index number for the first repayment year.</w:t>
      </w:r>
    </w:p>
    <w:p w:rsidR="008336E3" w:rsidRPr="004E278C" w:rsidRDefault="008336E3" w:rsidP="008336E3">
      <w:pPr>
        <w:pStyle w:val="Definition"/>
      </w:pPr>
      <w:r w:rsidRPr="004E278C">
        <w:rPr>
          <w:b/>
          <w:i/>
        </w:rPr>
        <w:t xml:space="preserve">B </w:t>
      </w:r>
      <w:r w:rsidRPr="004E278C">
        <w:t>is the index number for the financial year immediately preceding the first repayment year.</w:t>
      </w:r>
    </w:p>
    <w:p w:rsidR="008336E3" w:rsidRPr="004E278C" w:rsidRDefault="008336E3" w:rsidP="008336E3">
      <w:pPr>
        <w:pStyle w:val="subsection"/>
      </w:pPr>
      <w:r w:rsidRPr="004E278C">
        <w:tab/>
        <w:t>(9)</w:t>
      </w:r>
      <w:r w:rsidRPr="004E278C">
        <w:tab/>
        <w:t xml:space="preserve">The </w:t>
      </w:r>
      <w:r w:rsidRPr="004E278C">
        <w:rPr>
          <w:b/>
          <w:i/>
        </w:rPr>
        <w:t>indexation factor</w:t>
      </w:r>
      <w:r w:rsidRPr="004E278C">
        <w:t xml:space="preserve"> for a later repayment year is the number worked out by dividing the index number for the later repayment year by the index number for the financial year immediately preceding the later repayment year.</w:t>
      </w:r>
    </w:p>
    <w:p w:rsidR="008336E3" w:rsidRPr="004E278C" w:rsidRDefault="008336E3" w:rsidP="008336E3">
      <w:pPr>
        <w:pStyle w:val="subsection"/>
      </w:pPr>
      <w:r w:rsidRPr="004E278C">
        <w:tab/>
        <w:t>(10)</w:t>
      </w:r>
      <w:r w:rsidRPr="004E278C">
        <w:tab/>
        <w:t>An indexation factor worked out under subregulation (8) or (9) is to be calculated to 3 decimal places (rounding up if the fourth decimal place is 5 or more).</w:t>
      </w:r>
    </w:p>
    <w:p w:rsidR="008336E3" w:rsidRPr="004E278C" w:rsidRDefault="008336E3" w:rsidP="008336E3">
      <w:pPr>
        <w:pStyle w:val="subsection"/>
      </w:pPr>
      <w:r w:rsidRPr="004E278C">
        <w:tab/>
        <w:t>(11)</w:t>
      </w:r>
      <w:r w:rsidRPr="004E278C">
        <w:tab/>
        <w:t>In working out an indexation factor under subregulation (8) or (9):</w:t>
      </w:r>
    </w:p>
    <w:p w:rsidR="008336E3" w:rsidRPr="004E278C" w:rsidRDefault="008336E3" w:rsidP="008336E3">
      <w:pPr>
        <w:pStyle w:val="paragraph"/>
      </w:pPr>
      <w:r w:rsidRPr="004E278C">
        <w:tab/>
        <w:t>(a)</w:t>
      </w:r>
      <w:r w:rsidRPr="004E278C">
        <w:tab/>
        <w:t>use only index numbers published in terms of the most recently published index reference period for the Consumer Price Index; and</w:t>
      </w:r>
    </w:p>
    <w:p w:rsidR="008336E3" w:rsidRPr="004E278C" w:rsidRDefault="008336E3" w:rsidP="008336E3">
      <w:pPr>
        <w:pStyle w:val="paragraph"/>
      </w:pPr>
      <w:r w:rsidRPr="004E278C">
        <w:tab/>
        <w:t>(b)</w:t>
      </w:r>
      <w:r w:rsidRPr="004E278C">
        <w:tab/>
        <w:t>disregard index numbers that are published in substitution for previously published index numbers (except where the substituted numbers are published to take account of changes in the index reference period).</w:t>
      </w:r>
    </w:p>
    <w:p w:rsidR="008336E3" w:rsidRPr="004E278C" w:rsidRDefault="008336E3" w:rsidP="008336E3">
      <w:pPr>
        <w:pStyle w:val="SubsectionHead"/>
      </w:pPr>
      <w:r w:rsidRPr="004E278C">
        <w:t>Primary industry to which repayment levies relate</w:t>
      </w:r>
    </w:p>
    <w:p w:rsidR="008336E3" w:rsidRPr="004E278C" w:rsidRDefault="008336E3" w:rsidP="008336E3">
      <w:pPr>
        <w:pStyle w:val="subsection"/>
      </w:pPr>
      <w:r w:rsidRPr="004E278C">
        <w:tab/>
        <w:t>(12)</w:t>
      </w:r>
      <w:r w:rsidRPr="004E278C">
        <w:tab/>
        <w:t>For the purposes of paragraph</w:t>
      </w:r>
      <w:r w:rsidR="004E278C">
        <w:t> </w:t>
      </w:r>
      <w:r w:rsidRPr="004E278C">
        <w:t>5(3)(b) of the Act, the fishing industry is the primary industry to which each repayment levy relates.</w:t>
      </w:r>
    </w:p>
    <w:p w:rsidR="000A45F0" w:rsidRPr="004E278C" w:rsidRDefault="000A45F0" w:rsidP="0081603A">
      <w:pPr>
        <w:pStyle w:val="ActHead5"/>
      </w:pPr>
      <w:bookmarkStart w:id="8" w:name="_Toc75269203"/>
      <w:r w:rsidRPr="00994A83">
        <w:rPr>
          <w:rStyle w:val="CharSectno"/>
        </w:rPr>
        <w:t>4C</w:t>
      </w:r>
      <w:r w:rsidR="00303534" w:rsidRPr="004E278C">
        <w:t xml:space="preserve">  </w:t>
      </w:r>
      <w:r w:rsidRPr="004E278C">
        <w:t>Gross value of production of fishing industry</w:t>
      </w:r>
      <w:bookmarkEnd w:id="8"/>
    </w:p>
    <w:p w:rsidR="000A45F0" w:rsidRPr="004E278C" w:rsidRDefault="000A45F0" w:rsidP="0081603A">
      <w:pPr>
        <w:pStyle w:val="subsection"/>
        <w:keepNext/>
        <w:keepLines/>
      </w:pPr>
      <w:r w:rsidRPr="004E278C">
        <w:tab/>
        <w:t>(1)</w:t>
      </w:r>
      <w:r w:rsidRPr="004E278C">
        <w:tab/>
        <w:t>In this regulation:</w:t>
      </w:r>
    </w:p>
    <w:p w:rsidR="000A45F0" w:rsidRPr="004E278C" w:rsidRDefault="000A45F0" w:rsidP="0081603A">
      <w:pPr>
        <w:pStyle w:val="Definition"/>
        <w:keepNext/>
        <w:keepLines/>
      </w:pPr>
      <w:r w:rsidRPr="004E278C">
        <w:rPr>
          <w:b/>
          <w:i/>
        </w:rPr>
        <w:t xml:space="preserve">fishing industry </w:t>
      </w:r>
      <w:r w:rsidRPr="004E278C">
        <w:t>means that part of the fishing industry concerned with taking or culturing fish or fish products, whether managed by or on behalf of the Commonwealth, a State or a Territory.</w:t>
      </w:r>
    </w:p>
    <w:p w:rsidR="000A45F0" w:rsidRPr="004E278C" w:rsidRDefault="000A45F0" w:rsidP="00303534">
      <w:pPr>
        <w:pStyle w:val="subsection"/>
      </w:pPr>
      <w:r w:rsidRPr="004E278C">
        <w:tab/>
        <w:t>(2)</w:t>
      </w:r>
      <w:r w:rsidRPr="004E278C">
        <w:tab/>
        <w:t>For subsection</w:t>
      </w:r>
      <w:r w:rsidR="004E278C">
        <w:t> </w:t>
      </w:r>
      <w:r w:rsidRPr="004E278C">
        <w:t xml:space="preserve">30A(5) of the Act, the Minister must determine the total GVP for a financial year (the </w:t>
      </w:r>
      <w:r w:rsidRPr="004E278C">
        <w:rPr>
          <w:b/>
          <w:i/>
        </w:rPr>
        <w:t>relevant financial year</w:t>
      </w:r>
      <w:r w:rsidRPr="004E278C">
        <w:t>) by using:</w:t>
      </w:r>
    </w:p>
    <w:p w:rsidR="000A45F0" w:rsidRPr="004E278C" w:rsidRDefault="00407681" w:rsidP="009C2E7E">
      <w:pPr>
        <w:pStyle w:val="subsection2"/>
      </w:pPr>
      <w:r>
        <w:pict>
          <v:shape id="_x0000_i1026" type="#_x0000_t75" style="width:50.25pt;height:30.75pt">
            <v:imagedata r:id="rId22" o:title=""/>
          </v:shape>
        </w:pict>
      </w:r>
    </w:p>
    <w:p w:rsidR="000A45F0" w:rsidRPr="004E278C" w:rsidRDefault="000A45F0" w:rsidP="00303534">
      <w:pPr>
        <w:pStyle w:val="subsection2"/>
      </w:pPr>
      <w:r w:rsidRPr="004E278C">
        <w:t>where:</w:t>
      </w:r>
    </w:p>
    <w:p w:rsidR="000A45F0" w:rsidRPr="004E278C" w:rsidRDefault="000A45F0" w:rsidP="00303534">
      <w:pPr>
        <w:pStyle w:val="Definition"/>
      </w:pPr>
      <w:r w:rsidRPr="004E278C">
        <w:rPr>
          <w:b/>
          <w:i/>
        </w:rPr>
        <w:t xml:space="preserve">A </w:t>
      </w:r>
      <w:r w:rsidRPr="004E278C">
        <w:t>is the estimated gross value of production of the fishing industry in the relevant financial year.</w:t>
      </w:r>
    </w:p>
    <w:p w:rsidR="000A45F0" w:rsidRPr="004E278C" w:rsidRDefault="000A45F0" w:rsidP="00303534">
      <w:pPr>
        <w:pStyle w:val="Definition"/>
      </w:pPr>
      <w:r w:rsidRPr="004E278C">
        <w:rPr>
          <w:b/>
          <w:i/>
        </w:rPr>
        <w:t xml:space="preserve">B </w:t>
      </w:r>
      <w:r w:rsidRPr="004E278C">
        <w:t xml:space="preserve">is the gross value of production of the fishing industry in the financial year immediately before the relevant financial year (the </w:t>
      </w:r>
      <w:r w:rsidRPr="004E278C">
        <w:rPr>
          <w:b/>
          <w:i/>
        </w:rPr>
        <w:t>previous financial year</w:t>
      </w:r>
      <w:r w:rsidRPr="004E278C">
        <w:t>).</w:t>
      </w:r>
    </w:p>
    <w:p w:rsidR="000A45F0" w:rsidRPr="004E278C" w:rsidRDefault="000A45F0" w:rsidP="00303534">
      <w:pPr>
        <w:pStyle w:val="Definition"/>
      </w:pPr>
      <w:r w:rsidRPr="004E278C">
        <w:rPr>
          <w:b/>
          <w:i/>
        </w:rPr>
        <w:t xml:space="preserve">C </w:t>
      </w:r>
      <w:r w:rsidRPr="004E278C">
        <w:t>is the gross value of production of the fishing industry in the financial year immediately before the previous financial year.</w:t>
      </w:r>
    </w:p>
    <w:p w:rsidR="000A45F0" w:rsidRPr="004E278C" w:rsidRDefault="000A45F0" w:rsidP="00303534">
      <w:pPr>
        <w:pStyle w:val="subsection"/>
      </w:pPr>
      <w:r w:rsidRPr="004E278C">
        <w:tab/>
        <w:t>(3)</w:t>
      </w:r>
      <w:r w:rsidRPr="004E278C">
        <w:tab/>
        <w:t xml:space="preserve">For </w:t>
      </w:r>
      <w:r w:rsidRPr="004E278C">
        <w:rPr>
          <w:b/>
          <w:i/>
        </w:rPr>
        <w:t>A</w:t>
      </w:r>
      <w:r w:rsidRPr="004E278C">
        <w:t xml:space="preserve">, </w:t>
      </w:r>
      <w:r w:rsidRPr="004E278C">
        <w:rPr>
          <w:b/>
          <w:i/>
        </w:rPr>
        <w:t>B</w:t>
      </w:r>
      <w:r w:rsidRPr="004E278C">
        <w:t xml:space="preserve"> and </w:t>
      </w:r>
      <w:r w:rsidRPr="004E278C">
        <w:rPr>
          <w:b/>
          <w:i/>
        </w:rPr>
        <w:t>C</w:t>
      </w:r>
      <w:r w:rsidRPr="004E278C">
        <w:t xml:space="preserve"> in subregulation (2), the amount for the gross value of production is the figure supplied by the Department of Agriculture, Fisheries and Forestry.</w:t>
      </w:r>
    </w:p>
    <w:p w:rsidR="000A45F0" w:rsidRPr="004E278C" w:rsidRDefault="000A45F0" w:rsidP="00303534">
      <w:pPr>
        <w:pStyle w:val="ActHead5"/>
      </w:pPr>
      <w:bookmarkStart w:id="9" w:name="_Toc75269204"/>
      <w:r w:rsidRPr="00994A83">
        <w:rPr>
          <w:rStyle w:val="CharSectno"/>
        </w:rPr>
        <w:t>4D</w:t>
      </w:r>
      <w:r w:rsidR="00303534" w:rsidRPr="004E278C">
        <w:t xml:space="preserve">  </w:t>
      </w:r>
      <w:r w:rsidRPr="004E278C">
        <w:t>Gross value of production of Commonwealth managed fisheries</w:t>
      </w:r>
      <w:bookmarkEnd w:id="9"/>
    </w:p>
    <w:p w:rsidR="000A45F0" w:rsidRPr="004E278C" w:rsidRDefault="000A45F0" w:rsidP="00303534">
      <w:pPr>
        <w:pStyle w:val="subsection"/>
      </w:pPr>
      <w:r w:rsidRPr="004E278C">
        <w:tab/>
        <w:t>(1)</w:t>
      </w:r>
      <w:r w:rsidRPr="004E278C">
        <w:tab/>
        <w:t>In this regulation:</w:t>
      </w:r>
    </w:p>
    <w:p w:rsidR="000A45F0" w:rsidRPr="004E278C" w:rsidRDefault="000A45F0" w:rsidP="00303534">
      <w:pPr>
        <w:pStyle w:val="Definition"/>
      </w:pPr>
      <w:r w:rsidRPr="004E278C">
        <w:rPr>
          <w:b/>
          <w:i/>
        </w:rPr>
        <w:t xml:space="preserve">Commonwealth fishing industry </w:t>
      </w:r>
      <w:r w:rsidRPr="004E278C">
        <w:t>means that part of the fishing industry:</w:t>
      </w:r>
    </w:p>
    <w:p w:rsidR="000A45F0" w:rsidRPr="004E278C" w:rsidRDefault="000A45F0" w:rsidP="00303534">
      <w:pPr>
        <w:pStyle w:val="paragraph"/>
      </w:pPr>
      <w:r w:rsidRPr="004E278C">
        <w:tab/>
        <w:t>(a)</w:t>
      </w:r>
      <w:r w:rsidRPr="004E278C">
        <w:tab/>
        <w:t>concerned with taking or culturing fish or fish products; and</w:t>
      </w:r>
    </w:p>
    <w:p w:rsidR="000A45F0" w:rsidRPr="004E278C" w:rsidRDefault="000A45F0" w:rsidP="00303534">
      <w:pPr>
        <w:pStyle w:val="paragraph"/>
      </w:pPr>
      <w:r w:rsidRPr="004E278C">
        <w:tab/>
        <w:t>(b)</w:t>
      </w:r>
      <w:r w:rsidRPr="004E278C">
        <w:tab/>
        <w:t>managed by or on behalf of the Commonwealth.</w:t>
      </w:r>
    </w:p>
    <w:p w:rsidR="000A45F0" w:rsidRPr="004E278C" w:rsidRDefault="000A45F0" w:rsidP="00303534">
      <w:pPr>
        <w:pStyle w:val="subsection"/>
      </w:pPr>
      <w:r w:rsidRPr="004E278C">
        <w:tab/>
        <w:t>(2)</w:t>
      </w:r>
      <w:r w:rsidRPr="004E278C">
        <w:tab/>
        <w:t>For subsection</w:t>
      </w:r>
      <w:r w:rsidR="004E278C">
        <w:t> </w:t>
      </w:r>
      <w:r w:rsidRPr="004E278C">
        <w:t xml:space="preserve">30A(5) of the Act, the Minister must determine the Commonwealth GVP for a financial year (the </w:t>
      </w:r>
      <w:r w:rsidRPr="004E278C">
        <w:rPr>
          <w:b/>
          <w:i/>
        </w:rPr>
        <w:t>relevant financial year</w:t>
      </w:r>
      <w:r w:rsidRPr="004E278C">
        <w:t>) by using:</w:t>
      </w:r>
    </w:p>
    <w:p w:rsidR="004F303A" w:rsidRPr="004E278C" w:rsidRDefault="00407681" w:rsidP="009C2E7E">
      <w:pPr>
        <w:pStyle w:val="subsection2"/>
      </w:pPr>
      <w:r>
        <w:rPr>
          <w:position w:val="-24"/>
        </w:rPr>
        <w:pict>
          <v:shape id="_x0000_i1027" type="#_x0000_t75" style="width:50.25pt;height:30.75pt">
            <v:imagedata r:id="rId22" o:title=""/>
          </v:shape>
        </w:pict>
      </w:r>
    </w:p>
    <w:p w:rsidR="000A45F0" w:rsidRPr="004E278C" w:rsidRDefault="000A45F0" w:rsidP="00303534">
      <w:pPr>
        <w:pStyle w:val="subsection2"/>
      </w:pPr>
      <w:r w:rsidRPr="004E278C">
        <w:t>where:</w:t>
      </w:r>
    </w:p>
    <w:p w:rsidR="000A45F0" w:rsidRPr="004E278C" w:rsidRDefault="000A45F0" w:rsidP="00303534">
      <w:pPr>
        <w:pStyle w:val="Definition"/>
      </w:pPr>
      <w:r w:rsidRPr="004E278C">
        <w:rPr>
          <w:b/>
          <w:i/>
        </w:rPr>
        <w:t xml:space="preserve">A </w:t>
      </w:r>
      <w:r w:rsidRPr="004E278C">
        <w:t>is the estimated gross value of production of the Commonwealth fishing industry in the relevant financial year.</w:t>
      </w:r>
    </w:p>
    <w:p w:rsidR="000A45F0" w:rsidRPr="004E278C" w:rsidRDefault="000A45F0" w:rsidP="00303534">
      <w:pPr>
        <w:pStyle w:val="Definition"/>
      </w:pPr>
      <w:r w:rsidRPr="004E278C">
        <w:rPr>
          <w:b/>
          <w:i/>
        </w:rPr>
        <w:t xml:space="preserve">B </w:t>
      </w:r>
      <w:r w:rsidRPr="004E278C">
        <w:t xml:space="preserve">is the gross value of production of the Commonwealth fishing industry in the financial year immediately before the relevant financial year (the </w:t>
      </w:r>
      <w:r w:rsidRPr="004E278C">
        <w:rPr>
          <w:b/>
          <w:i/>
        </w:rPr>
        <w:t>previous financial year</w:t>
      </w:r>
      <w:r w:rsidRPr="004E278C">
        <w:t>).</w:t>
      </w:r>
    </w:p>
    <w:p w:rsidR="000A45F0" w:rsidRPr="004E278C" w:rsidRDefault="000A45F0" w:rsidP="00303534">
      <w:pPr>
        <w:pStyle w:val="Definition"/>
      </w:pPr>
      <w:r w:rsidRPr="004E278C">
        <w:rPr>
          <w:b/>
          <w:i/>
        </w:rPr>
        <w:t xml:space="preserve">C </w:t>
      </w:r>
      <w:r w:rsidRPr="004E278C">
        <w:t>is the gross value of production of the Commonwealth fishing industry in the financial year immediately before the previous financial year.</w:t>
      </w:r>
    </w:p>
    <w:p w:rsidR="000A45F0" w:rsidRPr="004E278C" w:rsidRDefault="000A45F0" w:rsidP="00303534">
      <w:pPr>
        <w:pStyle w:val="subsection"/>
      </w:pPr>
      <w:r w:rsidRPr="004E278C">
        <w:tab/>
        <w:t>(3)</w:t>
      </w:r>
      <w:r w:rsidRPr="004E278C">
        <w:tab/>
        <w:t xml:space="preserve">For </w:t>
      </w:r>
      <w:r w:rsidRPr="004E278C">
        <w:rPr>
          <w:b/>
          <w:i/>
        </w:rPr>
        <w:t>A</w:t>
      </w:r>
      <w:r w:rsidRPr="004E278C">
        <w:t xml:space="preserve">, </w:t>
      </w:r>
      <w:r w:rsidRPr="004E278C">
        <w:rPr>
          <w:b/>
          <w:i/>
        </w:rPr>
        <w:t>B</w:t>
      </w:r>
      <w:r w:rsidRPr="004E278C">
        <w:t xml:space="preserve"> and </w:t>
      </w:r>
      <w:r w:rsidRPr="004E278C">
        <w:rPr>
          <w:b/>
          <w:i/>
        </w:rPr>
        <w:t>C</w:t>
      </w:r>
      <w:r w:rsidRPr="004E278C">
        <w:t xml:space="preserve"> in subregulation (2), the amount for the gross value of production is the figure supplied by the Department of Agriculture, Fisheries and Forestry.</w:t>
      </w:r>
    </w:p>
    <w:p w:rsidR="000A45F0" w:rsidRPr="004E278C" w:rsidRDefault="000A45F0" w:rsidP="00303534">
      <w:pPr>
        <w:pStyle w:val="ActHead5"/>
      </w:pPr>
      <w:bookmarkStart w:id="10" w:name="_Toc75269205"/>
      <w:r w:rsidRPr="00994A83">
        <w:rPr>
          <w:rStyle w:val="CharSectno"/>
        </w:rPr>
        <w:t>4E</w:t>
      </w:r>
      <w:r w:rsidR="00303534" w:rsidRPr="004E278C">
        <w:t xml:space="preserve">  </w:t>
      </w:r>
      <w:r w:rsidRPr="004E278C">
        <w:t>Gross value of production of State or Territory managed fisheries</w:t>
      </w:r>
      <w:bookmarkEnd w:id="10"/>
    </w:p>
    <w:p w:rsidR="000A45F0" w:rsidRPr="004E278C" w:rsidRDefault="000A45F0" w:rsidP="00303534">
      <w:pPr>
        <w:pStyle w:val="subsection"/>
      </w:pPr>
      <w:r w:rsidRPr="004E278C">
        <w:tab/>
        <w:t>(1)</w:t>
      </w:r>
      <w:r w:rsidRPr="004E278C">
        <w:tab/>
        <w:t>In this regulation:</w:t>
      </w:r>
    </w:p>
    <w:p w:rsidR="000A45F0" w:rsidRPr="004E278C" w:rsidRDefault="000A45F0" w:rsidP="00303534">
      <w:pPr>
        <w:pStyle w:val="Definition"/>
      </w:pPr>
      <w:r w:rsidRPr="004E278C">
        <w:rPr>
          <w:b/>
          <w:i/>
        </w:rPr>
        <w:t xml:space="preserve">State or Territory fishing industry </w:t>
      </w:r>
      <w:r w:rsidRPr="004E278C">
        <w:t>means that part of the fishing industry:</w:t>
      </w:r>
    </w:p>
    <w:p w:rsidR="000A45F0" w:rsidRPr="004E278C" w:rsidRDefault="000A45F0" w:rsidP="00303534">
      <w:pPr>
        <w:pStyle w:val="paragraph"/>
      </w:pPr>
      <w:r w:rsidRPr="004E278C">
        <w:tab/>
        <w:t>(a)</w:t>
      </w:r>
      <w:r w:rsidRPr="004E278C">
        <w:tab/>
        <w:t>concerned with taking or culturing fish or fish products; and</w:t>
      </w:r>
    </w:p>
    <w:p w:rsidR="000A45F0" w:rsidRPr="004E278C" w:rsidRDefault="000A45F0" w:rsidP="00303534">
      <w:pPr>
        <w:pStyle w:val="paragraph"/>
      </w:pPr>
      <w:r w:rsidRPr="004E278C">
        <w:tab/>
        <w:t>(b)</w:t>
      </w:r>
      <w:r w:rsidRPr="004E278C">
        <w:tab/>
        <w:t>managed by or on behalf of a State or Territory.</w:t>
      </w:r>
    </w:p>
    <w:p w:rsidR="000A45F0" w:rsidRPr="004E278C" w:rsidRDefault="000A45F0" w:rsidP="00303534">
      <w:pPr>
        <w:pStyle w:val="subsection"/>
      </w:pPr>
      <w:r w:rsidRPr="004E278C">
        <w:tab/>
        <w:t>(2)</w:t>
      </w:r>
      <w:r w:rsidRPr="004E278C">
        <w:tab/>
        <w:t>For subsection</w:t>
      </w:r>
      <w:r w:rsidR="004E278C">
        <w:t> </w:t>
      </w:r>
      <w:r w:rsidRPr="004E278C">
        <w:t xml:space="preserve">30A(5) of the Act, the Minister must determine the State or Territory GVP for a financial year (the </w:t>
      </w:r>
      <w:r w:rsidRPr="004E278C">
        <w:rPr>
          <w:b/>
          <w:i/>
        </w:rPr>
        <w:t>relevant financial year</w:t>
      </w:r>
      <w:r w:rsidRPr="004E278C">
        <w:t>) by using:</w:t>
      </w:r>
    </w:p>
    <w:p w:rsidR="00A42621" w:rsidRPr="004E278C" w:rsidRDefault="00407681" w:rsidP="009C2E7E">
      <w:pPr>
        <w:pStyle w:val="subsection2"/>
      </w:pPr>
      <w:r>
        <w:pict>
          <v:shape id="_x0000_i1028" type="#_x0000_t75" style="width:50.25pt;height:30.75pt">
            <v:imagedata r:id="rId22" o:title=""/>
          </v:shape>
        </w:pict>
      </w:r>
    </w:p>
    <w:p w:rsidR="000A45F0" w:rsidRPr="004E278C" w:rsidRDefault="000A45F0" w:rsidP="00303534">
      <w:pPr>
        <w:pStyle w:val="subsection2"/>
      </w:pPr>
      <w:r w:rsidRPr="004E278C">
        <w:t>where:</w:t>
      </w:r>
    </w:p>
    <w:p w:rsidR="000A45F0" w:rsidRPr="004E278C" w:rsidRDefault="000A45F0" w:rsidP="00303534">
      <w:pPr>
        <w:pStyle w:val="Definition"/>
      </w:pPr>
      <w:r w:rsidRPr="004E278C">
        <w:rPr>
          <w:b/>
          <w:i/>
        </w:rPr>
        <w:t xml:space="preserve">A </w:t>
      </w:r>
      <w:r w:rsidRPr="004E278C">
        <w:t>is the estimated gross value of production of the State or Territory fishing industry in the relevant financial year.</w:t>
      </w:r>
    </w:p>
    <w:p w:rsidR="000A45F0" w:rsidRPr="004E278C" w:rsidRDefault="000A45F0" w:rsidP="00303534">
      <w:pPr>
        <w:pStyle w:val="Definition"/>
      </w:pPr>
      <w:r w:rsidRPr="004E278C">
        <w:rPr>
          <w:b/>
          <w:i/>
        </w:rPr>
        <w:t xml:space="preserve">B </w:t>
      </w:r>
      <w:r w:rsidRPr="004E278C">
        <w:t xml:space="preserve">is the gross value of production of the State or Territory fishing industry in the financial year immediately before the relevant financial year (the </w:t>
      </w:r>
      <w:r w:rsidRPr="004E278C">
        <w:rPr>
          <w:b/>
          <w:i/>
        </w:rPr>
        <w:t>previous financial year</w:t>
      </w:r>
      <w:r w:rsidRPr="004E278C">
        <w:t>).</w:t>
      </w:r>
    </w:p>
    <w:p w:rsidR="000A45F0" w:rsidRPr="004E278C" w:rsidRDefault="000A45F0" w:rsidP="00303534">
      <w:pPr>
        <w:pStyle w:val="Definition"/>
      </w:pPr>
      <w:r w:rsidRPr="004E278C">
        <w:rPr>
          <w:b/>
          <w:i/>
        </w:rPr>
        <w:t xml:space="preserve">C </w:t>
      </w:r>
      <w:r w:rsidRPr="004E278C">
        <w:t>is the gross value of production of the State or Territory fishing industry in the financial year immediately before the previous financial year.</w:t>
      </w:r>
    </w:p>
    <w:p w:rsidR="000A45F0" w:rsidRPr="004E278C" w:rsidRDefault="000A45F0" w:rsidP="00303534">
      <w:pPr>
        <w:pStyle w:val="ActHead5"/>
      </w:pPr>
      <w:bookmarkStart w:id="11" w:name="_Toc75269206"/>
      <w:r w:rsidRPr="00994A83">
        <w:rPr>
          <w:rStyle w:val="CharSectno"/>
        </w:rPr>
        <w:t>5</w:t>
      </w:r>
      <w:r w:rsidR="00303534" w:rsidRPr="004E278C">
        <w:t xml:space="preserve">  </w:t>
      </w:r>
      <w:r w:rsidRPr="004E278C">
        <w:t>Annual Report</w:t>
      </w:r>
      <w:bookmarkEnd w:id="11"/>
    </w:p>
    <w:p w:rsidR="000A45F0" w:rsidRPr="004E278C" w:rsidRDefault="000A45F0" w:rsidP="00303534">
      <w:pPr>
        <w:pStyle w:val="subsection"/>
      </w:pPr>
      <w:r w:rsidRPr="004E278C">
        <w:tab/>
      </w:r>
      <w:r w:rsidRPr="004E278C">
        <w:tab/>
        <w:t>For the purposes of paragraph</w:t>
      </w:r>
      <w:r w:rsidR="004E278C">
        <w:t> </w:t>
      </w:r>
      <w:r w:rsidRPr="004E278C">
        <w:t>28(d) of the Act, the fishing industry is a prescribed primary industry.</w:t>
      </w:r>
    </w:p>
    <w:p w:rsidR="000A45F0" w:rsidRPr="004E278C" w:rsidRDefault="000A45F0" w:rsidP="00303534">
      <w:pPr>
        <w:pStyle w:val="ActHead5"/>
      </w:pPr>
      <w:bookmarkStart w:id="12" w:name="_Toc75269207"/>
      <w:r w:rsidRPr="00994A83">
        <w:rPr>
          <w:rStyle w:val="CharSectno"/>
        </w:rPr>
        <w:t>6</w:t>
      </w:r>
      <w:r w:rsidR="00303534" w:rsidRPr="004E278C">
        <w:t xml:space="preserve">  </w:t>
      </w:r>
      <w:r w:rsidRPr="004E278C">
        <w:t>Accountability to representative organisations</w:t>
      </w:r>
      <w:bookmarkEnd w:id="12"/>
    </w:p>
    <w:p w:rsidR="000A45F0" w:rsidRPr="004E278C" w:rsidRDefault="000A45F0" w:rsidP="00303534">
      <w:pPr>
        <w:pStyle w:val="subsection"/>
      </w:pPr>
      <w:r w:rsidRPr="004E278C">
        <w:tab/>
      </w:r>
      <w:r w:rsidRPr="004E278C">
        <w:tab/>
        <w:t>For the purposes of subparagraph</w:t>
      </w:r>
      <w:r w:rsidR="004E278C">
        <w:t> </w:t>
      </w:r>
      <w:r w:rsidRPr="004E278C">
        <w:t>29(b)(iii) of the Act, the fishing industry is a prescribed primary industry.</w:t>
      </w:r>
    </w:p>
    <w:p w:rsidR="004B49F8" w:rsidRPr="004E278C" w:rsidRDefault="004B49F8" w:rsidP="00967250">
      <w:pPr>
        <w:sectPr w:rsidR="004B49F8" w:rsidRPr="004E278C" w:rsidSect="00407681">
          <w:headerReference w:type="even" r:id="rId23"/>
          <w:headerReference w:type="default" r:id="rId24"/>
          <w:footerReference w:type="even" r:id="rId25"/>
          <w:footerReference w:type="default" r:id="rId26"/>
          <w:headerReference w:type="first" r:id="rId27"/>
          <w:footerReference w:type="first" r:id="rId28"/>
          <w:pgSz w:w="11907" w:h="16839"/>
          <w:pgMar w:top="2325" w:right="1797" w:bottom="1440" w:left="1797" w:header="720" w:footer="709" w:gutter="0"/>
          <w:pgNumType w:start="1"/>
          <w:cols w:space="708"/>
          <w:docGrid w:linePitch="360"/>
        </w:sectPr>
      </w:pPr>
    </w:p>
    <w:p w:rsidR="003C0D11" w:rsidRPr="004E278C" w:rsidRDefault="003C0D11" w:rsidP="003C0D11">
      <w:pPr>
        <w:pStyle w:val="ENotesHeading1"/>
        <w:keepNext/>
        <w:keepLines/>
        <w:pageBreakBefore/>
        <w:outlineLvl w:val="9"/>
      </w:pPr>
      <w:bookmarkStart w:id="13" w:name="_Toc75269208"/>
      <w:r w:rsidRPr="004E278C">
        <w:t>Endnotes</w:t>
      </w:r>
      <w:bookmarkEnd w:id="13"/>
    </w:p>
    <w:p w:rsidR="00971CC8" w:rsidRPr="004E278C" w:rsidRDefault="00971CC8" w:rsidP="00D172BC">
      <w:pPr>
        <w:pStyle w:val="ENotesHeading2"/>
        <w:spacing w:line="240" w:lineRule="auto"/>
        <w:outlineLvl w:val="9"/>
      </w:pPr>
      <w:bookmarkStart w:id="14" w:name="_Toc75269209"/>
      <w:r w:rsidRPr="004E278C">
        <w:t>Endnote 1—About the endnotes</w:t>
      </w:r>
      <w:bookmarkEnd w:id="14"/>
    </w:p>
    <w:p w:rsidR="00971CC8" w:rsidRPr="004E278C" w:rsidRDefault="00971CC8" w:rsidP="00D172BC">
      <w:pPr>
        <w:spacing w:after="120"/>
      </w:pPr>
      <w:r w:rsidRPr="004E278C">
        <w:t>The endnotes provide information about this compilation and the compiled law.</w:t>
      </w:r>
    </w:p>
    <w:p w:rsidR="00971CC8" w:rsidRPr="004E278C" w:rsidRDefault="00971CC8" w:rsidP="00D172BC">
      <w:pPr>
        <w:spacing w:after="120"/>
      </w:pPr>
      <w:r w:rsidRPr="004E278C">
        <w:t>The following endnotes are included in every compilation:</w:t>
      </w:r>
    </w:p>
    <w:p w:rsidR="00971CC8" w:rsidRPr="004E278C" w:rsidRDefault="00971CC8" w:rsidP="00D172BC">
      <w:r w:rsidRPr="004E278C">
        <w:t>Endnote 1—About the endnotes</w:t>
      </w:r>
    </w:p>
    <w:p w:rsidR="00971CC8" w:rsidRPr="004E278C" w:rsidRDefault="00971CC8" w:rsidP="00D172BC">
      <w:r w:rsidRPr="004E278C">
        <w:t>Endnote 2—Abbreviation key</w:t>
      </w:r>
    </w:p>
    <w:p w:rsidR="00971CC8" w:rsidRPr="004E278C" w:rsidRDefault="00971CC8" w:rsidP="00D172BC">
      <w:r w:rsidRPr="004E278C">
        <w:t>Endnote 3—Legislation history</w:t>
      </w:r>
    </w:p>
    <w:p w:rsidR="00971CC8" w:rsidRPr="004E278C" w:rsidRDefault="00971CC8" w:rsidP="00D172BC">
      <w:pPr>
        <w:spacing w:after="120"/>
      </w:pPr>
      <w:r w:rsidRPr="004E278C">
        <w:t>Endnote 4—Amendment history</w:t>
      </w:r>
    </w:p>
    <w:p w:rsidR="00971CC8" w:rsidRPr="004E278C" w:rsidRDefault="00971CC8" w:rsidP="00D172BC">
      <w:r w:rsidRPr="004E278C">
        <w:rPr>
          <w:b/>
        </w:rPr>
        <w:t>Abbreviation key—Endnote 2</w:t>
      </w:r>
    </w:p>
    <w:p w:rsidR="00971CC8" w:rsidRPr="004E278C" w:rsidRDefault="00971CC8" w:rsidP="00D172BC">
      <w:pPr>
        <w:spacing w:after="120"/>
      </w:pPr>
      <w:r w:rsidRPr="004E278C">
        <w:t>The abbreviation key sets out abbreviations that may be used in the endnotes.</w:t>
      </w:r>
    </w:p>
    <w:p w:rsidR="00971CC8" w:rsidRPr="004E278C" w:rsidRDefault="00971CC8" w:rsidP="00D172BC">
      <w:pPr>
        <w:rPr>
          <w:b/>
        </w:rPr>
      </w:pPr>
      <w:r w:rsidRPr="004E278C">
        <w:rPr>
          <w:b/>
        </w:rPr>
        <w:t>Legislation history and amendment history—Endnotes 3 and 4</w:t>
      </w:r>
    </w:p>
    <w:p w:rsidR="00971CC8" w:rsidRPr="004E278C" w:rsidRDefault="00971CC8" w:rsidP="00D172BC">
      <w:pPr>
        <w:spacing w:after="120"/>
      </w:pPr>
      <w:r w:rsidRPr="004E278C">
        <w:t>Amending laws are annotated in the legislation history and amendment history.</w:t>
      </w:r>
    </w:p>
    <w:p w:rsidR="00971CC8" w:rsidRPr="004E278C" w:rsidRDefault="00971CC8" w:rsidP="00D172BC">
      <w:pPr>
        <w:spacing w:after="120"/>
      </w:pPr>
      <w:r w:rsidRPr="004E278C">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971CC8" w:rsidRPr="004E278C" w:rsidRDefault="00971CC8" w:rsidP="00D172BC">
      <w:pPr>
        <w:spacing w:after="120"/>
      </w:pPr>
      <w:r w:rsidRPr="004E278C">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971CC8" w:rsidRPr="004E278C" w:rsidRDefault="00971CC8" w:rsidP="00D172BC">
      <w:pPr>
        <w:rPr>
          <w:b/>
        </w:rPr>
      </w:pPr>
      <w:r w:rsidRPr="004E278C">
        <w:rPr>
          <w:b/>
        </w:rPr>
        <w:t>Editorial changes</w:t>
      </w:r>
    </w:p>
    <w:p w:rsidR="00971CC8" w:rsidRPr="004E278C" w:rsidRDefault="00971CC8" w:rsidP="00D172BC">
      <w:pPr>
        <w:spacing w:after="120"/>
      </w:pPr>
      <w:r w:rsidRPr="004E278C">
        <w:t xml:space="preserve">The </w:t>
      </w:r>
      <w:r w:rsidRPr="004E278C">
        <w:rPr>
          <w:i/>
        </w:rPr>
        <w:t>Legislation Act 2003</w:t>
      </w:r>
      <w:r w:rsidRPr="004E278C">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971CC8" w:rsidRPr="004E278C" w:rsidRDefault="00971CC8" w:rsidP="00D172BC">
      <w:pPr>
        <w:spacing w:after="120"/>
      </w:pPr>
      <w:r w:rsidRPr="004E278C">
        <w:t xml:space="preserve">If the compilation includes editorial changes, the endnotes include a brief outline of the changes in general terms. Full details of any changes can be obtained from the Office of Parliamentary Counsel. </w:t>
      </w:r>
    </w:p>
    <w:p w:rsidR="00971CC8" w:rsidRPr="004E278C" w:rsidRDefault="00971CC8" w:rsidP="00D172BC">
      <w:pPr>
        <w:keepNext/>
      </w:pPr>
      <w:r w:rsidRPr="004E278C">
        <w:rPr>
          <w:b/>
        </w:rPr>
        <w:t>Misdescribed amendments</w:t>
      </w:r>
    </w:p>
    <w:p w:rsidR="00971CC8" w:rsidRPr="004E278C" w:rsidRDefault="00971CC8" w:rsidP="00D172BC">
      <w:pPr>
        <w:spacing w:after="120"/>
      </w:pPr>
      <w:r w:rsidRPr="004E278C">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971CC8" w:rsidRPr="004E278C" w:rsidRDefault="00971CC8" w:rsidP="00D172BC">
      <w:pPr>
        <w:spacing w:before="120"/>
      </w:pPr>
      <w:r w:rsidRPr="004E278C">
        <w:t>If a misdescribed amendment cannot be given effect as intended, the abbreviation “(md not incorp)” is added to the details of the amendment included in the amendment history.</w:t>
      </w:r>
    </w:p>
    <w:p w:rsidR="00971CC8" w:rsidRPr="004E278C" w:rsidRDefault="00971CC8" w:rsidP="00D172BC">
      <w:pPr>
        <w:pStyle w:val="ENotesHeading2"/>
        <w:pageBreakBefore/>
        <w:outlineLvl w:val="9"/>
      </w:pPr>
      <w:bookmarkStart w:id="15" w:name="_Toc75269210"/>
      <w:r w:rsidRPr="004E278C">
        <w:t>Endnote 2—Abbreviation key</w:t>
      </w:r>
      <w:bookmarkEnd w:id="15"/>
    </w:p>
    <w:p w:rsidR="00971CC8" w:rsidRPr="004E278C" w:rsidRDefault="00971CC8" w:rsidP="00D172BC">
      <w:pPr>
        <w:pStyle w:val="Tabletext"/>
      </w:pPr>
    </w:p>
    <w:tbl>
      <w:tblPr>
        <w:tblW w:w="5000" w:type="pct"/>
        <w:tblLook w:val="0000" w:firstRow="0" w:lastRow="0" w:firstColumn="0" w:lastColumn="0" w:noHBand="0" w:noVBand="0"/>
      </w:tblPr>
      <w:tblGrid>
        <w:gridCol w:w="4570"/>
        <w:gridCol w:w="3959"/>
      </w:tblGrid>
      <w:tr w:rsidR="00971CC8" w:rsidRPr="004E278C" w:rsidTr="006C362A">
        <w:tc>
          <w:tcPr>
            <w:tcW w:w="2679" w:type="pct"/>
            <w:shd w:val="clear" w:color="auto" w:fill="auto"/>
          </w:tcPr>
          <w:p w:rsidR="00971CC8" w:rsidRPr="004E278C" w:rsidRDefault="00971CC8" w:rsidP="00D172BC">
            <w:pPr>
              <w:spacing w:before="60"/>
              <w:ind w:left="34"/>
              <w:rPr>
                <w:sz w:val="20"/>
              </w:rPr>
            </w:pPr>
            <w:r w:rsidRPr="004E278C">
              <w:rPr>
                <w:sz w:val="20"/>
              </w:rPr>
              <w:t>ad = added or inserted</w:t>
            </w:r>
          </w:p>
        </w:tc>
        <w:tc>
          <w:tcPr>
            <w:tcW w:w="2321" w:type="pct"/>
            <w:shd w:val="clear" w:color="auto" w:fill="auto"/>
          </w:tcPr>
          <w:p w:rsidR="00971CC8" w:rsidRPr="004E278C" w:rsidRDefault="00971CC8" w:rsidP="00D172BC">
            <w:pPr>
              <w:spacing w:before="60"/>
              <w:ind w:left="34"/>
              <w:rPr>
                <w:sz w:val="20"/>
              </w:rPr>
            </w:pPr>
            <w:r w:rsidRPr="004E278C">
              <w:rPr>
                <w:sz w:val="20"/>
              </w:rPr>
              <w:t>o = order(s)</w:t>
            </w:r>
          </w:p>
        </w:tc>
      </w:tr>
      <w:tr w:rsidR="00971CC8" w:rsidRPr="004E278C" w:rsidTr="006C362A">
        <w:tc>
          <w:tcPr>
            <w:tcW w:w="2679" w:type="pct"/>
            <w:shd w:val="clear" w:color="auto" w:fill="auto"/>
          </w:tcPr>
          <w:p w:rsidR="00971CC8" w:rsidRPr="004E278C" w:rsidRDefault="00971CC8" w:rsidP="00D172BC">
            <w:pPr>
              <w:spacing w:before="60"/>
              <w:ind w:left="34"/>
              <w:rPr>
                <w:sz w:val="20"/>
              </w:rPr>
            </w:pPr>
            <w:r w:rsidRPr="004E278C">
              <w:rPr>
                <w:sz w:val="20"/>
              </w:rPr>
              <w:t>am = amended</w:t>
            </w:r>
          </w:p>
        </w:tc>
        <w:tc>
          <w:tcPr>
            <w:tcW w:w="2321" w:type="pct"/>
            <w:shd w:val="clear" w:color="auto" w:fill="auto"/>
          </w:tcPr>
          <w:p w:rsidR="00971CC8" w:rsidRPr="004E278C" w:rsidRDefault="00971CC8" w:rsidP="00D172BC">
            <w:pPr>
              <w:spacing w:before="60"/>
              <w:ind w:left="34"/>
              <w:rPr>
                <w:sz w:val="20"/>
              </w:rPr>
            </w:pPr>
            <w:r w:rsidRPr="004E278C">
              <w:rPr>
                <w:sz w:val="20"/>
              </w:rPr>
              <w:t>Ord = Ordinance</w:t>
            </w:r>
          </w:p>
        </w:tc>
      </w:tr>
      <w:tr w:rsidR="00971CC8" w:rsidRPr="004E278C" w:rsidTr="006C362A">
        <w:tc>
          <w:tcPr>
            <w:tcW w:w="2679" w:type="pct"/>
            <w:shd w:val="clear" w:color="auto" w:fill="auto"/>
          </w:tcPr>
          <w:p w:rsidR="00971CC8" w:rsidRPr="004E278C" w:rsidRDefault="00971CC8" w:rsidP="00D172BC">
            <w:pPr>
              <w:spacing w:before="60"/>
              <w:ind w:left="34"/>
              <w:rPr>
                <w:sz w:val="20"/>
              </w:rPr>
            </w:pPr>
            <w:r w:rsidRPr="004E278C">
              <w:rPr>
                <w:sz w:val="20"/>
              </w:rPr>
              <w:t>amdt = amendment</w:t>
            </w:r>
          </w:p>
        </w:tc>
        <w:tc>
          <w:tcPr>
            <w:tcW w:w="2321" w:type="pct"/>
            <w:shd w:val="clear" w:color="auto" w:fill="auto"/>
          </w:tcPr>
          <w:p w:rsidR="00971CC8" w:rsidRPr="004E278C" w:rsidRDefault="00971CC8" w:rsidP="00D172BC">
            <w:pPr>
              <w:spacing w:before="60"/>
              <w:ind w:left="34"/>
              <w:rPr>
                <w:sz w:val="20"/>
              </w:rPr>
            </w:pPr>
            <w:r w:rsidRPr="004E278C">
              <w:rPr>
                <w:sz w:val="20"/>
              </w:rPr>
              <w:t>orig = original</w:t>
            </w:r>
          </w:p>
        </w:tc>
      </w:tr>
      <w:tr w:rsidR="00971CC8" w:rsidRPr="004E278C" w:rsidTr="006C362A">
        <w:tc>
          <w:tcPr>
            <w:tcW w:w="2679" w:type="pct"/>
            <w:shd w:val="clear" w:color="auto" w:fill="auto"/>
          </w:tcPr>
          <w:p w:rsidR="00971CC8" w:rsidRPr="004E278C" w:rsidRDefault="00971CC8" w:rsidP="00D172BC">
            <w:pPr>
              <w:spacing w:before="60"/>
              <w:ind w:left="34"/>
              <w:rPr>
                <w:sz w:val="20"/>
              </w:rPr>
            </w:pPr>
            <w:r w:rsidRPr="004E278C">
              <w:rPr>
                <w:sz w:val="20"/>
              </w:rPr>
              <w:t>c = clause(s)</w:t>
            </w:r>
          </w:p>
        </w:tc>
        <w:tc>
          <w:tcPr>
            <w:tcW w:w="2321" w:type="pct"/>
            <w:shd w:val="clear" w:color="auto" w:fill="auto"/>
          </w:tcPr>
          <w:p w:rsidR="00971CC8" w:rsidRPr="004E278C" w:rsidRDefault="00971CC8" w:rsidP="00D172BC">
            <w:pPr>
              <w:spacing w:before="60"/>
              <w:ind w:left="34"/>
              <w:rPr>
                <w:sz w:val="20"/>
              </w:rPr>
            </w:pPr>
            <w:r w:rsidRPr="004E278C">
              <w:rPr>
                <w:sz w:val="20"/>
              </w:rPr>
              <w:t>par = paragraph(s)/subparagraph(s)</w:t>
            </w:r>
          </w:p>
        </w:tc>
      </w:tr>
      <w:tr w:rsidR="00971CC8" w:rsidRPr="004E278C" w:rsidTr="006C362A">
        <w:tc>
          <w:tcPr>
            <w:tcW w:w="2679" w:type="pct"/>
            <w:shd w:val="clear" w:color="auto" w:fill="auto"/>
          </w:tcPr>
          <w:p w:rsidR="00971CC8" w:rsidRPr="004E278C" w:rsidRDefault="00971CC8" w:rsidP="00D172BC">
            <w:pPr>
              <w:spacing w:before="60"/>
              <w:ind w:left="34"/>
              <w:rPr>
                <w:sz w:val="20"/>
              </w:rPr>
            </w:pPr>
            <w:r w:rsidRPr="004E278C">
              <w:rPr>
                <w:sz w:val="20"/>
              </w:rPr>
              <w:t>C[x] = Compilation No. x</w:t>
            </w:r>
          </w:p>
        </w:tc>
        <w:tc>
          <w:tcPr>
            <w:tcW w:w="2321" w:type="pct"/>
            <w:shd w:val="clear" w:color="auto" w:fill="auto"/>
          </w:tcPr>
          <w:p w:rsidR="00971CC8" w:rsidRPr="004E278C" w:rsidRDefault="00B814BC" w:rsidP="00B814BC">
            <w:pPr>
              <w:ind w:left="34" w:firstLine="249"/>
              <w:rPr>
                <w:sz w:val="20"/>
              </w:rPr>
            </w:pPr>
            <w:r w:rsidRPr="004E278C">
              <w:rPr>
                <w:sz w:val="20"/>
              </w:rPr>
              <w:t>/</w:t>
            </w:r>
            <w:r w:rsidR="00971CC8" w:rsidRPr="004E278C">
              <w:rPr>
                <w:sz w:val="20"/>
              </w:rPr>
              <w:t>sub</w:t>
            </w:r>
            <w:r w:rsidR="00994A83">
              <w:rPr>
                <w:sz w:val="20"/>
              </w:rPr>
              <w:noBreakHyphen/>
            </w:r>
            <w:r w:rsidR="00971CC8" w:rsidRPr="004E278C">
              <w:rPr>
                <w:sz w:val="20"/>
              </w:rPr>
              <w:t>subparagraph(s)</w:t>
            </w:r>
          </w:p>
        </w:tc>
      </w:tr>
      <w:tr w:rsidR="00971CC8" w:rsidRPr="004E278C" w:rsidTr="006C362A">
        <w:tc>
          <w:tcPr>
            <w:tcW w:w="2679" w:type="pct"/>
            <w:shd w:val="clear" w:color="auto" w:fill="auto"/>
          </w:tcPr>
          <w:p w:rsidR="00971CC8" w:rsidRPr="004E278C" w:rsidRDefault="00971CC8" w:rsidP="00D172BC">
            <w:pPr>
              <w:spacing w:before="60"/>
              <w:ind w:left="34"/>
              <w:rPr>
                <w:sz w:val="20"/>
              </w:rPr>
            </w:pPr>
            <w:r w:rsidRPr="004E278C">
              <w:rPr>
                <w:sz w:val="20"/>
              </w:rPr>
              <w:t>Ch = Chapter(s)</w:t>
            </w:r>
          </w:p>
        </w:tc>
        <w:tc>
          <w:tcPr>
            <w:tcW w:w="2321" w:type="pct"/>
            <w:shd w:val="clear" w:color="auto" w:fill="auto"/>
          </w:tcPr>
          <w:p w:rsidR="00971CC8" w:rsidRPr="004E278C" w:rsidRDefault="00971CC8" w:rsidP="00D172BC">
            <w:pPr>
              <w:spacing w:before="60"/>
              <w:ind w:left="34"/>
              <w:rPr>
                <w:sz w:val="20"/>
              </w:rPr>
            </w:pPr>
            <w:r w:rsidRPr="004E278C">
              <w:rPr>
                <w:sz w:val="20"/>
              </w:rPr>
              <w:t>pres = present</w:t>
            </w:r>
          </w:p>
        </w:tc>
      </w:tr>
      <w:tr w:rsidR="00971CC8" w:rsidRPr="004E278C" w:rsidTr="006C362A">
        <w:tc>
          <w:tcPr>
            <w:tcW w:w="2679" w:type="pct"/>
            <w:shd w:val="clear" w:color="auto" w:fill="auto"/>
          </w:tcPr>
          <w:p w:rsidR="00971CC8" w:rsidRPr="004E278C" w:rsidRDefault="00971CC8" w:rsidP="00D172BC">
            <w:pPr>
              <w:spacing w:before="60"/>
              <w:ind w:left="34"/>
              <w:rPr>
                <w:sz w:val="20"/>
              </w:rPr>
            </w:pPr>
            <w:r w:rsidRPr="004E278C">
              <w:rPr>
                <w:sz w:val="20"/>
              </w:rPr>
              <w:t>def = definition(s)</w:t>
            </w:r>
          </w:p>
        </w:tc>
        <w:tc>
          <w:tcPr>
            <w:tcW w:w="2321" w:type="pct"/>
            <w:shd w:val="clear" w:color="auto" w:fill="auto"/>
          </w:tcPr>
          <w:p w:rsidR="00971CC8" w:rsidRPr="004E278C" w:rsidRDefault="00971CC8" w:rsidP="00D172BC">
            <w:pPr>
              <w:spacing w:before="60"/>
              <w:ind w:left="34"/>
              <w:rPr>
                <w:sz w:val="20"/>
              </w:rPr>
            </w:pPr>
            <w:r w:rsidRPr="004E278C">
              <w:rPr>
                <w:sz w:val="20"/>
              </w:rPr>
              <w:t>prev = previous</w:t>
            </w:r>
          </w:p>
        </w:tc>
      </w:tr>
      <w:tr w:rsidR="00971CC8" w:rsidRPr="004E278C" w:rsidTr="006C362A">
        <w:tc>
          <w:tcPr>
            <w:tcW w:w="2679" w:type="pct"/>
            <w:shd w:val="clear" w:color="auto" w:fill="auto"/>
          </w:tcPr>
          <w:p w:rsidR="00971CC8" w:rsidRPr="004E278C" w:rsidRDefault="00971CC8" w:rsidP="00D172BC">
            <w:pPr>
              <w:spacing w:before="60"/>
              <w:ind w:left="34"/>
              <w:rPr>
                <w:sz w:val="20"/>
              </w:rPr>
            </w:pPr>
            <w:r w:rsidRPr="004E278C">
              <w:rPr>
                <w:sz w:val="20"/>
              </w:rPr>
              <w:t>Dict = Dictionary</w:t>
            </w:r>
          </w:p>
        </w:tc>
        <w:tc>
          <w:tcPr>
            <w:tcW w:w="2321" w:type="pct"/>
            <w:shd w:val="clear" w:color="auto" w:fill="auto"/>
          </w:tcPr>
          <w:p w:rsidR="00971CC8" w:rsidRPr="004E278C" w:rsidRDefault="00971CC8" w:rsidP="00D172BC">
            <w:pPr>
              <w:spacing w:before="60"/>
              <w:ind w:left="34"/>
              <w:rPr>
                <w:sz w:val="20"/>
              </w:rPr>
            </w:pPr>
            <w:r w:rsidRPr="004E278C">
              <w:rPr>
                <w:sz w:val="20"/>
              </w:rPr>
              <w:t>(prev…) = previously</w:t>
            </w:r>
          </w:p>
        </w:tc>
      </w:tr>
      <w:tr w:rsidR="00971CC8" w:rsidRPr="004E278C" w:rsidTr="006C362A">
        <w:tc>
          <w:tcPr>
            <w:tcW w:w="2679" w:type="pct"/>
            <w:shd w:val="clear" w:color="auto" w:fill="auto"/>
          </w:tcPr>
          <w:p w:rsidR="00971CC8" w:rsidRPr="004E278C" w:rsidRDefault="00971CC8" w:rsidP="00D172BC">
            <w:pPr>
              <w:spacing w:before="60"/>
              <w:ind w:left="34"/>
              <w:rPr>
                <w:sz w:val="20"/>
              </w:rPr>
            </w:pPr>
            <w:r w:rsidRPr="004E278C">
              <w:rPr>
                <w:sz w:val="20"/>
              </w:rPr>
              <w:t>disallowed = disallowed by Parliament</w:t>
            </w:r>
          </w:p>
        </w:tc>
        <w:tc>
          <w:tcPr>
            <w:tcW w:w="2321" w:type="pct"/>
            <w:shd w:val="clear" w:color="auto" w:fill="auto"/>
          </w:tcPr>
          <w:p w:rsidR="00971CC8" w:rsidRPr="004E278C" w:rsidRDefault="00971CC8" w:rsidP="00D172BC">
            <w:pPr>
              <w:spacing w:before="60"/>
              <w:ind w:left="34"/>
              <w:rPr>
                <w:sz w:val="20"/>
              </w:rPr>
            </w:pPr>
            <w:r w:rsidRPr="004E278C">
              <w:rPr>
                <w:sz w:val="20"/>
              </w:rPr>
              <w:t>Pt = Part(s)</w:t>
            </w:r>
          </w:p>
        </w:tc>
      </w:tr>
      <w:tr w:rsidR="00971CC8" w:rsidRPr="004E278C" w:rsidTr="006C362A">
        <w:tc>
          <w:tcPr>
            <w:tcW w:w="2679" w:type="pct"/>
            <w:shd w:val="clear" w:color="auto" w:fill="auto"/>
          </w:tcPr>
          <w:p w:rsidR="00971CC8" w:rsidRPr="004E278C" w:rsidRDefault="00971CC8" w:rsidP="00D172BC">
            <w:pPr>
              <w:spacing w:before="60"/>
              <w:ind w:left="34"/>
              <w:rPr>
                <w:sz w:val="20"/>
              </w:rPr>
            </w:pPr>
            <w:r w:rsidRPr="004E278C">
              <w:rPr>
                <w:sz w:val="20"/>
              </w:rPr>
              <w:t>Div = Division(s)</w:t>
            </w:r>
          </w:p>
        </w:tc>
        <w:tc>
          <w:tcPr>
            <w:tcW w:w="2321" w:type="pct"/>
            <w:shd w:val="clear" w:color="auto" w:fill="auto"/>
          </w:tcPr>
          <w:p w:rsidR="00971CC8" w:rsidRPr="004E278C" w:rsidRDefault="00971CC8" w:rsidP="00D172BC">
            <w:pPr>
              <w:spacing w:before="60"/>
              <w:ind w:left="34"/>
              <w:rPr>
                <w:sz w:val="20"/>
              </w:rPr>
            </w:pPr>
            <w:r w:rsidRPr="004E278C">
              <w:rPr>
                <w:sz w:val="20"/>
              </w:rPr>
              <w:t>r = regulation(s)/rule(s)</w:t>
            </w:r>
          </w:p>
        </w:tc>
      </w:tr>
      <w:tr w:rsidR="00971CC8" w:rsidRPr="004E278C" w:rsidTr="006C362A">
        <w:tc>
          <w:tcPr>
            <w:tcW w:w="2679" w:type="pct"/>
            <w:shd w:val="clear" w:color="auto" w:fill="auto"/>
          </w:tcPr>
          <w:p w:rsidR="00971CC8" w:rsidRPr="004E278C" w:rsidRDefault="00971CC8" w:rsidP="00D172BC">
            <w:pPr>
              <w:spacing w:before="60"/>
              <w:ind w:left="34"/>
              <w:rPr>
                <w:sz w:val="20"/>
              </w:rPr>
            </w:pPr>
            <w:r w:rsidRPr="004E278C">
              <w:rPr>
                <w:sz w:val="20"/>
              </w:rPr>
              <w:t>ed = editorial change</w:t>
            </w:r>
          </w:p>
        </w:tc>
        <w:tc>
          <w:tcPr>
            <w:tcW w:w="2321" w:type="pct"/>
            <w:shd w:val="clear" w:color="auto" w:fill="auto"/>
          </w:tcPr>
          <w:p w:rsidR="00971CC8" w:rsidRPr="004E278C" w:rsidRDefault="00971CC8" w:rsidP="00D172BC">
            <w:pPr>
              <w:spacing w:before="60"/>
              <w:ind w:left="34"/>
              <w:rPr>
                <w:sz w:val="20"/>
              </w:rPr>
            </w:pPr>
            <w:r w:rsidRPr="004E278C">
              <w:rPr>
                <w:sz w:val="20"/>
              </w:rPr>
              <w:t>reloc = relocated</w:t>
            </w:r>
          </w:p>
        </w:tc>
      </w:tr>
      <w:tr w:rsidR="00971CC8" w:rsidRPr="004E278C" w:rsidTr="006C362A">
        <w:tc>
          <w:tcPr>
            <w:tcW w:w="2679" w:type="pct"/>
            <w:shd w:val="clear" w:color="auto" w:fill="auto"/>
          </w:tcPr>
          <w:p w:rsidR="00971CC8" w:rsidRPr="004E278C" w:rsidRDefault="00971CC8" w:rsidP="00D172BC">
            <w:pPr>
              <w:spacing w:before="60"/>
              <w:ind w:left="34"/>
              <w:rPr>
                <w:sz w:val="20"/>
              </w:rPr>
            </w:pPr>
            <w:r w:rsidRPr="004E278C">
              <w:rPr>
                <w:sz w:val="20"/>
              </w:rPr>
              <w:t>exp = expires/expired or ceases/ceased to have</w:t>
            </w:r>
          </w:p>
        </w:tc>
        <w:tc>
          <w:tcPr>
            <w:tcW w:w="2321" w:type="pct"/>
            <w:shd w:val="clear" w:color="auto" w:fill="auto"/>
          </w:tcPr>
          <w:p w:rsidR="00971CC8" w:rsidRPr="004E278C" w:rsidRDefault="00971CC8" w:rsidP="00D172BC">
            <w:pPr>
              <w:spacing w:before="60"/>
              <w:ind w:left="34"/>
              <w:rPr>
                <w:sz w:val="20"/>
              </w:rPr>
            </w:pPr>
            <w:r w:rsidRPr="004E278C">
              <w:rPr>
                <w:sz w:val="20"/>
              </w:rPr>
              <w:t>renum = renumbered</w:t>
            </w:r>
          </w:p>
        </w:tc>
      </w:tr>
      <w:tr w:rsidR="00971CC8" w:rsidRPr="004E278C" w:rsidTr="006C362A">
        <w:tc>
          <w:tcPr>
            <w:tcW w:w="2679" w:type="pct"/>
            <w:shd w:val="clear" w:color="auto" w:fill="auto"/>
          </w:tcPr>
          <w:p w:rsidR="00971CC8" w:rsidRPr="004E278C" w:rsidRDefault="00B814BC" w:rsidP="00B814BC">
            <w:pPr>
              <w:ind w:left="34" w:firstLine="249"/>
              <w:rPr>
                <w:sz w:val="20"/>
              </w:rPr>
            </w:pPr>
            <w:r w:rsidRPr="004E278C">
              <w:rPr>
                <w:sz w:val="20"/>
              </w:rPr>
              <w:t>e</w:t>
            </w:r>
            <w:r w:rsidR="00971CC8" w:rsidRPr="004E278C">
              <w:rPr>
                <w:sz w:val="20"/>
              </w:rPr>
              <w:t>ffect</w:t>
            </w:r>
          </w:p>
        </w:tc>
        <w:tc>
          <w:tcPr>
            <w:tcW w:w="2321" w:type="pct"/>
            <w:shd w:val="clear" w:color="auto" w:fill="auto"/>
          </w:tcPr>
          <w:p w:rsidR="00971CC8" w:rsidRPr="004E278C" w:rsidRDefault="00971CC8" w:rsidP="00D172BC">
            <w:pPr>
              <w:spacing w:before="60"/>
              <w:ind w:left="34"/>
              <w:rPr>
                <w:sz w:val="20"/>
              </w:rPr>
            </w:pPr>
            <w:r w:rsidRPr="004E278C">
              <w:rPr>
                <w:sz w:val="20"/>
              </w:rPr>
              <w:t>rep = repealed</w:t>
            </w:r>
          </w:p>
        </w:tc>
      </w:tr>
      <w:tr w:rsidR="00971CC8" w:rsidRPr="004E278C" w:rsidTr="006C362A">
        <w:tc>
          <w:tcPr>
            <w:tcW w:w="2679" w:type="pct"/>
            <w:shd w:val="clear" w:color="auto" w:fill="auto"/>
          </w:tcPr>
          <w:p w:rsidR="00971CC8" w:rsidRPr="004E278C" w:rsidRDefault="00971CC8" w:rsidP="00D172BC">
            <w:pPr>
              <w:spacing w:before="60"/>
              <w:ind w:left="34"/>
              <w:rPr>
                <w:sz w:val="20"/>
              </w:rPr>
            </w:pPr>
            <w:r w:rsidRPr="004E278C">
              <w:rPr>
                <w:sz w:val="20"/>
              </w:rPr>
              <w:t>F = Federal Register of Legislation</w:t>
            </w:r>
          </w:p>
        </w:tc>
        <w:tc>
          <w:tcPr>
            <w:tcW w:w="2321" w:type="pct"/>
            <w:shd w:val="clear" w:color="auto" w:fill="auto"/>
          </w:tcPr>
          <w:p w:rsidR="00971CC8" w:rsidRPr="004E278C" w:rsidRDefault="00971CC8" w:rsidP="00D172BC">
            <w:pPr>
              <w:spacing w:before="60"/>
              <w:ind w:left="34"/>
              <w:rPr>
                <w:sz w:val="20"/>
              </w:rPr>
            </w:pPr>
            <w:r w:rsidRPr="004E278C">
              <w:rPr>
                <w:sz w:val="20"/>
              </w:rPr>
              <w:t>rs = repealed and substituted</w:t>
            </w:r>
          </w:p>
        </w:tc>
      </w:tr>
      <w:tr w:rsidR="00971CC8" w:rsidRPr="004E278C" w:rsidTr="006C362A">
        <w:tc>
          <w:tcPr>
            <w:tcW w:w="2679" w:type="pct"/>
            <w:shd w:val="clear" w:color="auto" w:fill="auto"/>
          </w:tcPr>
          <w:p w:rsidR="00971CC8" w:rsidRPr="004E278C" w:rsidRDefault="00971CC8" w:rsidP="00D172BC">
            <w:pPr>
              <w:spacing w:before="60"/>
              <w:ind w:left="34"/>
              <w:rPr>
                <w:sz w:val="20"/>
              </w:rPr>
            </w:pPr>
            <w:r w:rsidRPr="004E278C">
              <w:rPr>
                <w:sz w:val="20"/>
              </w:rPr>
              <w:t>gaz = gazette</w:t>
            </w:r>
          </w:p>
        </w:tc>
        <w:tc>
          <w:tcPr>
            <w:tcW w:w="2321" w:type="pct"/>
            <w:shd w:val="clear" w:color="auto" w:fill="auto"/>
          </w:tcPr>
          <w:p w:rsidR="00971CC8" w:rsidRPr="004E278C" w:rsidRDefault="00971CC8" w:rsidP="00D172BC">
            <w:pPr>
              <w:spacing w:before="60"/>
              <w:ind w:left="34"/>
              <w:rPr>
                <w:sz w:val="20"/>
              </w:rPr>
            </w:pPr>
            <w:r w:rsidRPr="004E278C">
              <w:rPr>
                <w:sz w:val="20"/>
              </w:rPr>
              <w:t>s = section(s)/subsection(s)</w:t>
            </w:r>
          </w:p>
        </w:tc>
      </w:tr>
      <w:tr w:rsidR="00971CC8" w:rsidRPr="004E278C" w:rsidTr="006C362A">
        <w:tc>
          <w:tcPr>
            <w:tcW w:w="2679" w:type="pct"/>
            <w:shd w:val="clear" w:color="auto" w:fill="auto"/>
          </w:tcPr>
          <w:p w:rsidR="00971CC8" w:rsidRPr="004E278C" w:rsidRDefault="00971CC8" w:rsidP="00D172BC">
            <w:pPr>
              <w:spacing w:before="60"/>
              <w:ind w:left="34"/>
              <w:rPr>
                <w:sz w:val="20"/>
              </w:rPr>
            </w:pPr>
            <w:r w:rsidRPr="004E278C">
              <w:rPr>
                <w:sz w:val="20"/>
              </w:rPr>
              <w:t xml:space="preserve">LA = </w:t>
            </w:r>
            <w:r w:rsidRPr="004E278C">
              <w:rPr>
                <w:i/>
                <w:sz w:val="20"/>
              </w:rPr>
              <w:t>Legislation Act 2003</w:t>
            </w:r>
          </w:p>
        </w:tc>
        <w:tc>
          <w:tcPr>
            <w:tcW w:w="2321" w:type="pct"/>
            <w:shd w:val="clear" w:color="auto" w:fill="auto"/>
          </w:tcPr>
          <w:p w:rsidR="00971CC8" w:rsidRPr="004E278C" w:rsidRDefault="00971CC8" w:rsidP="00D172BC">
            <w:pPr>
              <w:spacing w:before="60"/>
              <w:ind w:left="34"/>
              <w:rPr>
                <w:sz w:val="20"/>
              </w:rPr>
            </w:pPr>
            <w:r w:rsidRPr="004E278C">
              <w:rPr>
                <w:sz w:val="20"/>
              </w:rPr>
              <w:t>Sch = Schedule(s)</w:t>
            </w:r>
          </w:p>
        </w:tc>
      </w:tr>
      <w:tr w:rsidR="00971CC8" w:rsidRPr="004E278C" w:rsidTr="006C362A">
        <w:tc>
          <w:tcPr>
            <w:tcW w:w="2679" w:type="pct"/>
            <w:shd w:val="clear" w:color="auto" w:fill="auto"/>
          </w:tcPr>
          <w:p w:rsidR="00971CC8" w:rsidRPr="004E278C" w:rsidRDefault="00971CC8" w:rsidP="00D172BC">
            <w:pPr>
              <w:spacing w:before="60"/>
              <w:ind w:left="34"/>
              <w:rPr>
                <w:sz w:val="20"/>
              </w:rPr>
            </w:pPr>
            <w:r w:rsidRPr="004E278C">
              <w:rPr>
                <w:sz w:val="20"/>
              </w:rPr>
              <w:t xml:space="preserve">LIA = </w:t>
            </w:r>
            <w:r w:rsidRPr="004E278C">
              <w:rPr>
                <w:i/>
                <w:sz w:val="20"/>
              </w:rPr>
              <w:t>Legislative Instruments Act 2003</w:t>
            </w:r>
          </w:p>
        </w:tc>
        <w:tc>
          <w:tcPr>
            <w:tcW w:w="2321" w:type="pct"/>
            <w:shd w:val="clear" w:color="auto" w:fill="auto"/>
          </w:tcPr>
          <w:p w:rsidR="00971CC8" w:rsidRPr="004E278C" w:rsidRDefault="00971CC8" w:rsidP="00D172BC">
            <w:pPr>
              <w:spacing w:before="60"/>
              <w:ind w:left="34"/>
              <w:rPr>
                <w:sz w:val="20"/>
              </w:rPr>
            </w:pPr>
            <w:r w:rsidRPr="004E278C">
              <w:rPr>
                <w:sz w:val="20"/>
              </w:rPr>
              <w:t>Sdiv = Subdivision(s)</w:t>
            </w:r>
          </w:p>
        </w:tc>
      </w:tr>
      <w:tr w:rsidR="00971CC8" w:rsidRPr="004E278C" w:rsidTr="006C362A">
        <w:tc>
          <w:tcPr>
            <w:tcW w:w="2679" w:type="pct"/>
            <w:shd w:val="clear" w:color="auto" w:fill="auto"/>
          </w:tcPr>
          <w:p w:rsidR="00971CC8" w:rsidRPr="004E278C" w:rsidRDefault="00971CC8" w:rsidP="00D172BC">
            <w:pPr>
              <w:spacing w:before="60"/>
              <w:ind w:left="34"/>
              <w:rPr>
                <w:sz w:val="20"/>
              </w:rPr>
            </w:pPr>
            <w:r w:rsidRPr="004E278C">
              <w:rPr>
                <w:sz w:val="20"/>
              </w:rPr>
              <w:t>(md) = misdescribed amendment can be given</w:t>
            </w:r>
          </w:p>
        </w:tc>
        <w:tc>
          <w:tcPr>
            <w:tcW w:w="2321" w:type="pct"/>
            <w:shd w:val="clear" w:color="auto" w:fill="auto"/>
          </w:tcPr>
          <w:p w:rsidR="00971CC8" w:rsidRPr="004E278C" w:rsidRDefault="00971CC8" w:rsidP="00D172BC">
            <w:pPr>
              <w:spacing w:before="60"/>
              <w:ind w:left="34"/>
              <w:rPr>
                <w:sz w:val="20"/>
              </w:rPr>
            </w:pPr>
            <w:r w:rsidRPr="004E278C">
              <w:rPr>
                <w:sz w:val="20"/>
              </w:rPr>
              <w:t>SLI = Select Legislative Instrument</w:t>
            </w:r>
          </w:p>
        </w:tc>
      </w:tr>
      <w:tr w:rsidR="00971CC8" w:rsidRPr="004E278C" w:rsidTr="006C362A">
        <w:tc>
          <w:tcPr>
            <w:tcW w:w="2679" w:type="pct"/>
            <w:shd w:val="clear" w:color="auto" w:fill="auto"/>
          </w:tcPr>
          <w:p w:rsidR="00971CC8" w:rsidRPr="004E278C" w:rsidRDefault="00B814BC" w:rsidP="00B814BC">
            <w:pPr>
              <w:ind w:left="34" w:firstLine="249"/>
              <w:rPr>
                <w:sz w:val="20"/>
              </w:rPr>
            </w:pPr>
            <w:r w:rsidRPr="004E278C">
              <w:rPr>
                <w:sz w:val="20"/>
              </w:rPr>
              <w:t>e</w:t>
            </w:r>
            <w:r w:rsidR="00971CC8" w:rsidRPr="004E278C">
              <w:rPr>
                <w:sz w:val="20"/>
              </w:rPr>
              <w:t>ffect</w:t>
            </w:r>
          </w:p>
        </w:tc>
        <w:tc>
          <w:tcPr>
            <w:tcW w:w="2321" w:type="pct"/>
            <w:shd w:val="clear" w:color="auto" w:fill="auto"/>
          </w:tcPr>
          <w:p w:rsidR="00971CC8" w:rsidRPr="004E278C" w:rsidRDefault="00971CC8" w:rsidP="00D172BC">
            <w:pPr>
              <w:spacing w:before="60"/>
              <w:ind w:left="34"/>
              <w:rPr>
                <w:sz w:val="20"/>
              </w:rPr>
            </w:pPr>
            <w:r w:rsidRPr="004E278C">
              <w:rPr>
                <w:sz w:val="20"/>
              </w:rPr>
              <w:t>SR = Statutory Rules</w:t>
            </w:r>
          </w:p>
        </w:tc>
      </w:tr>
      <w:tr w:rsidR="00971CC8" w:rsidRPr="004E278C" w:rsidTr="006C362A">
        <w:tc>
          <w:tcPr>
            <w:tcW w:w="2679" w:type="pct"/>
            <w:shd w:val="clear" w:color="auto" w:fill="auto"/>
          </w:tcPr>
          <w:p w:rsidR="00971CC8" w:rsidRPr="004E278C" w:rsidRDefault="00971CC8" w:rsidP="00D172BC">
            <w:pPr>
              <w:spacing w:before="60"/>
              <w:ind w:left="34"/>
              <w:rPr>
                <w:sz w:val="20"/>
              </w:rPr>
            </w:pPr>
            <w:r w:rsidRPr="004E278C">
              <w:rPr>
                <w:sz w:val="20"/>
              </w:rPr>
              <w:t>(md not incorp) = misdescribed amendment</w:t>
            </w:r>
          </w:p>
        </w:tc>
        <w:tc>
          <w:tcPr>
            <w:tcW w:w="2321" w:type="pct"/>
            <w:shd w:val="clear" w:color="auto" w:fill="auto"/>
          </w:tcPr>
          <w:p w:rsidR="00971CC8" w:rsidRPr="004E278C" w:rsidRDefault="00971CC8" w:rsidP="00D172BC">
            <w:pPr>
              <w:spacing w:before="60"/>
              <w:ind w:left="34"/>
              <w:rPr>
                <w:sz w:val="20"/>
              </w:rPr>
            </w:pPr>
            <w:r w:rsidRPr="004E278C">
              <w:rPr>
                <w:sz w:val="20"/>
              </w:rPr>
              <w:t>Sub</w:t>
            </w:r>
            <w:r w:rsidR="00994A83">
              <w:rPr>
                <w:sz w:val="20"/>
              </w:rPr>
              <w:noBreakHyphen/>
            </w:r>
            <w:r w:rsidRPr="004E278C">
              <w:rPr>
                <w:sz w:val="20"/>
              </w:rPr>
              <w:t>Ch = Sub</w:t>
            </w:r>
            <w:r w:rsidR="00994A83">
              <w:rPr>
                <w:sz w:val="20"/>
              </w:rPr>
              <w:noBreakHyphen/>
            </w:r>
            <w:r w:rsidRPr="004E278C">
              <w:rPr>
                <w:sz w:val="20"/>
              </w:rPr>
              <w:t>Chapter(s)</w:t>
            </w:r>
          </w:p>
        </w:tc>
      </w:tr>
      <w:tr w:rsidR="00971CC8" w:rsidRPr="004E278C" w:rsidTr="006C362A">
        <w:tc>
          <w:tcPr>
            <w:tcW w:w="2679" w:type="pct"/>
            <w:shd w:val="clear" w:color="auto" w:fill="auto"/>
          </w:tcPr>
          <w:p w:rsidR="00971CC8" w:rsidRPr="004E278C" w:rsidRDefault="00B814BC" w:rsidP="00B814BC">
            <w:pPr>
              <w:ind w:left="34" w:firstLine="249"/>
              <w:rPr>
                <w:sz w:val="20"/>
              </w:rPr>
            </w:pPr>
            <w:r w:rsidRPr="004E278C">
              <w:rPr>
                <w:sz w:val="20"/>
              </w:rPr>
              <w:t>c</w:t>
            </w:r>
            <w:r w:rsidR="00971CC8" w:rsidRPr="004E278C">
              <w:rPr>
                <w:sz w:val="20"/>
              </w:rPr>
              <w:t>annot be given effect</w:t>
            </w:r>
          </w:p>
        </w:tc>
        <w:tc>
          <w:tcPr>
            <w:tcW w:w="2321" w:type="pct"/>
            <w:shd w:val="clear" w:color="auto" w:fill="auto"/>
          </w:tcPr>
          <w:p w:rsidR="00971CC8" w:rsidRPr="004E278C" w:rsidRDefault="00971CC8" w:rsidP="00D172BC">
            <w:pPr>
              <w:spacing w:before="60"/>
              <w:ind w:left="34"/>
              <w:rPr>
                <w:sz w:val="20"/>
              </w:rPr>
            </w:pPr>
            <w:r w:rsidRPr="004E278C">
              <w:rPr>
                <w:sz w:val="20"/>
              </w:rPr>
              <w:t>SubPt = Subpart(s)</w:t>
            </w:r>
          </w:p>
        </w:tc>
      </w:tr>
      <w:tr w:rsidR="00971CC8" w:rsidRPr="004E278C" w:rsidTr="006C362A">
        <w:tc>
          <w:tcPr>
            <w:tcW w:w="2679" w:type="pct"/>
            <w:shd w:val="clear" w:color="auto" w:fill="auto"/>
          </w:tcPr>
          <w:p w:rsidR="00971CC8" w:rsidRPr="004E278C" w:rsidRDefault="00971CC8" w:rsidP="00D172BC">
            <w:pPr>
              <w:spacing w:before="60"/>
              <w:ind w:left="34"/>
              <w:rPr>
                <w:sz w:val="20"/>
              </w:rPr>
            </w:pPr>
            <w:r w:rsidRPr="004E278C">
              <w:rPr>
                <w:sz w:val="20"/>
              </w:rPr>
              <w:t>mod = modified/modification</w:t>
            </w:r>
          </w:p>
        </w:tc>
        <w:tc>
          <w:tcPr>
            <w:tcW w:w="2321" w:type="pct"/>
            <w:shd w:val="clear" w:color="auto" w:fill="auto"/>
          </w:tcPr>
          <w:p w:rsidR="00971CC8" w:rsidRPr="004E278C" w:rsidRDefault="00971CC8" w:rsidP="00D172BC">
            <w:pPr>
              <w:spacing w:before="60"/>
              <w:ind w:left="34"/>
              <w:rPr>
                <w:sz w:val="20"/>
              </w:rPr>
            </w:pPr>
            <w:r w:rsidRPr="004E278C">
              <w:rPr>
                <w:sz w:val="20"/>
                <w:u w:val="single"/>
              </w:rPr>
              <w:t>underlining</w:t>
            </w:r>
            <w:r w:rsidRPr="004E278C">
              <w:rPr>
                <w:sz w:val="20"/>
              </w:rPr>
              <w:t xml:space="preserve"> = whole or part not</w:t>
            </w:r>
          </w:p>
        </w:tc>
      </w:tr>
      <w:tr w:rsidR="00971CC8" w:rsidRPr="004E278C" w:rsidTr="006C362A">
        <w:tc>
          <w:tcPr>
            <w:tcW w:w="2679" w:type="pct"/>
            <w:shd w:val="clear" w:color="auto" w:fill="auto"/>
          </w:tcPr>
          <w:p w:rsidR="00971CC8" w:rsidRPr="004E278C" w:rsidRDefault="00971CC8" w:rsidP="00D172BC">
            <w:pPr>
              <w:spacing w:before="60"/>
              <w:ind w:left="34"/>
              <w:rPr>
                <w:sz w:val="20"/>
              </w:rPr>
            </w:pPr>
            <w:r w:rsidRPr="004E278C">
              <w:rPr>
                <w:sz w:val="20"/>
              </w:rPr>
              <w:t>No. = Number(s)</w:t>
            </w:r>
          </w:p>
        </w:tc>
        <w:tc>
          <w:tcPr>
            <w:tcW w:w="2321" w:type="pct"/>
            <w:shd w:val="clear" w:color="auto" w:fill="auto"/>
          </w:tcPr>
          <w:p w:rsidR="00971CC8" w:rsidRPr="004E278C" w:rsidRDefault="00B814BC" w:rsidP="00B814BC">
            <w:pPr>
              <w:ind w:left="34" w:firstLine="249"/>
              <w:rPr>
                <w:sz w:val="20"/>
              </w:rPr>
            </w:pPr>
            <w:r w:rsidRPr="004E278C">
              <w:rPr>
                <w:sz w:val="20"/>
              </w:rPr>
              <w:t>c</w:t>
            </w:r>
            <w:r w:rsidR="00971CC8" w:rsidRPr="004E278C">
              <w:rPr>
                <w:sz w:val="20"/>
              </w:rPr>
              <w:t>ommenced or to be commenced</w:t>
            </w:r>
          </w:p>
        </w:tc>
      </w:tr>
    </w:tbl>
    <w:p w:rsidR="005C4BBD" w:rsidRPr="004E278C" w:rsidRDefault="005C4BBD" w:rsidP="00967250">
      <w:pPr>
        <w:pStyle w:val="Tabletext"/>
      </w:pPr>
    </w:p>
    <w:p w:rsidR="00511AB9" w:rsidRPr="004E278C" w:rsidRDefault="00511AB9" w:rsidP="00511AB9">
      <w:pPr>
        <w:pStyle w:val="ENotesHeading2"/>
        <w:pageBreakBefore/>
        <w:outlineLvl w:val="9"/>
      </w:pPr>
      <w:bookmarkStart w:id="16" w:name="_Toc75269211"/>
      <w:r w:rsidRPr="004E278C">
        <w:t>Endnote 3—Legislation history</w:t>
      </w:r>
      <w:bookmarkEnd w:id="16"/>
    </w:p>
    <w:p w:rsidR="00511AB9" w:rsidRPr="004E278C" w:rsidRDefault="00511AB9" w:rsidP="00511AB9">
      <w:pPr>
        <w:pStyle w:val="Tabletext"/>
      </w:pPr>
    </w:p>
    <w:tbl>
      <w:tblPr>
        <w:tblW w:w="4995" w:type="pct"/>
        <w:tblBorders>
          <w:top w:val="single" w:sz="4" w:space="0" w:color="auto"/>
          <w:bottom w:val="single" w:sz="2" w:space="0" w:color="auto"/>
          <w:insideH w:val="single" w:sz="4" w:space="0" w:color="auto"/>
        </w:tblBorders>
        <w:tblLook w:val="0000" w:firstRow="0" w:lastRow="0" w:firstColumn="0" w:lastColumn="0" w:noHBand="0" w:noVBand="0"/>
      </w:tblPr>
      <w:tblGrid>
        <w:gridCol w:w="1810"/>
        <w:gridCol w:w="1748"/>
        <w:gridCol w:w="2788"/>
        <w:gridCol w:w="2174"/>
      </w:tblGrid>
      <w:tr w:rsidR="003C0D11" w:rsidRPr="004E278C" w:rsidTr="00AC7A77">
        <w:trPr>
          <w:tblHeader/>
        </w:trPr>
        <w:tc>
          <w:tcPr>
            <w:tcW w:w="1062" w:type="pct"/>
            <w:tcBorders>
              <w:top w:val="single" w:sz="12" w:space="0" w:color="auto"/>
              <w:bottom w:val="single" w:sz="12" w:space="0" w:color="auto"/>
            </w:tcBorders>
            <w:shd w:val="clear" w:color="auto" w:fill="auto"/>
          </w:tcPr>
          <w:p w:rsidR="003C0D11" w:rsidRPr="004E278C" w:rsidRDefault="003C0D11" w:rsidP="003C0D11">
            <w:pPr>
              <w:pStyle w:val="ENoteTableHeading"/>
            </w:pPr>
            <w:r w:rsidRPr="004E278C">
              <w:t>Number and year</w:t>
            </w:r>
          </w:p>
        </w:tc>
        <w:tc>
          <w:tcPr>
            <w:tcW w:w="1026" w:type="pct"/>
            <w:tcBorders>
              <w:top w:val="single" w:sz="12" w:space="0" w:color="auto"/>
              <w:bottom w:val="single" w:sz="12" w:space="0" w:color="auto"/>
            </w:tcBorders>
            <w:shd w:val="clear" w:color="auto" w:fill="auto"/>
          </w:tcPr>
          <w:p w:rsidR="003C0D11" w:rsidRPr="004E278C" w:rsidRDefault="00AC7A77" w:rsidP="00AC7A77">
            <w:pPr>
              <w:pStyle w:val="ENoteTableHeading"/>
            </w:pPr>
            <w:r w:rsidRPr="004E278C">
              <w:t>FRLI registration or gazettal</w:t>
            </w:r>
          </w:p>
        </w:tc>
        <w:tc>
          <w:tcPr>
            <w:tcW w:w="1636" w:type="pct"/>
            <w:tcBorders>
              <w:top w:val="single" w:sz="12" w:space="0" w:color="auto"/>
              <w:bottom w:val="single" w:sz="12" w:space="0" w:color="auto"/>
            </w:tcBorders>
            <w:shd w:val="clear" w:color="auto" w:fill="auto"/>
          </w:tcPr>
          <w:p w:rsidR="003C0D11" w:rsidRPr="004E278C" w:rsidRDefault="003C0D11" w:rsidP="003C0D11">
            <w:pPr>
              <w:pStyle w:val="ENoteTableHeading"/>
            </w:pPr>
            <w:r w:rsidRPr="004E278C">
              <w:t>Commencement</w:t>
            </w:r>
          </w:p>
        </w:tc>
        <w:tc>
          <w:tcPr>
            <w:tcW w:w="1276" w:type="pct"/>
            <w:tcBorders>
              <w:top w:val="single" w:sz="12" w:space="0" w:color="auto"/>
              <w:bottom w:val="single" w:sz="12" w:space="0" w:color="auto"/>
            </w:tcBorders>
            <w:shd w:val="clear" w:color="auto" w:fill="auto"/>
          </w:tcPr>
          <w:p w:rsidR="003C0D11" w:rsidRPr="004E278C" w:rsidRDefault="003C0D11" w:rsidP="003C0D11">
            <w:pPr>
              <w:pStyle w:val="ENoteTableHeading"/>
            </w:pPr>
            <w:r w:rsidRPr="004E278C">
              <w:t>Application, saving and transitional provisions</w:t>
            </w:r>
          </w:p>
        </w:tc>
      </w:tr>
      <w:tr w:rsidR="00303534" w:rsidRPr="004E278C" w:rsidTr="00AC7A77">
        <w:trPr>
          <w:cantSplit/>
        </w:trPr>
        <w:tc>
          <w:tcPr>
            <w:tcW w:w="1062" w:type="pct"/>
            <w:tcBorders>
              <w:top w:val="single" w:sz="12" w:space="0" w:color="auto"/>
              <w:bottom w:val="single" w:sz="4" w:space="0" w:color="auto"/>
            </w:tcBorders>
            <w:shd w:val="clear" w:color="auto" w:fill="auto"/>
          </w:tcPr>
          <w:p w:rsidR="00303534" w:rsidRPr="004E278C" w:rsidRDefault="00303534" w:rsidP="00303534">
            <w:pPr>
              <w:pStyle w:val="ENoteTableText"/>
            </w:pPr>
            <w:r w:rsidRPr="004E278C">
              <w:t>91</w:t>
            </w:r>
            <w:r w:rsidR="00232805" w:rsidRPr="004E278C">
              <w:t>, 1991</w:t>
            </w:r>
          </w:p>
        </w:tc>
        <w:tc>
          <w:tcPr>
            <w:tcW w:w="1026" w:type="pct"/>
            <w:tcBorders>
              <w:top w:val="single" w:sz="12" w:space="0" w:color="auto"/>
              <w:bottom w:val="single" w:sz="4" w:space="0" w:color="auto"/>
            </w:tcBorders>
            <w:shd w:val="clear" w:color="auto" w:fill="auto"/>
          </w:tcPr>
          <w:p w:rsidR="00303534" w:rsidRPr="004E278C" w:rsidRDefault="00303534" w:rsidP="00303534">
            <w:pPr>
              <w:pStyle w:val="ENoteTableText"/>
            </w:pPr>
            <w:r w:rsidRPr="004E278C">
              <w:t>6</w:t>
            </w:r>
            <w:r w:rsidR="004E278C">
              <w:t> </w:t>
            </w:r>
            <w:r w:rsidRPr="004E278C">
              <w:t>May 1991</w:t>
            </w:r>
          </w:p>
        </w:tc>
        <w:tc>
          <w:tcPr>
            <w:tcW w:w="1636" w:type="pct"/>
            <w:tcBorders>
              <w:top w:val="single" w:sz="12" w:space="0" w:color="auto"/>
              <w:bottom w:val="single" w:sz="4" w:space="0" w:color="auto"/>
            </w:tcBorders>
            <w:shd w:val="clear" w:color="auto" w:fill="auto"/>
          </w:tcPr>
          <w:p w:rsidR="00303534" w:rsidRPr="004E278C" w:rsidRDefault="00303534" w:rsidP="00303534">
            <w:pPr>
              <w:pStyle w:val="ENoteTableText"/>
            </w:pPr>
            <w:r w:rsidRPr="004E278C">
              <w:t>2</w:t>
            </w:r>
            <w:r w:rsidR="004E278C">
              <w:t> </w:t>
            </w:r>
            <w:r w:rsidRPr="004E278C">
              <w:t>July 1991</w:t>
            </w:r>
            <w:r w:rsidR="00AD5EB0" w:rsidRPr="004E278C">
              <w:t xml:space="preserve"> (r 2)</w:t>
            </w:r>
          </w:p>
        </w:tc>
        <w:tc>
          <w:tcPr>
            <w:tcW w:w="1276" w:type="pct"/>
            <w:tcBorders>
              <w:top w:val="single" w:sz="12" w:space="0" w:color="auto"/>
              <w:bottom w:val="single" w:sz="4" w:space="0" w:color="auto"/>
            </w:tcBorders>
            <w:shd w:val="clear" w:color="auto" w:fill="auto"/>
          </w:tcPr>
          <w:p w:rsidR="00303534" w:rsidRPr="004E278C" w:rsidRDefault="00303534" w:rsidP="00303534">
            <w:pPr>
              <w:pStyle w:val="ENoteTableText"/>
            </w:pPr>
          </w:p>
        </w:tc>
      </w:tr>
      <w:tr w:rsidR="00303534" w:rsidRPr="004E278C" w:rsidTr="00AC7A77">
        <w:trPr>
          <w:cantSplit/>
        </w:trPr>
        <w:tc>
          <w:tcPr>
            <w:tcW w:w="1062" w:type="pct"/>
            <w:tcBorders>
              <w:top w:val="single" w:sz="4" w:space="0" w:color="auto"/>
              <w:bottom w:val="single" w:sz="4" w:space="0" w:color="auto"/>
            </w:tcBorders>
            <w:shd w:val="clear" w:color="auto" w:fill="auto"/>
          </w:tcPr>
          <w:p w:rsidR="00303534" w:rsidRPr="004E278C" w:rsidRDefault="00303534" w:rsidP="00303534">
            <w:pPr>
              <w:pStyle w:val="ENoteTableText"/>
            </w:pPr>
            <w:r w:rsidRPr="004E278C">
              <w:t>17</w:t>
            </w:r>
            <w:r w:rsidR="00232805" w:rsidRPr="004E278C">
              <w:t>, 1992</w:t>
            </w:r>
          </w:p>
        </w:tc>
        <w:tc>
          <w:tcPr>
            <w:tcW w:w="1026" w:type="pct"/>
            <w:tcBorders>
              <w:top w:val="single" w:sz="4" w:space="0" w:color="auto"/>
              <w:bottom w:val="single" w:sz="4" w:space="0" w:color="auto"/>
            </w:tcBorders>
            <w:shd w:val="clear" w:color="auto" w:fill="auto"/>
          </w:tcPr>
          <w:p w:rsidR="00303534" w:rsidRPr="004E278C" w:rsidRDefault="00303534" w:rsidP="00303534">
            <w:pPr>
              <w:pStyle w:val="ENoteTableText"/>
            </w:pPr>
            <w:r w:rsidRPr="004E278C">
              <w:t>31 Jan 1992</w:t>
            </w:r>
          </w:p>
        </w:tc>
        <w:tc>
          <w:tcPr>
            <w:tcW w:w="1636" w:type="pct"/>
            <w:tcBorders>
              <w:top w:val="single" w:sz="4" w:space="0" w:color="auto"/>
              <w:bottom w:val="single" w:sz="4" w:space="0" w:color="auto"/>
            </w:tcBorders>
            <w:shd w:val="clear" w:color="auto" w:fill="auto"/>
          </w:tcPr>
          <w:p w:rsidR="00303534" w:rsidRPr="004E278C" w:rsidRDefault="00303534" w:rsidP="00106F5E">
            <w:pPr>
              <w:pStyle w:val="ENoteTableText"/>
            </w:pPr>
            <w:r w:rsidRPr="004E278C">
              <w:t xml:space="preserve">3 Feb 1992 (r 1 and </w:t>
            </w:r>
            <w:r w:rsidR="00106F5E" w:rsidRPr="004E278C">
              <w:t xml:space="preserve">gaz </w:t>
            </w:r>
            <w:r w:rsidRPr="004E278C">
              <w:t>1992, No. GN1)</w:t>
            </w:r>
          </w:p>
        </w:tc>
        <w:tc>
          <w:tcPr>
            <w:tcW w:w="1276" w:type="pct"/>
            <w:tcBorders>
              <w:top w:val="single" w:sz="4" w:space="0" w:color="auto"/>
              <w:bottom w:val="single" w:sz="4" w:space="0" w:color="auto"/>
            </w:tcBorders>
            <w:shd w:val="clear" w:color="auto" w:fill="auto"/>
          </w:tcPr>
          <w:p w:rsidR="00303534" w:rsidRPr="004E278C" w:rsidRDefault="00303534" w:rsidP="00303534">
            <w:pPr>
              <w:pStyle w:val="ENoteTableText"/>
            </w:pPr>
            <w:r w:rsidRPr="004E278C">
              <w:t>—</w:t>
            </w:r>
          </w:p>
        </w:tc>
      </w:tr>
      <w:tr w:rsidR="00303534" w:rsidRPr="004E278C" w:rsidTr="00AC7A77">
        <w:trPr>
          <w:cantSplit/>
        </w:trPr>
        <w:tc>
          <w:tcPr>
            <w:tcW w:w="1062" w:type="pct"/>
            <w:tcBorders>
              <w:top w:val="single" w:sz="4" w:space="0" w:color="auto"/>
              <w:bottom w:val="single" w:sz="4" w:space="0" w:color="auto"/>
            </w:tcBorders>
            <w:shd w:val="clear" w:color="auto" w:fill="auto"/>
          </w:tcPr>
          <w:p w:rsidR="00303534" w:rsidRPr="004E278C" w:rsidRDefault="00303534" w:rsidP="00303534">
            <w:pPr>
              <w:pStyle w:val="ENoteTableText"/>
            </w:pPr>
            <w:r w:rsidRPr="004E278C">
              <w:t>186</w:t>
            </w:r>
            <w:r w:rsidR="00232805" w:rsidRPr="004E278C">
              <w:t>, 1995</w:t>
            </w:r>
          </w:p>
        </w:tc>
        <w:tc>
          <w:tcPr>
            <w:tcW w:w="1026" w:type="pct"/>
            <w:tcBorders>
              <w:top w:val="single" w:sz="4" w:space="0" w:color="auto"/>
              <w:bottom w:val="single" w:sz="4" w:space="0" w:color="auto"/>
            </w:tcBorders>
            <w:shd w:val="clear" w:color="auto" w:fill="auto"/>
          </w:tcPr>
          <w:p w:rsidR="00303534" w:rsidRPr="004E278C" w:rsidRDefault="00303534" w:rsidP="00303534">
            <w:pPr>
              <w:pStyle w:val="ENoteTableText"/>
            </w:pPr>
            <w:r w:rsidRPr="004E278C">
              <w:t>4</w:t>
            </w:r>
            <w:r w:rsidR="004E278C">
              <w:t> </w:t>
            </w:r>
            <w:r w:rsidRPr="004E278C">
              <w:t>July 1995</w:t>
            </w:r>
          </w:p>
        </w:tc>
        <w:tc>
          <w:tcPr>
            <w:tcW w:w="1636" w:type="pct"/>
            <w:tcBorders>
              <w:top w:val="single" w:sz="4" w:space="0" w:color="auto"/>
              <w:bottom w:val="single" w:sz="4" w:space="0" w:color="auto"/>
            </w:tcBorders>
            <w:shd w:val="clear" w:color="auto" w:fill="auto"/>
          </w:tcPr>
          <w:p w:rsidR="00303534" w:rsidRPr="004E278C" w:rsidRDefault="00303534" w:rsidP="0081603A">
            <w:pPr>
              <w:pStyle w:val="ENoteTableText"/>
            </w:pPr>
            <w:r w:rsidRPr="004E278C">
              <w:t xml:space="preserve">3 Feb 1992 (r 1 and </w:t>
            </w:r>
            <w:r w:rsidR="00106F5E" w:rsidRPr="004E278C">
              <w:t xml:space="preserve">gaz </w:t>
            </w:r>
            <w:r w:rsidRPr="004E278C">
              <w:t>1992, No GN1)</w:t>
            </w:r>
          </w:p>
        </w:tc>
        <w:tc>
          <w:tcPr>
            <w:tcW w:w="1276" w:type="pct"/>
            <w:tcBorders>
              <w:top w:val="single" w:sz="4" w:space="0" w:color="auto"/>
              <w:bottom w:val="single" w:sz="4" w:space="0" w:color="auto"/>
            </w:tcBorders>
            <w:shd w:val="clear" w:color="auto" w:fill="auto"/>
          </w:tcPr>
          <w:p w:rsidR="00303534" w:rsidRPr="004E278C" w:rsidRDefault="00303534" w:rsidP="00303534">
            <w:pPr>
              <w:pStyle w:val="ENoteTableText"/>
            </w:pPr>
            <w:r w:rsidRPr="004E278C">
              <w:t>—</w:t>
            </w:r>
          </w:p>
        </w:tc>
      </w:tr>
      <w:tr w:rsidR="00303534" w:rsidRPr="004E278C" w:rsidTr="00AC7A77">
        <w:trPr>
          <w:cantSplit/>
        </w:trPr>
        <w:tc>
          <w:tcPr>
            <w:tcW w:w="1062" w:type="pct"/>
            <w:tcBorders>
              <w:top w:val="single" w:sz="4" w:space="0" w:color="auto"/>
              <w:bottom w:val="single" w:sz="4" w:space="0" w:color="auto"/>
            </w:tcBorders>
            <w:shd w:val="clear" w:color="auto" w:fill="auto"/>
          </w:tcPr>
          <w:p w:rsidR="00303534" w:rsidRPr="004E278C" w:rsidRDefault="00303534" w:rsidP="00303534">
            <w:pPr>
              <w:pStyle w:val="ENoteTableText"/>
            </w:pPr>
            <w:r w:rsidRPr="004E278C">
              <w:t>414</w:t>
            </w:r>
            <w:r w:rsidR="00232805" w:rsidRPr="004E278C">
              <w:t>, 1995</w:t>
            </w:r>
          </w:p>
        </w:tc>
        <w:tc>
          <w:tcPr>
            <w:tcW w:w="1026" w:type="pct"/>
            <w:tcBorders>
              <w:top w:val="single" w:sz="4" w:space="0" w:color="auto"/>
              <w:bottom w:val="single" w:sz="4" w:space="0" w:color="auto"/>
            </w:tcBorders>
            <w:shd w:val="clear" w:color="auto" w:fill="auto"/>
          </w:tcPr>
          <w:p w:rsidR="00303534" w:rsidRPr="004E278C" w:rsidRDefault="00303534" w:rsidP="00303534">
            <w:pPr>
              <w:pStyle w:val="ENoteTableText"/>
            </w:pPr>
            <w:r w:rsidRPr="004E278C">
              <w:t>19 Dec 1995</w:t>
            </w:r>
          </w:p>
        </w:tc>
        <w:tc>
          <w:tcPr>
            <w:tcW w:w="1636" w:type="pct"/>
            <w:tcBorders>
              <w:top w:val="single" w:sz="4" w:space="0" w:color="auto"/>
              <w:bottom w:val="single" w:sz="4" w:space="0" w:color="auto"/>
            </w:tcBorders>
            <w:shd w:val="clear" w:color="auto" w:fill="auto"/>
          </w:tcPr>
          <w:p w:rsidR="00303534" w:rsidRPr="004E278C" w:rsidRDefault="00303534" w:rsidP="008D31B0">
            <w:pPr>
              <w:pStyle w:val="ENoteTableText"/>
            </w:pPr>
            <w:r w:rsidRPr="004E278C">
              <w:t>1</w:t>
            </w:r>
            <w:r w:rsidR="004E278C">
              <w:t> </w:t>
            </w:r>
            <w:r w:rsidRPr="004E278C">
              <w:t>July 1994</w:t>
            </w:r>
            <w:r w:rsidR="008D31B0" w:rsidRPr="004E278C">
              <w:t xml:space="preserve"> </w:t>
            </w:r>
            <w:r w:rsidR="00AD5EB0" w:rsidRPr="004E278C">
              <w:t>( r 1)</w:t>
            </w:r>
          </w:p>
        </w:tc>
        <w:tc>
          <w:tcPr>
            <w:tcW w:w="1276" w:type="pct"/>
            <w:tcBorders>
              <w:top w:val="single" w:sz="4" w:space="0" w:color="auto"/>
              <w:bottom w:val="single" w:sz="4" w:space="0" w:color="auto"/>
            </w:tcBorders>
            <w:shd w:val="clear" w:color="auto" w:fill="auto"/>
          </w:tcPr>
          <w:p w:rsidR="00303534" w:rsidRPr="004E278C" w:rsidRDefault="00303534" w:rsidP="00303534">
            <w:pPr>
              <w:pStyle w:val="ENoteTableText"/>
            </w:pPr>
            <w:r w:rsidRPr="004E278C">
              <w:t>—</w:t>
            </w:r>
          </w:p>
        </w:tc>
      </w:tr>
      <w:tr w:rsidR="00303534" w:rsidRPr="004E278C" w:rsidTr="00AC7A77">
        <w:trPr>
          <w:cantSplit/>
        </w:trPr>
        <w:tc>
          <w:tcPr>
            <w:tcW w:w="1062" w:type="pct"/>
            <w:tcBorders>
              <w:top w:val="single" w:sz="4" w:space="0" w:color="auto"/>
              <w:bottom w:val="single" w:sz="4" w:space="0" w:color="auto"/>
            </w:tcBorders>
            <w:shd w:val="clear" w:color="auto" w:fill="auto"/>
          </w:tcPr>
          <w:p w:rsidR="00303534" w:rsidRPr="004E278C" w:rsidRDefault="00303534" w:rsidP="00303534">
            <w:pPr>
              <w:pStyle w:val="ENoteTableText"/>
            </w:pPr>
            <w:r w:rsidRPr="004E278C">
              <w:t>239</w:t>
            </w:r>
            <w:r w:rsidR="00232805" w:rsidRPr="004E278C">
              <w:t>, 1996</w:t>
            </w:r>
          </w:p>
        </w:tc>
        <w:tc>
          <w:tcPr>
            <w:tcW w:w="1026" w:type="pct"/>
            <w:tcBorders>
              <w:top w:val="single" w:sz="4" w:space="0" w:color="auto"/>
              <w:bottom w:val="single" w:sz="4" w:space="0" w:color="auto"/>
            </w:tcBorders>
            <w:shd w:val="clear" w:color="auto" w:fill="auto"/>
          </w:tcPr>
          <w:p w:rsidR="00303534" w:rsidRPr="004E278C" w:rsidRDefault="00303534" w:rsidP="00303534">
            <w:pPr>
              <w:pStyle w:val="ENoteTableText"/>
            </w:pPr>
            <w:r w:rsidRPr="004E278C">
              <w:t>30 Oct 1996</w:t>
            </w:r>
          </w:p>
        </w:tc>
        <w:tc>
          <w:tcPr>
            <w:tcW w:w="1636" w:type="pct"/>
            <w:tcBorders>
              <w:top w:val="single" w:sz="4" w:space="0" w:color="auto"/>
              <w:bottom w:val="single" w:sz="4" w:space="0" w:color="auto"/>
            </w:tcBorders>
            <w:shd w:val="clear" w:color="auto" w:fill="auto"/>
          </w:tcPr>
          <w:p w:rsidR="00303534" w:rsidRPr="004E278C" w:rsidRDefault="00D30277" w:rsidP="008D31B0">
            <w:pPr>
              <w:pStyle w:val="ENoteTableText"/>
            </w:pPr>
            <w:r w:rsidRPr="004E278C">
              <w:t xml:space="preserve">r </w:t>
            </w:r>
            <w:r w:rsidR="00303534" w:rsidRPr="004E278C">
              <w:t>4: 30 Oct 1996</w:t>
            </w:r>
            <w:r w:rsidR="00AD5EB0" w:rsidRPr="004E278C">
              <w:t xml:space="preserve"> (r 1)</w:t>
            </w:r>
            <w:r w:rsidR="00303534" w:rsidRPr="004E278C">
              <w:br/>
              <w:t>Remainder: 1</w:t>
            </w:r>
            <w:r w:rsidR="004E278C">
              <w:t> </w:t>
            </w:r>
            <w:r w:rsidR="00303534" w:rsidRPr="004E278C">
              <w:t>July 1995</w:t>
            </w:r>
          </w:p>
        </w:tc>
        <w:tc>
          <w:tcPr>
            <w:tcW w:w="1276" w:type="pct"/>
            <w:tcBorders>
              <w:top w:val="single" w:sz="4" w:space="0" w:color="auto"/>
              <w:bottom w:val="single" w:sz="4" w:space="0" w:color="auto"/>
            </w:tcBorders>
            <w:shd w:val="clear" w:color="auto" w:fill="auto"/>
          </w:tcPr>
          <w:p w:rsidR="00303534" w:rsidRPr="004E278C" w:rsidRDefault="00303534" w:rsidP="00303534">
            <w:pPr>
              <w:pStyle w:val="ENoteTableText"/>
            </w:pPr>
            <w:r w:rsidRPr="004E278C">
              <w:t>—</w:t>
            </w:r>
          </w:p>
        </w:tc>
      </w:tr>
      <w:tr w:rsidR="00303534" w:rsidRPr="004E278C" w:rsidTr="00AC7A77">
        <w:trPr>
          <w:cantSplit/>
        </w:trPr>
        <w:tc>
          <w:tcPr>
            <w:tcW w:w="1062" w:type="pct"/>
            <w:tcBorders>
              <w:top w:val="single" w:sz="4" w:space="0" w:color="auto"/>
              <w:bottom w:val="nil"/>
            </w:tcBorders>
            <w:shd w:val="clear" w:color="auto" w:fill="auto"/>
          </w:tcPr>
          <w:p w:rsidR="00303534" w:rsidRPr="004E278C" w:rsidRDefault="00303534" w:rsidP="00303534">
            <w:pPr>
              <w:pStyle w:val="ENoteTableText"/>
            </w:pPr>
            <w:r w:rsidRPr="004E278C">
              <w:t>90</w:t>
            </w:r>
            <w:r w:rsidR="00232805" w:rsidRPr="004E278C">
              <w:t>, 1998</w:t>
            </w:r>
          </w:p>
        </w:tc>
        <w:tc>
          <w:tcPr>
            <w:tcW w:w="1026" w:type="pct"/>
            <w:tcBorders>
              <w:top w:val="single" w:sz="4" w:space="0" w:color="auto"/>
              <w:bottom w:val="nil"/>
            </w:tcBorders>
            <w:shd w:val="clear" w:color="auto" w:fill="auto"/>
          </w:tcPr>
          <w:p w:rsidR="00303534" w:rsidRPr="004E278C" w:rsidRDefault="00303534" w:rsidP="00303534">
            <w:pPr>
              <w:pStyle w:val="ENoteTableText"/>
            </w:pPr>
            <w:r w:rsidRPr="004E278C">
              <w:t>21</w:t>
            </w:r>
            <w:r w:rsidR="004E278C">
              <w:t> </w:t>
            </w:r>
            <w:r w:rsidRPr="004E278C">
              <w:t>May 1998</w:t>
            </w:r>
          </w:p>
        </w:tc>
        <w:tc>
          <w:tcPr>
            <w:tcW w:w="1636" w:type="pct"/>
            <w:tcBorders>
              <w:top w:val="single" w:sz="4" w:space="0" w:color="auto"/>
              <w:bottom w:val="nil"/>
            </w:tcBorders>
            <w:shd w:val="clear" w:color="auto" w:fill="auto"/>
          </w:tcPr>
          <w:p w:rsidR="00303534" w:rsidRPr="004E278C" w:rsidRDefault="00303534" w:rsidP="00AD5EB0">
            <w:pPr>
              <w:pStyle w:val="ENoteTableText"/>
            </w:pPr>
            <w:r w:rsidRPr="004E278C">
              <w:t>1</w:t>
            </w:r>
            <w:r w:rsidR="004E278C">
              <w:t> </w:t>
            </w:r>
            <w:r w:rsidRPr="004E278C">
              <w:t>July 1996</w:t>
            </w:r>
            <w:r w:rsidR="00AD5EB0" w:rsidRPr="004E278C">
              <w:t xml:space="preserve"> (r 1)</w:t>
            </w:r>
          </w:p>
        </w:tc>
        <w:tc>
          <w:tcPr>
            <w:tcW w:w="1276" w:type="pct"/>
            <w:tcBorders>
              <w:top w:val="single" w:sz="4" w:space="0" w:color="auto"/>
              <w:bottom w:val="nil"/>
            </w:tcBorders>
            <w:shd w:val="clear" w:color="auto" w:fill="auto"/>
          </w:tcPr>
          <w:p w:rsidR="00303534" w:rsidRPr="004E278C" w:rsidRDefault="00C02E8B" w:rsidP="00106F5E">
            <w:pPr>
              <w:pStyle w:val="ENoteTableText"/>
            </w:pPr>
            <w:r>
              <w:t>—</w:t>
            </w:r>
          </w:p>
        </w:tc>
      </w:tr>
      <w:tr w:rsidR="00303534" w:rsidRPr="004E278C" w:rsidTr="00AC7A77">
        <w:trPr>
          <w:cantSplit/>
        </w:trPr>
        <w:tc>
          <w:tcPr>
            <w:tcW w:w="1062" w:type="pct"/>
            <w:tcBorders>
              <w:top w:val="nil"/>
              <w:bottom w:val="nil"/>
            </w:tcBorders>
            <w:shd w:val="clear" w:color="auto" w:fill="auto"/>
          </w:tcPr>
          <w:p w:rsidR="00303534" w:rsidRPr="004E278C" w:rsidRDefault="00303534" w:rsidP="00E75BCA">
            <w:pPr>
              <w:pStyle w:val="ENoteTTIndentHeading"/>
              <w:rPr>
                <w:rFonts w:eastAsiaTheme="minorHAnsi" w:cstheme="minorBidi"/>
                <w:lang w:eastAsia="en-US"/>
              </w:rPr>
            </w:pPr>
            <w:r w:rsidRPr="004E278C">
              <w:t>as amended by</w:t>
            </w:r>
          </w:p>
        </w:tc>
        <w:tc>
          <w:tcPr>
            <w:tcW w:w="1026" w:type="pct"/>
            <w:tcBorders>
              <w:top w:val="nil"/>
              <w:bottom w:val="nil"/>
            </w:tcBorders>
            <w:shd w:val="clear" w:color="auto" w:fill="auto"/>
          </w:tcPr>
          <w:p w:rsidR="00303534" w:rsidRPr="004E278C" w:rsidRDefault="00303534" w:rsidP="003676F7">
            <w:pPr>
              <w:pStyle w:val="ENoteTableText"/>
            </w:pPr>
          </w:p>
        </w:tc>
        <w:tc>
          <w:tcPr>
            <w:tcW w:w="1636" w:type="pct"/>
            <w:tcBorders>
              <w:top w:val="nil"/>
              <w:bottom w:val="nil"/>
            </w:tcBorders>
            <w:shd w:val="clear" w:color="auto" w:fill="auto"/>
          </w:tcPr>
          <w:p w:rsidR="00303534" w:rsidRPr="004E278C" w:rsidRDefault="00303534" w:rsidP="003676F7">
            <w:pPr>
              <w:pStyle w:val="ENoteTableText"/>
            </w:pPr>
          </w:p>
        </w:tc>
        <w:tc>
          <w:tcPr>
            <w:tcW w:w="1276" w:type="pct"/>
            <w:tcBorders>
              <w:top w:val="nil"/>
              <w:bottom w:val="nil"/>
            </w:tcBorders>
            <w:shd w:val="clear" w:color="auto" w:fill="auto"/>
          </w:tcPr>
          <w:p w:rsidR="00303534" w:rsidRPr="004E278C" w:rsidRDefault="00303534" w:rsidP="003676F7">
            <w:pPr>
              <w:pStyle w:val="ENoteTableText"/>
            </w:pPr>
          </w:p>
        </w:tc>
      </w:tr>
      <w:tr w:rsidR="00303534" w:rsidRPr="004E278C" w:rsidTr="00AC7A77">
        <w:trPr>
          <w:cantSplit/>
        </w:trPr>
        <w:tc>
          <w:tcPr>
            <w:tcW w:w="1062" w:type="pct"/>
            <w:tcBorders>
              <w:top w:val="nil"/>
              <w:bottom w:val="single" w:sz="4" w:space="0" w:color="auto"/>
            </w:tcBorders>
            <w:shd w:val="clear" w:color="auto" w:fill="auto"/>
          </w:tcPr>
          <w:p w:rsidR="00303534" w:rsidRPr="004E278C" w:rsidRDefault="00303534" w:rsidP="00E75BCA">
            <w:pPr>
              <w:pStyle w:val="ENoteTTi"/>
              <w:rPr>
                <w:rFonts w:eastAsiaTheme="minorHAnsi" w:cstheme="minorBidi"/>
                <w:lang w:eastAsia="en-US"/>
              </w:rPr>
            </w:pPr>
            <w:r w:rsidRPr="004E278C">
              <w:t>270</w:t>
            </w:r>
            <w:r w:rsidR="00232805" w:rsidRPr="004E278C">
              <w:t>, 2000</w:t>
            </w:r>
          </w:p>
        </w:tc>
        <w:tc>
          <w:tcPr>
            <w:tcW w:w="1026" w:type="pct"/>
            <w:tcBorders>
              <w:top w:val="nil"/>
              <w:bottom w:val="single" w:sz="4" w:space="0" w:color="auto"/>
            </w:tcBorders>
            <w:shd w:val="clear" w:color="auto" w:fill="auto"/>
          </w:tcPr>
          <w:p w:rsidR="00303534" w:rsidRPr="004E278C" w:rsidRDefault="00303534" w:rsidP="00303534">
            <w:pPr>
              <w:pStyle w:val="ENoteTableText"/>
            </w:pPr>
            <w:r w:rsidRPr="004E278C">
              <w:t>5 Oct 2000</w:t>
            </w:r>
          </w:p>
        </w:tc>
        <w:tc>
          <w:tcPr>
            <w:tcW w:w="1636" w:type="pct"/>
            <w:tcBorders>
              <w:top w:val="nil"/>
              <w:bottom w:val="single" w:sz="4" w:space="0" w:color="auto"/>
            </w:tcBorders>
            <w:shd w:val="clear" w:color="auto" w:fill="auto"/>
          </w:tcPr>
          <w:p w:rsidR="00303534" w:rsidRPr="004E278C" w:rsidRDefault="00D30277" w:rsidP="001E7DC4">
            <w:pPr>
              <w:pStyle w:val="ENoteTableText"/>
            </w:pPr>
            <w:r w:rsidRPr="004E278C">
              <w:t xml:space="preserve">r </w:t>
            </w:r>
            <w:r w:rsidR="00303534" w:rsidRPr="004E278C">
              <w:t>4 and Sch</w:t>
            </w:r>
            <w:r w:rsidR="00690B37" w:rsidRPr="004E278C">
              <w:t> </w:t>
            </w:r>
            <w:r w:rsidR="00303534" w:rsidRPr="004E278C">
              <w:t>3: (2000 No</w:t>
            </w:r>
            <w:r w:rsidR="00106F5E" w:rsidRPr="004E278C">
              <w:t xml:space="preserve"> </w:t>
            </w:r>
            <w:r w:rsidR="00303534" w:rsidRPr="004E278C">
              <w:t>270 below)</w:t>
            </w:r>
          </w:p>
        </w:tc>
        <w:tc>
          <w:tcPr>
            <w:tcW w:w="1276" w:type="pct"/>
            <w:tcBorders>
              <w:top w:val="nil"/>
              <w:bottom w:val="single" w:sz="4" w:space="0" w:color="auto"/>
            </w:tcBorders>
            <w:shd w:val="clear" w:color="auto" w:fill="auto"/>
          </w:tcPr>
          <w:p w:rsidR="00303534" w:rsidRPr="004E278C" w:rsidRDefault="00303534" w:rsidP="00303534">
            <w:pPr>
              <w:pStyle w:val="ENoteTableText"/>
            </w:pPr>
            <w:r w:rsidRPr="004E278C">
              <w:t>—</w:t>
            </w:r>
          </w:p>
        </w:tc>
      </w:tr>
      <w:tr w:rsidR="00303534" w:rsidRPr="004E278C" w:rsidTr="00AC7A77">
        <w:trPr>
          <w:cantSplit/>
        </w:trPr>
        <w:tc>
          <w:tcPr>
            <w:tcW w:w="1062" w:type="pct"/>
            <w:tcBorders>
              <w:top w:val="single" w:sz="4" w:space="0" w:color="auto"/>
              <w:bottom w:val="single" w:sz="4" w:space="0" w:color="auto"/>
            </w:tcBorders>
            <w:shd w:val="clear" w:color="auto" w:fill="auto"/>
          </w:tcPr>
          <w:p w:rsidR="00303534" w:rsidRPr="004E278C" w:rsidRDefault="00303534" w:rsidP="00303534">
            <w:pPr>
              <w:pStyle w:val="ENoteTableText"/>
            </w:pPr>
            <w:r w:rsidRPr="004E278C">
              <w:t>270</w:t>
            </w:r>
            <w:r w:rsidR="00232805" w:rsidRPr="004E278C">
              <w:t>, 2000</w:t>
            </w:r>
          </w:p>
        </w:tc>
        <w:tc>
          <w:tcPr>
            <w:tcW w:w="1026" w:type="pct"/>
            <w:tcBorders>
              <w:top w:val="single" w:sz="4" w:space="0" w:color="auto"/>
              <w:bottom w:val="single" w:sz="4" w:space="0" w:color="auto"/>
            </w:tcBorders>
            <w:shd w:val="clear" w:color="auto" w:fill="auto"/>
          </w:tcPr>
          <w:p w:rsidR="00303534" w:rsidRPr="004E278C" w:rsidRDefault="00303534" w:rsidP="00303534">
            <w:pPr>
              <w:pStyle w:val="ENoteTableText"/>
            </w:pPr>
            <w:r w:rsidRPr="004E278C">
              <w:t>5 Oct 2000</w:t>
            </w:r>
          </w:p>
        </w:tc>
        <w:tc>
          <w:tcPr>
            <w:tcW w:w="1636" w:type="pct"/>
            <w:tcBorders>
              <w:top w:val="single" w:sz="4" w:space="0" w:color="auto"/>
              <w:bottom w:val="single" w:sz="4" w:space="0" w:color="auto"/>
            </w:tcBorders>
            <w:shd w:val="clear" w:color="auto" w:fill="auto"/>
          </w:tcPr>
          <w:p w:rsidR="00303534" w:rsidRPr="004E278C" w:rsidRDefault="00D30277" w:rsidP="00106F5E">
            <w:pPr>
              <w:pStyle w:val="ENoteTableText"/>
            </w:pPr>
            <w:r w:rsidRPr="004E278C">
              <w:t>r</w:t>
            </w:r>
            <w:r w:rsidR="00690B37" w:rsidRPr="004E278C">
              <w:t> </w:t>
            </w:r>
            <w:r w:rsidR="00303534" w:rsidRPr="004E278C">
              <w:t>1–3 and Sch</w:t>
            </w:r>
            <w:r w:rsidR="00690B37" w:rsidRPr="004E278C">
              <w:t> </w:t>
            </w:r>
            <w:r w:rsidR="00303534" w:rsidRPr="004E278C">
              <w:t>1: 1</w:t>
            </w:r>
            <w:r w:rsidR="004E278C">
              <w:t> </w:t>
            </w:r>
            <w:r w:rsidR="00303534" w:rsidRPr="004E278C">
              <w:t>July 1997</w:t>
            </w:r>
            <w:r w:rsidR="00AD5EB0" w:rsidRPr="004E278C">
              <w:t xml:space="preserve"> (r 2(a))</w:t>
            </w:r>
            <w:r w:rsidR="00303534" w:rsidRPr="004E278C">
              <w:br/>
            </w:r>
            <w:r w:rsidRPr="004E278C">
              <w:t xml:space="preserve">r </w:t>
            </w:r>
            <w:r w:rsidR="00303534" w:rsidRPr="004E278C">
              <w:t>4 and Sch</w:t>
            </w:r>
            <w:r w:rsidR="00690B37" w:rsidRPr="004E278C">
              <w:t> </w:t>
            </w:r>
            <w:r w:rsidR="00303534" w:rsidRPr="004E278C">
              <w:t>3: 5 Oct 2000</w:t>
            </w:r>
            <w:r w:rsidR="00AD5EB0" w:rsidRPr="004E278C">
              <w:t xml:space="preserve"> (r 2(b))</w:t>
            </w:r>
            <w:r w:rsidR="00303534" w:rsidRPr="004E278C">
              <w:br/>
              <w:t>Remainder: 1</w:t>
            </w:r>
            <w:r w:rsidR="004E278C">
              <w:t> </w:t>
            </w:r>
            <w:r w:rsidR="00303534" w:rsidRPr="004E278C">
              <w:t>July 1998</w:t>
            </w:r>
          </w:p>
        </w:tc>
        <w:tc>
          <w:tcPr>
            <w:tcW w:w="1276" w:type="pct"/>
            <w:tcBorders>
              <w:top w:val="single" w:sz="4" w:space="0" w:color="auto"/>
              <w:bottom w:val="single" w:sz="4" w:space="0" w:color="auto"/>
            </w:tcBorders>
            <w:shd w:val="clear" w:color="auto" w:fill="auto"/>
          </w:tcPr>
          <w:p w:rsidR="00303534" w:rsidRPr="004E278C" w:rsidRDefault="00303534" w:rsidP="00303534">
            <w:pPr>
              <w:pStyle w:val="ENoteTableText"/>
            </w:pPr>
            <w:r w:rsidRPr="004E278C">
              <w:t>—</w:t>
            </w:r>
          </w:p>
        </w:tc>
      </w:tr>
      <w:tr w:rsidR="00303534" w:rsidRPr="004E278C" w:rsidTr="00AC7A77">
        <w:trPr>
          <w:cantSplit/>
        </w:trPr>
        <w:tc>
          <w:tcPr>
            <w:tcW w:w="1062" w:type="pct"/>
            <w:tcBorders>
              <w:top w:val="single" w:sz="4" w:space="0" w:color="auto"/>
              <w:bottom w:val="single" w:sz="4" w:space="0" w:color="auto"/>
            </w:tcBorders>
            <w:shd w:val="clear" w:color="auto" w:fill="auto"/>
          </w:tcPr>
          <w:p w:rsidR="00303534" w:rsidRPr="004E278C" w:rsidRDefault="00303534" w:rsidP="00232805">
            <w:pPr>
              <w:pStyle w:val="ENoteTableText"/>
            </w:pPr>
            <w:r w:rsidRPr="004E278C">
              <w:t>232</w:t>
            </w:r>
            <w:r w:rsidR="00232805" w:rsidRPr="004E278C">
              <w:t>, 2001</w:t>
            </w:r>
          </w:p>
        </w:tc>
        <w:tc>
          <w:tcPr>
            <w:tcW w:w="1026" w:type="pct"/>
            <w:tcBorders>
              <w:top w:val="single" w:sz="4" w:space="0" w:color="auto"/>
              <w:bottom w:val="single" w:sz="4" w:space="0" w:color="auto"/>
            </w:tcBorders>
            <w:shd w:val="clear" w:color="auto" w:fill="auto"/>
          </w:tcPr>
          <w:p w:rsidR="00303534" w:rsidRPr="004E278C" w:rsidRDefault="00303534" w:rsidP="00303534">
            <w:pPr>
              <w:pStyle w:val="ENoteTableText"/>
            </w:pPr>
            <w:r w:rsidRPr="004E278C">
              <w:t>5 Sept 2001</w:t>
            </w:r>
          </w:p>
        </w:tc>
        <w:tc>
          <w:tcPr>
            <w:tcW w:w="1636" w:type="pct"/>
            <w:tcBorders>
              <w:top w:val="single" w:sz="4" w:space="0" w:color="auto"/>
              <w:bottom w:val="single" w:sz="4" w:space="0" w:color="auto"/>
            </w:tcBorders>
            <w:shd w:val="clear" w:color="auto" w:fill="auto"/>
          </w:tcPr>
          <w:p w:rsidR="00303534" w:rsidRPr="004E278C" w:rsidRDefault="00303534" w:rsidP="00303534">
            <w:pPr>
              <w:pStyle w:val="ENoteTableText"/>
            </w:pPr>
            <w:r w:rsidRPr="004E278C">
              <w:t>1 Oct 2001</w:t>
            </w:r>
            <w:r w:rsidR="00624EA9" w:rsidRPr="004E278C">
              <w:t xml:space="preserve"> (r 2)</w:t>
            </w:r>
          </w:p>
        </w:tc>
        <w:tc>
          <w:tcPr>
            <w:tcW w:w="1276" w:type="pct"/>
            <w:tcBorders>
              <w:top w:val="single" w:sz="4" w:space="0" w:color="auto"/>
              <w:bottom w:val="single" w:sz="4" w:space="0" w:color="auto"/>
            </w:tcBorders>
            <w:shd w:val="clear" w:color="auto" w:fill="auto"/>
          </w:tcPr>
          <w:p w:rsidR="00303534" w:rsidRPr="004E278C" w:rsidRDefault="00303534" w:rsidP="00303534">
            <w:pPr>
              <w:pStyle w:val="ENoteTableText"/>
            </w:pPr>
            <w:r w:rsidRPr="004E278C">
              <w:t>—</w:t>
            </w:r>
          </w:p>
        </w:tc>
      </w:tr>
      <w:tr w:rsidR="00303534" w:rsidRPr="004E278C" w:rsidTr="00AC7A77">
        <w:trPr>
          <w:cantSplit/>
        </w:trPr>
        <w:tc>
          <w:tcPr>
            <w:tcW w:w="1062" w:type="pct"/>
            <w:tcBorders>
              <w:top w:val="single" w:sz="4" w:space="0" w:color="auto"/>
              <w:bottom w:val="single" w:sz="4" w:space="0" w:color="auto"/>
            </w:tcBorders>
            <w:shd w:val="clear" w:color="auto" w:fill="auto"/>
          </w:tcPr>
          <w:p w:rsidR="00303534" w:rsidRPr="004E278C" w:rsidRDefault="00303534" w:rsidP="00303534">
            <w:pPr>
              <w:pStyle w:val="ENoteTableText"/>
            </w:pPr>
            <w:r w:rsidRPr="004E278C">
              <w:t>92</w:t>
            </w:r>
            <w:r w:rsidR="00232805" w:rsidRPr="004E278C">
              <w:t>, 2006</w:t>
            </w:r>
          </w:p>
        </w:tc>
        <w:tc>
          <w:tcPr>
            <w:tcW w:w="1026" w:type="pct"/>
            <w:tcBorders>
              <w:top w:val="single" w:sz="4" w:space="0" w:color="auto"/>
              <w:bottom w:val="single" w:sz="4" w:space="0" w:color="auto"/>
            </w:tcBorders>
            <w:shd w:val="clear" w:color="auto" w:fill="auto"/>
          </w:tcPr>
          <w:p w:rsidR="00303534" w:rsidRPr="004E278C" w:rsidRDefault="00303534" w:rsidP="00303534">
            <w:pPr>
              <w:pStyle w:val="ENoteTableText"/>
            </w:pPr>
            <w:r w:rsidRPr="004E278C">
              <w:t>9</w:t>
            </w:r>
            <w:r w:rsidR="004E278C">
              <w:t> </w:t>
            </w:r>
            <w:r w:rsidRPr="004E278C">
              <w:t>May 2006 (F2006L01452)</w:t>
            </w:r>
          </w:p>
        </w:tc>
        <w:tc>
          <w:tcPr>
            <w:tcW w:w="1636" w:type="pct"/>
            <w:tcBorders>
              <w:top w:val="single" w:sz="4" w:space="0" w:color="auto"/>
              <w:bottom w:val="single" w:sz="4" w:space="0" w:color="auto"/>
            </w:tcBorders>
            <w:shd w:val="clear" w:color="auto" w:fill="auto"/>
          </w:tcPr>
          <w:p w:rsidR="00303534" w:rsidRPr="004E278C" w:rsidRDefault="00303534" w:rsidP="008D31B0">
            <w:pPr>
              <w:pStyle w:val="ENoteTableText"/>
            </w:pPr>
            <w:r w:rsidRPr="004E278C">
              <w:t>Sch</w:t>
            </w:r>
            <w:r w:rsidR="00690B37" w:rsidRPr="004E278C">
              <w:t> </w:t>
            </w:r>
            <w:r w:rsidRPr="004E278C">
              <w:t>1 (item</w:t>
            </w:r>
            <w:r w:rsidR="004E278C">
              <w:t> </w:t>
            </w:r>
            <w:r w:rsidRPr="004E278C">
              <w:t>2):1</w:t>
            </w:r>
            <w:r w:rsidR="004E278C">
              <w:t> </w:t>
            </w:r>
            <w:r w:rsidRPr="004E278C">
              <w:t>July 2000</w:t>
            </w:r>
            <w:r w:rsidR="008D31B0" w:rsidRPr="004E278C">
              <w:t xml:space="preserve"> (r 2(b))</w:t>
            </w:r>
            <w:r w:rsidRPr="004E278C">
              <w:br/>
              <w:t>Sch</w:t>
            </w:r>
            <w:r w:rsidR="00690B37" w:rsidRPr="004E278C">
              <w:t> </w:t>
            </w:r>
            <w:r w:rsidRPr="004E278C">
              <w:t>1 (item</w:t>
            </w:r>
            <w:r w:rsidR="004E278C">
              <w:t> </w:t>
            </w:r>
            <w:r w:rsidRPr="004E278C">
              <w:t>3):1</w:t>
            </w:r>
            <w:r w:rsidR="004E278C">
              <w:t> </w:t>
            </w:r>
            <w:r w:rsidRPr="004E278C">
              <w:t>July 2001</w:t>
            </w:r>
            <w:r w:rsidR="008D31B0" w:rsidRPr="004E278C">
              <w:t xml:space="preserve"> (r 2(c))</w:t>
            </w:r>
            <w:r w:rsidRPr="004E278C">
              <w:br/>
              <w:t>Sch</w:t>
            </w:r>
            <w:r w:rsidR="00690B37" w:rsidRPr="004E278C">
              <w:t> </w:t>
            </w:r>
            <w:r w:rsidRPr="004E278C">
              <w:t>1 (item</w:t>
            </w:r>
            <w:r w:rsidR="004E278C">
              <w:t> </w:t>
            </w:r>
            <w:r w:rsidRPr="004E278C">
              <w:t>4):1</w:t>
            </w:r>
            <w:r w:rsidR="004E278C">
              <w:t> </w:t>
            </w:r>
            <w:r w:rsidRPr="004E278C">
              <w:t>July 2002</w:t>
            </w:r>
            <w:r w:rsidR="008D31B0" w:rsidRPr="004E278C">
              <w:t xml:space="preserve"> (r 2(d))</w:t>
            </w:r>
            <w:r w:rsidRPr="004E278C">
              <w:br/>
              <w:t>Sch</w:t>
            </w:r>
            <w:r w:rsidR="00690B37" w:rsidRPr="004E278C">
              <w:t> </w:t>
            </w:r>
            <w:r w:rsidRPr="004E278C">
              <w:t>1 (item</w:t>
            </w:r>
            <w:r w:rsidR="004E278C">
              <w:t> </w:t>
            </w:r>
            <w:r w:rsidRPr="004E278C">
              <w:t>5):1</w:t>
            </w:r>
            <w:r w:rsidR="004E278C">
              <w:t> </w:t>
            </w:r>
            <w:r w:rsidRPr="004E278C">
              <w:t>July 2003</w:t>
            </w:r>
            <w:r w:rsidR="008D31B0" w:rsidRPr="004E278C">
              <w:t xml:space="preserve"> (r 2(e))</w:t>
            </w:r>
            <w:r w:rsidRPr="004E278C">
              <w:br/>
              <w:t>Sch</w:t>
            </w:r>
            <w:r w:rsidR="00690B37" w:rsidRPr="004E278C">
              <w:t> </w:t>
            </w:r>
            <w:r w:rsidRPr="004E278C">
              <w:t>1 (item</w:t>
            </w:r>
            <w:r w:rsidR="004E278C">
              <w:t> </w:t>
            </w:r>
            <w:r w:rsidRPr="004E278C">
              <w:t>6):1</w:t>
            </w:r>
            <w:r w:rsidR="004E278C">
              <w:t> </w:t>
            </w:r>
            <w:r w:rsidRPr="004E278C">
              <w:t>July 2004</w:t>
            </w:r>
            <w:r w:rsidR="008D31B0" w:rsidRPr="004E278C">
              <w:t xml:space="preserve"> (r 2(f))</w:t>
            </w:r>
            <w:r w:rsidRPr="004E278C">
              <w:br/>
              <w:t>Sch</w:t>
            </w:r>
            <w:r w:rsidR="00690B37" w:rsidRPr="004E278C">
              <w:t> </w:t>
            </w:r>
            <w:r w:rsidRPr="004E278C">
              <w:t>1 (item</w:t>
            </w:r>
            <w:r w:rsidR="004E278C">
              <w:t> </w:t>
            </w:r>
            <w:r w:rsidRPr="004E278C">
              <w:t>7):1</w:t>
            </w:r>
            <w:r w:rsidR="004E278C">
              <w:t> </w:t>
            </w:r>
            <w:r w:rsidRPr="004E278C">
              <w:t>July 2005</w:t>
            </w:r>
            <w:r w:rsidR="008D31B0" w:rsidRPr="004E278C">
              <w:t xml:space="preserve"> (r 2(g))</w:t>
            </w:r>
            <w:r w:rsidRPr="004E278C">
              <w:br/>
              <w:t>Sch</w:t>
            </w:r>
            <w:r w:rsidR="00690B37" w:rsidRPr="004E278C">
              <w:t> </w:t>
            </w:r>
            <w:r w:rsidRPr="004E278C">
              <w:t>1 (item</w:t>
            </w:r>
            <w:r w:rsidR="004E278C">
              <w:t> </w:t>
            </w:r>
            <w:r w:rsidRPr="004E278C">
              <w:t>8):10</w:t>
            </w:r>
            <w:r w:rsidR="004E278C">
              <w:t> </w:t>
            </w:r>
            <w:r w:rsidRPr="004E278C">
              <w:t>May 2006</w:t>
            </w:r>
            <w:r w:rsidR="008D31B0" w:rsidRPr="004E278C">
              <w:t xml:space="preserve"> (r 2(h))</w:t>
            </w:r>
            <w:r w:rsidRPr="004E278C">
              <w:br/>
              <w:t>Remainder: 1</w:t>
            </w:r>
            <w:r w:rsidR="004E278C">
              <w:t> </w:t>
            </w:r>
            <w:r w:rsidRPr="004E278C">
              <w:t>July 1999</w:t>
            </w:r>
            <w:r w:rsidR="008D31B0" w:rsidRPr="004E278C">
              <w:t xml:space="preserve"> (r 2(a))</w:t>
            </w:r>
          </w:p>
        </w:tc>
        <w:tc>
          <w:tcPr>
            <w:tcW w:w="1276" w:type="pct"/>
            <w:tcBorders>
              <w:top w:val="single" w:sz="4" w:space="0" w:color="auto"/>
              <w:bottom w:val="single" w:sz="4" w:space="0" w:color="auto"/>
            </w:tcBorders>
            <w:shd w:val="clear" w:color="auto" w:fill="auto"/>
          </w:tcPr>
          <w:p w:rsidR="00303534" w:rsidRPr="004E278C" w:rsidRDefault="00303534" w:rsidP="00303534">
            <w:pPr>
              <w:pStyle w:val="ENoteTableText"/>
            </w:pPr>
            <w:r w:rsidRPr="004E278C">
              <w:t>—</w:t>
            </w:r>
          </w:p>
        </w:tc>
      </w:tr>
      <w:tr w:rsidR="00303534" w:rsidRPr="004E278C" w:rsidTr="00AC7A77">
        <w:trPr>
          <w:cantSplit/>
        </w:trPr>
        <w:tc>
          <w:tcPr>
            <w:tcW w:w="1062" w:type="pct"/>
            <w:tcBorders>
              <w:top w:val="single" w:sz="4" w:space="0" w:color="auto"/>
              <w:bottom w:val="single" w:sz="4" w:space="0" w:color="auto"/>
            </w:tcBorders>
            <w:shd w:val="clear" w:color="auto" w:fill="auto"/>
          </w:tcPr>
          <w:p w:rsidR="00303534" w:rsidRPr="004E278C" w:rsidRDefault="00303534" w:rsidP="00303534">
            <w:pPr>
              <w:pStyle w:val="ENoteTableText"/>
            </w:pPr>
            <w:r w:rsidRPr="004E278C">
              <w:t>46</w:t>
            </w:r>
            <w:r w:rsidR="00232805" w:rsidRPr="004E278C">
              <w:t>, 2007</w:t>
            </w:r>
          </w:p>
        </w:tc>
        <w:tc>
          <w:tcPr>
            <w:tcW w:w="1026" w:type="pct"/>
            <w:tcBorders>
              <w:top w:val="single" w:sz="4" w:space="0" w:color="auto"/>
              <w:bottom w:val="single" w:sz="4" w:space="0" w:color="auto"/>
            </w:tcBorders>
            <w:shd w:val="clear" w:color="auto" w:fill="auto"/>
          </w:tcPr>
          <w:p w:rsidR="00303534" w:rsidRPr="004E278C" w:rsidRDefault="00303534" w:rsidP="00303534">
            <w:pPr>
              <w:pStyle w:val="ENoteTableText"/>
            </w:pPr>
            <w:r w:rsidRPr="004E278C">
              <w:t>29 Mar 2007 (F2007L00873)</w:t>
            </w:r>
          </w:p>
        </w:tc>
        <w:tc>
          <w:tcPr>
            <w:tcW w:w="1636" w:type="pct"/>
            <w:tcBorders>
              <w:top w:val="single" w:sz="4" w:space="0" w:color="auto"/>
              <w:bottom w:val="single" w:sz="4" w:space="0" w:color="auto"/>
            </w:tcBorders>
            <w:shd w:val="clear" w:color="auto" w:fill="auto"/>
          </w:tcPr>
          <w:p w:rsidR="00303534" w:rsidRPr="004E278C" w:rsidRDefault="00D30277" w:rsidP="00AC7A77">
            <w:pPr>
              <w:pStyle w:val="ENoteTableText"/>
            </w:pPr>
            <w:r w:rsidRPr="004E278C">
              <w:t>r</w:t>
            </w:r>
            <w:r w:rsidR="00690B37" w:rsidRPr="004E278C">
              <w:t> </w:t>
            </w:r>
            <w:r w:rsidR="00303534" w:rsidRPr="004E278C">
              <w:t>1–3: 30 Mar 2007</w:t>
            </w:r>
            <w:r w:rsidR="008D31B0" w:rsidRPr="004E278C">
              <w:t xml:space="preserve"> (r 2(a))</w:t>
            </w:r>
            <w:r w:rsidR="00303534" w:rsidRPr="004E278C">
              <w:br/>
              <w:t>Sch</w:t>
            </w:r>
            <w:r w:rsidR="00690B37" w:rsidRPr="004E278C">
              <w:t> </w:t>
            </w:r>
            <w:r w:rsidR="00303534" w:rsidRPr="004E278C">
              <w:t>1: 1</w:t>
            </w:r>
            <w:r w:rsidR="004E278C">
              <w:t> </w:t>
            </w:r>
            <w:r w:rsidR="00303534" w:rsidRPr="004E278C">
              <w:t>July 2006</w:t>
            </w:r>
            <w:r w:rsidR="008D31B0" w:rsidRPr="004E278C">
              <w:t xml:space="preserve"> (r 2(b))</w:t>
            </w:r>
          </w:p>
        </w:tc>
        <w:tc>
          <w:tcPr>
            <w:tcW w:w="1276" w:type="pct"/>
            <w:tcBorders>
              <w:top w:val="single" w:sz="4" w:space="0" w:color="auto"/>
              <w:bottom w:val="single" w:sz="4" w:space="0" w:color="auto"/>
            </w:tcBorders>
            <w:shd w:val="clear" w:color="auto" w:fill="auto"/>
          </w:tcPr>
          <w:p w:rsidR="00303534" w:rsidRPr="004E278C" w:rsidRDefault="00303534" w:rsidP="00303534">
            <w:pPr>
              <w:pStyle w:val="ENoteTableText"/>
            </w:pPr>
            <w:r w:rsidRPr="004E278C">
              <w:t>—</w:t>
            </w:r>
          </w:p>
        </w:tc>
      </w:tr>
      <w:tr w:rsidR="00303534" w:rsidRPr="004E278C" w:rsidTr="00AC7A77">
        <w:trPr>
          <w:cantSplit/>
        </w:trPr>
        <w:tc>
          <w:tcPr>
            <w:tcW w:w="1062" w:type="pct"/>
            <w:tcBorders>
              <w:top w:val="single" w:sz="4" w:space="0" w:color="auto"/>
              <w:bottom w:val="single" w:sz="4" w:space="0" w:color="auto"/>
            </w:tcBorders>
            <w:shd w:val="clear" w:color="auto" w:fill="auto"/>
          </w:tcPr>
          <w:p w:rsidR="00303534" w:rsidRPr="004E278C" w:rsidRDefault="00303534" w:rsidP="00303534">
            <w:pPr>
              <w:pStyle w:val="ENoteTableText"/>
            </w:pPr>
            <w:r w:rsidRPr="004E278C">
              <w:t>83</w:t>
            </w:r>
            <w:r w:rsidR="00232805" w:rsidRPr="004E278C">
              <w:t>, 2008</w:t>
            </w:r>
          </w:p>
        </w:tc>
        <w:tc>
          <w:tcPr>
            <w:tcW w:w="1026" w:type="pct"/>
            <w:tcBorders>
              <w:top w:val="single" w:sz="4" w:space="0" w:color="auto"/>
              <w:bottom w:val="single" w:sz="4" w:space="0" w:color="auto"/>
            </w:tcBorders>
            <w:shd w:val="clear" w:color="auto" w:fill="auto"/>
          </w:tcPr>
          <w:p w:rsidR="00303534" w:rsidRPr="004E278C" w:rsidRDefault="00303534" w:rsidP="00303534">
            <w:pPr>
              <w:pStyle w:val="ENoteTableText"/>
            </w:pPr>
            <w:r w:rsidRPr="004E278C">
              <w:t>30</w:t>
            </w:r>
            <w:r w:rsidR="004E278C">
              <w:t> </w:t>
            </w:r>
            <w:r w:rsidRPr="004E278C">
              <w:t>May 2008 (F2008L01554)</w:t>
            </w:r>
          </w:p>
        </w:tc>
        <w:tc>
          <w:tcPr>
            <w:tcW w:w="1636" w:type="pct"/>
            <w:tcBorders>
              <w:top w:val="single" w:sz="4" w:space="0" w:color="auto"/>
              <w:bottom w:val="single" w:sz="4" w:space="0" w:color="auto"/>
            </w:tcBorders>
            <w:shd w:val="clear" w:color="auto" w:fill="auto"/>
          </w:tcPr>
          <w:p w:rsidR="00303534" w:rsidRPr="004E278C" w:rsidRDefault="00303534" w:rsidP="00303534">
            <w:pPr>
              <w:pStyle w:val="ENoteTableText"/>
            </w:pPr>
            <w:r w:rsidRPr="004E278C">
              <w:t>31</w:t>
            </w:r>
            <w:r w:rsidR="004E278C">
              <w:t> </w:t>
            </w:r>
            <w:r w:rsidRPr="004E278C">
              <w:t>May 2008</w:t>
            </w:r>
            <w:r w:rsidR="00232805" w:rsidRPr="004E278C">
              <w:t xml:space="preserve"> (r 2)</w:t>
            </w:r>
          </w:p>
        </w:tc>
        <w:tc>
          <w:tcPr>
            <w:tcW w:w="1276" w:type="pct"/>
            <w:tcBorders>
              <w:top w:val="single" w:sz="4" w:space="0" w:color="auto"/>
              <w:bottom w:val="single" w:sz="4" w:space="0" w:color="auto"/>
            </w:tcBorders>
            <w:shd w:val="clear" w:color="auto" w:fill="auto"/>
          </w:tcPr>
          <w:p w:rsidR="00303534" w:rsidRPr="004E278C" w:rsidRDefault="00303534" w:rsidP="00303534">
            <w:pPr>
              <w:pStyle w:val="ENoteTableText"/>
            </w:pPr>
            <w:r w:rsidRPr="004E278C">
              <w:t>—</w:t>
            </w:r>
          </w:p>
        </w:tc>
      </w:tr>
      <w:tr w:rsidR="00303534" w:rsidRPr="004E278C" w:rsidTr="00AC7A77">
        <w:trPr>
          <w:cantSplit/>
        </w:trPr>
        <w:tc>
          <w:tcPr>
            <w:tcW w:w="1062" w:type="pct"/>
            <w:tcBorders>
              <w:top w:val="single" w:sz="4" w:space="0" w:color="auto"/>
              <w:bottom w:val="single" w:sz="4" w:space="0" w:color="auto"/>
            </w:tcBorders>
            <w:shd w:val="clear" w:color="auto" w:fill="auto"/>
          </w:tcPr>
          <w:p w:rsidR="00303534" w:rsidRPr="004E278C" w:rsidRDefault="00303534" w:rsidP="00303534">
            <w:pPr>
              <w:pStyle w:val="ENoteTableText"/>
            </w:pPr>
            <w:r w:rsidRPr="004E278C">
              <w:t>73</w:t>
            </w:r>
            <w:r w:rsidR="00232805" w:rsidRPr="004E278C">
              <w:t>, 2009</w:t>
            </w:r>
          </w:p>
        </w:tc>
        <w:tc>
          <w:tcPr>
            <w:tcW w:w="1026" w:type="pct"/>
            <w:tcBorders>
              <w:top w:val="single" w:sz="4" w:space="0" w:color="auto"/>
              <w:bottom w:val="single" w:sz="4" w:space="0" w:color="auto"/>
            </w:tcBorders>
            <w:shd w:val="clear" w:color="auto" w:fill="auto"/>
          </w:tcPr>
          <w:p w:rsidR="00303534" w:rsidRPr="004E278C" w:rsidRDefault="00303534" w:rsidP="00303534">
            <w:pPr>
              <w:pStyle w:val="ENoteTableText"/>
            </w:pPr>
            <w:r w:rsidRPr="004E278C">
              <w:t>15</w:t>
            </w:r>
            <w:r w:rsidR="004E278C">
              <w:t> </w:t>
            </w:r>
            <w:r w:rsidRPr="004E278C">
              <w:t>May 2009 (F2009L01792)</w:t>
            </w:r>
          </w:p>
        </w:tc>
        <w:tc>
          <w:tcPr>
            <w:tcW w:w="1636" w:type="pct"/>
            <w:tcBorders>
              <w:top w:val="single" w:sz="4" w:space="0" w:color="auto"/>
              <w:bottom w:val="single" w:sz="4" w:space="0" w:color="auto"/>
            </w:tcBorders>
            <w:shd w:val="clear" w:color="auto" w:fill="auto"/>
          </w:tcPr>
          <w:p w:rsidR="00303534" w:rsidRPr="004E278C" w:rsidRDefault="00303534" w:rsidP="00303534">
            <w:pPr>
              <w:pStyle w:val="ENoteTableText"/>
            </w:pPr>
            <w:r w:rsidRPr="004E278C">
              <w:t>16</w:t>
            </w:r>
            <w:r w:rsidR="004E278C">
              <w:t> </w:t>
            </w:r>
            <w:r w:rsidRPr="004E278C">
              <w:t>May 2009</w:t>
            </w:r>
            <w:r w:rsidR="00232805" w:rsidRPr="004E278C">
              <w:t xml:space="preserve"> (r 2)</w:t>
            </w:r>
          </w:p>
        </w:tc>
        <w:tc>
          <w:tcPr>
            <w:tcW w:w="1276" w:type="pct"/>
            <w:tcBorders>
              <w:top w:val="single" w:sz="4" w:space="0" w:color="auto"/>
              <w:bottom w:val="single" w:sz="4" w:space="0" w:color="auto"/>
            </w:tcBorders>
            <w:shd w:val="clear" w:color="auto" w:fill="auto"/>
          </w:tcPr>
          <w:p w:rsidR="00303534" w:rsidRPr="004E278C" w:rsidRDefault="00303534" w:rsidP="00303534">
            <w:pPr>
              <w:pStyle w:val="ENoteTableText"/>
            </w:pPr>
            <w:r w:rsidRPr="004E278C">
              <w:t>—</w:t>
            </w:r>
          </w:p>
        </w:tc>
      </w:tr>
      <w:tr w:rsidR="00303534" w:rsidRPr="004E278C" w:rsidTr="00AC7A77">
        <w:trPr>
          <w:cantSplit/>
        </w:trPr>
        <w:tc>
          <w:tcPr>
            <w:tcW w:w="1062" w:type="pct"/>
            <w:tcBorders>
              <w:top w:val="single" w:sz="4" w:space="0" w:color="auto"/>
              <w:bottom w:val="single" w:sz="4" w:space="0" w:color="auto"/>
            </w:tcBorders>
            <w:shd w:val="clear" w:color="auto" w:fill="auto"/>
          </w:tcPr>
          <w:p w:rsidR="00303534" w:rsidRPr="004E278C" w:rsidRDefault="00303534" w:rsidP="00303534">
            <w:pPr>
              <w:pStyle w:val="ENoteTableText"/>
            </w:pPr>
            <w:r w:rsidRPr="004E278C">
              <w:t>126</w:t>
            </w:r>
            <w:r w:rsidR="00232805" w:rsidRPr="004E278C">
              <w:t>, 2010</w:t>
            </w:r>
          </w:p>
        </w:tc>
        <w:tc>
          <w:tcPr>
            <w:tcW w:w="1026" w:type="pct"/>
            <w:tcBorders>
              <w:top w:val="single" w:sz="4" w:space="0" w:color="auto"/>
              <w:bottom w:val="single" w:sz="4" w:space="0" w:color="auto"/>
            </w:tcBorders>
            <w:shd w:val="clear" w:color="auto" w:fill="auto"/>
          </w:tcPr>
          <w:p w:rsidR="00303534" w:rsidRPr="004E278C" w:rsidRDefault="00303534" w:rsidP="00303534">
            <w:pPr>
              <w:pStyle w:val="ENoteTableText"/>
            </w:pPr>
            <w:r w:rsidRPr="004E278C">
              <w:t>18</w:t>
            </w:r>
            <w:r w:rsidR="004E278C">
              <w:t> </w:t>
            </w:r>
            <w:r w:rsidRPr="004E278C">
              <w:t>June 2010 (F2010L01584)</w:t>
            </w:r>
          </w:p>
        </w:tc>
        <w:tc>
          <w:tcPr>
            <w:tcW w:w="1636" w:type="pct"/>
            <w:tcBorders>
              <w:top w:val="single" w:sz="4" w:space="0" w:color="auto"/>
              <w:bottom w:val="single" w:sz="4" w:space="0" w:color="auto"/>
            </w:tcBorders>
            <w:shd w:val="clear" w:color="auto" w:fill="auto"/>
          </w:tcPr>
          <w:p w:rsidR="00303534" w:rsidRPr="004E278C" w:rsidRDefault="00303534" w:rsidP="00303534">
            <w:pPr>
              <w:pStyle w:val="ENoteTableText"/>
            </w:pPr>
            <w:r w:rsidRPr="004E278C">
              <w:t>19</w:t>
            </w:r>
            <w:r w:rsidR="004E278C">
              <w:t> </w:t>
            </w:r>
            <w:r w:rsidRPr="004E278C">
              <w:t>June 2010</w:t>
            </w:r>
            <w:r w:rsidR="00232805" w:rsidRPr="004E278C">
              <w:t xml:space="preserve"> (r 2)</w:t>
            </w:r>
          </w:p>
        </w:tc>
        <w:tc>
          <w:tcPr>
            <w:tcW w:w="1276" w:type="pct"/>
            <w:tcBorders>
              <w:top w:val="single" w:sz="4" w:space="0" w:color="auto"/>
              <w:bottom w:val="single" w:sz="4" w:space="0" w:color="auto"/>
            </w:tcBorders>
            <w:shd w:val="clear" w:color="auto" w:fill="auto"/>
          </w:tcPr>
          <w:p w:rsidR="00303534" w:rsidRPr="004E278C" w:rsidRDefault="00303534" w:rsidP="00303534">
            <w:pPr>
              <w:pStyle w:val="ENoteTableText"/>
            </w:pPr>
            <w:r w:rsidRPr="004E278C">
              <w:t>—</w:t>
            </w:r>
          </w:p>
        </w:tc>
      </w:tr>
      <w:tr w:rsidR="00303534" w:rsidRPr="004E278C" w:rsidTr="00AC7A77">
        <w:trPr>
          <w:cantSplit/>
        </w:trPr>
        <w:tc>
          <w:tcPr>
            <w:tcW w:w="1062" w:type="pct"/>
            <w:tcBorders>
              <w:top w:val="single" w:sz="4" w:space="0" w:color="auto"/>
              <w:bottom w:val="single" w:sz="4" w:space="0" w:color="auto"/>
            </w:tcBorders>
            <w:shd w:val="clear" w:color="auto" w:fill="auto"/>
          </w:tcPr>
          <w:p w:rsidR="00303534" w:rsidRPr="004E278C" w:rsidRDefault="00303534" w:rsidP="00303534">
            <w:pPr>
              <w:pStyle w:val="ENoteTableText"/>
            </w:pPr>
            <w:r w:rsidRPr="004E278C">
              <w:t>71</w:t>
            </w:r>
            <w:r w:rsidR="00232805" w:rsidRPr="004E278C">
              <w:t>, 2011</w:t>
            </w:r>
          </w:p>
        </w:tc>
        <w:tc>
          <w:tcPr>
            <w:tcW w:w="1026" w:type="pct"/>
            <w:tcBorders>
              <w:top w:val="single" w:sz="4" w:space="0" w:color="auto"/>
              <w:bottom w:val="single" w:sz="4" w:space="0" w:color="auto"/>
            </w:tcBorders>
            <w:shd w:val="clear" w:color="auto" w:fill="auto"/>
          </w:tcPr>
          <w:p w:rsidR="00303534" w:rsidRPr="004E278C" w:rsidRDefault="00303534" w:rsidP="00303534">
            <w:pPr>
              <w:pStyle w:val="ENoteTableText"/>
            </w:pPr>
            <w:r w:rsidRPr="004E278C">
              <w:t>6</w:t>
            </w:r>
            <w:r w:rsidR="004E278C">
              <w:t> </w:t>
            </w:r>
            <w:r w:rsidRPr="004E278C">
              <w:t>June 2011 (F2011L00955)</w:t>
            </w:r>
          </w:p>
        </w:tc>
        <w:tc>
          <w:tcPr>
            <w:tcW w:w="1636" w:type="pct"/>
            <w:tcBorders>
              <w:top w:val="single" w:sz="4" w:space="0" w:color="auto"/>
              <w:bottom w:val="single" w:sz="4" w:space="0" w:color="auto"/>
            </w:tcBorders>
            <w:shd w:val="clear" w:color="auto" w:fill="auto"/>
          </w:tcPr>
          <w:p w:rsidR="00303534" w:rsidRPr="004E278C" w:rsidRDefault="00303534" w:rsidP="00303534">
            <w:pPr>
              <w:pStyle w:val="ENoteTableText"/>
            </w:pPr>
            <w:r w:rsidRPr="004E278C">
              <w:t>7</w:t>
            </w:r>
            <w:r w:rsidR="004E278C">
              <w:t> </w:t>
            </w:r>
            <w:r w:rsidRPr="004E278C">
              <w:t>June 2011</w:t>
            </w:r>
            <w:r w:rsidR="00232805" w:rsidRPr="004E278C">
              <w:t xml:space="preserve"> (r 2)</w:t>
            </w:r>
          </w:p>
        </w:tc>
        <w:tc>
          <w:tcPr>
            <w:tcW w:w="1276" w:type="pct"/>
            <w:tcBorders>
              <w:top w:val="single" w:sz="4" w:space="0" w:color="auto"/>
              <w:bottom w:val="single" w:sz="4" w:space="0" w:color="auto"/>
            </w:tcBorders>
            <w:shd w:val="clear" w:color="auto" w:fill="auto"/>
          </w:tcPr>
          <w:p w:rsidR="00303534" w:rsidRPr="004E278C" w:rsidRDefault="00303534" w:rsidP="00303534">
            <w:pPr>
              <w:pStyle w:val="ENoteTableText"/>
            </w:pPr>
            <w:r w:rsidRPr="004E278C">
              <w:t>—</w:t>
            </w:r>
          </w:p>
        </w:tc>
      </w:tr>
      <w:tr w:rsidR="00303534" w:rsidRPr="004E278C" w:rsidTr="00AC7A77">
        <w:trPr>
          <w:cantSplit/>
        </w:trPr>
        <w:tc>
          <w:tcPr>
            <w:tcW w:w="1062" w:type="pct"/>
            <w:tcBorders>
              <w:top w:val="single" w:sz="4" w:space="0" w:color="auto"/>
              <w:bottom w:val="single" w:sz="4" w:space="0" w:color="auto"/>
            </w:tcBorders>
            <w:shd w:val="clear" w:color="auto" w:fill="auto"/>
          </w:tcPr>
          <w:p w:rsidR="00303534" w:rsidRPr="004E278C" w:rsidRDefault="00303534" w:rsidP="00303534">
            <w:pPr>
              <w:pStyle w:val="ENoteTableText"/>
            </w:pPr>
            <w:r w:rsidRPr="004E278C">
              <w:t>48</w:t>
            </w:r>
            <w:r w:rsidR="00232805" w:rsidRPr="004E278C">
              <w:t>, 2012</w:t>
            </w:r>
          </w:p>
        </w:tc>
        <w:tc>
          <w:tcPr>
            <w:tcW w:w="1026" w:type="pct"/>
            <w:tcBorders>
              <w:top w:val="single" w:sz="4" w:space="0" w:color="auto"/>
              <w:bottom w:val="single" w:sz="4" w:space="0" w:color="auto"/>
            </w:tcBorders>
            <w:shd w:val="clear" w:color="auto" w:fill="auto"/>
          </w:tcPr>
          <w:p w:rsidR="00303534" w:rsidRPr="004E278C" w:rsidRDefault="00303534" w:rsidP="00303534">
            <w:pPr>
              <w:pStyle w:val="ENoteTableText"/>
            </w:pPr>
            <w:r w:rsidRPr="004E278C">
              <w:t>23 Apr 2012 (F2012L00909)</w:t>
            </w:r>
          </w:p>
        </w:tc>
        <w:tc>
          <w:tcPr>
            <w:tcW w:w="1636" w:type="pct"/>
            <w:tcBorders>
              <w:top w:val="single" w:sz="4" w:space="0" w:color="auto"/>
              <w:bottom w:val="single" w:sz="4" w:space="0" w:color="auto"/>
            </w:tcBorders>
            <w:shd w:val="clear" w:color="auto" w:fill="auto"/>
          </w:tcPr>
          <w:p w:rsidR="00303534" w:rsidRPr="004E278C" w:rsidRDefault="00303534" w:rsidP="00303534">
            <w:pPr>
              <w:pStyle w:val="ENoteTableText"/>
            </w:pPr>
            <w:r w:rsidRPr="004E278C">
              <w:t>24 Apr 2012</w:t>
            </w:r>
            <w:r w:rsidR="00232805" w:rsidRPr="004E278C">
              <w:t xml:space="preserve"> (</w:t>
            </w:r>
            <w:r w:rsidR="00802015" w:rsidRPr="004E278C">
              <w:t>s</w:t>
            </w:r>
            <w:r w:rsidR="00232805" w:rsidRPr="004E278C">
              <w:t xml:space="preserve"> 2)</w:t>
            </w:r>
          </w:p>
        </w:tc>
        <w:tc>
          <w:tcPr>
            <w:tcW w:w="1276" w:type="pct"/>
            <w:tcBorders>
              <w:top w:val="single" w:sz="4" w:space="0" w:color="auto"/>
              <w:bottom w:val="single" w:sz="4" w:space="0" w:color="auto"/>
            </w:tcBorders>
            <w:shd w:val="clear" w:color="auto" w:fill="auto"/>
          </w:tcPr>
          <w:p w:rsidR="00303534" w:rsidRPr="004E278C" w:rsidRDefault="00303534" w:rsidP="00303534">
            <w:pPr>
              <w:pStyle w:val="ENoteTableText"/>
            </w:pPr>
            <w:r w:rsidRPr="004E278C">
              <w:t>—</w:t>
            </w:r>
          </w:p>
        </w:tc>
      </w:tr>
      <w:tr w:rsidR="00B37A9B" w:rsidRPr="004E278C" w:rsidTr="00AC7A77">
        <w:trPr>
          <w:cantSplit/>
        </w:trPr>
        <w:tc>
          <w:tcPr>
            <w:tcW w:w="1062" w:type="pct"/>
            <w:tcBorders>
              <w:top w:val="single" w:sz="4" w:space="0" w:color="auto"/>
              <w:bottom w:val="single" w:sz="4" w:space="0" w:color="auto"/>
            </w:tcBorders>
            <w:shd w:val="clear" w:color="auto" w:fill="auto"/>
          </w:tcPr>
          <w:p w:rsidR="00B37A9B" w:rsidRPr="004E278C" w:rsidRDefault="00B37A9B" w:rsidP="00232805">
            <w:pPr>
              <w:pStyle w:val="ENoteTableText"/>
            </w:pPr>
            <w:r w:rsidRPr="004E278C">
              <w:t>87, 2013</w:t>
            </w:r>
          </w:p>
        </w:tc>
        <w:tc>
          <w:tcPr>
            <w:tcW w:w="1026" w:type="pct"/>
            <w:tcBorders>
              <w:top w:val="single" w:sz="4" w:space="0" w:color="auto"/>
              <w:bottom w:val="single" w:sz="4" w:space="0" w:color="auto"/>
            </w:tcBorders>
            <w:shd w:val="clear" w:color="auto" w:fill="auto"/>
          </w:tcPr>
          <w:p w:rsidR="00B37A9B" w:rsidRPr="004E278C" w:rsidRDefault="00B37A9B" w:rsidP="00303534">
            <w:pPr>
              <w:pStyle w:val="ENoteTableText"/>
            </w:pPr>
            <w:r w:rsidRPr="004E278C">
              <w:t>3</w:t>
            </w:r>
            <w:r w:rsidR="004E278C">
              <w:t> </w:t>
            </w:r>
            <w:r w:rsidRPr="004E278C">
              <w:t>June 2013 (F2013L00895)</w:t>
            </w:r>
          </w:p>
        </w:tc>
        <w:tc>
          <w:tcPr>
            <w:tcW w:w="1636" w:type="pct"/>
            <w:tcBorders>
              <w:top w:val="single" w:sz="4" w:space="0" w:color="auto"/>
              <w:bottom w:val="single" w:sz="4" w:space="0" w:color="auto"/>
            </w:tcBorders>
            <w:shd w:val="clear" w:color="auto" w:fill="auto"/>
          </w:tcPr>
          <w:p w:rsidR="00B37A9B" w:rsidRPr="004E278C" w:rsidRDefault="00B37A9B" w:rsidP="00303534">
            <w:pPr>
              <w:pStyle w:val="ENoteTableText"/>
            </w:pPr>
            <w:r w:rsidRPr="004E278C">
              <w:t>4</w:t>
            </w:r>
            <w:r w:rsidR="004E278C">
              <w:t> </w:t>
            </w:r>
            <w:r w:rsidRPr="004E278C">
              <w:t>June 2013</w:t>
            </w:r>
            <w:r w:rsidR="00232805" w:rsidRPr="004E278C">
              <w:t xml:space="preserve"> (</w:t>
            </w:r>
            <w:r w:rsidR="00802015" w:rsidRPr="004E278C">
              <w:t>s</w:t>
            </w:r>
            <w:r w:rsidR="00232805" w:rsidRPr="004E278C">
              <w:t xml:space="preserve"> 2)</w:t>
            </w:r>
          </w:p>
        </w:tc>
        <w:tc>
          <w:tcPr>
            <w:tcW w:w="1276" w:type="pct"/>
            <w:tcBorders>
              <w:top w:val="single" w:sz="4" w:space="0" w:color="auto"/>
              <w:bottom w:val="single" w:sz="4" w:space="0" w:color="auto"/>
            </w:tcBorders>
            <w:shd w:val="clear" w:color="auto" w:fill="auto"/>
          </w:tcPr>
          <w:p w:rsidR="00B37A9B" w:rsidRPr="004E278C" w:rsidRDefault="00B37A9B" w:rsidP="00303534">
            <w:pPr>
              <w:pStyle w:val="ENoteTableText"/>
            </w:pPr>
            <w:r w:rsidRPr="004E278C">
              <w:t>—</w:t>
            </w:r>
          </w:p>
        </w:tc>
      </w:tr>
      <w:tr w:rsidR="00434911" w:rsidRPr="004E278C" w:rsidTr="00AC7A77">
        <w:trPr>
          <w:cantSplit/>
        </w:trPr>
        <w:tc>
          <w:tcPr>
            <w:tcW w:w="1062" w:type="pct"/>
            <w:tcBorders>
              <w:top w:val="single" w:sz="4" w:space="0" w:color="auto"/>
              <w:bottom w:val="single" w:sz="4" w:space="0" w:color="auto"/>
            </w:tcBorders>
            <w:shd w:val="clear" w:color="auto" w:fill="auto"/>
          </w:tcPr>
          <w:p w:rsidR="00434911" w:rsidRPr="004E278C" w:rsidRDefault="00434911" w:rsidP="00303534">
            <w:pPr>
              <w:pStyle w:val="ENoteTableText"/>
            </w:pPr>
            <w:r w:rsidRPr="004E278C">
              <w:t>45, 2014</w:t>
            </w:r>
          </w:p>
        </w:tc>
        <w:tc>
          <w:tcPr>
            <w:tcW w:w="1026" w:type="pct"/>
            <w:tcBorders>
              <w:top w:val="single" w:sz="4" w:space="0" w:color="auto"/>
              <w:bottom w:val="single" w:sz="4" w:space="0" w:color="auto"/>
            </w:tcBorders>
            <w:shd w:val="clear" w:color="auto" w:fill="auto"/>
          </w:tcPr>
          <w:p w:rsidR="00434911" w:rsidRPr="004E278C" w:rsidRDefault="00434911" w:rsidP="00303534">
            <w:pPr>
              <w:pStyle w:val="ENoteTableText"/>
            </w:pPr>
            <w:r w:rsidRPr="004E278C">
              <w:t>16</w:t>
            </w:r>
            <w:r w:rsidR="004E278C">
              <w:t> </w:t>
            </w:r>
            <w:r w:rsidRPr="004E278C">
              <w:t>May 2014 (F2014L00556)</w:t>
            </w:r>
          </w:p>
        </w:tc>
        <w:tc>
          <w:tcPr>
            <w:tcW w:w="1636" w:type="pct"/>
            <w:tcBorders>
              <w:top w:val="single" w:sz="4" w:space="0" w:color="auto"/>
              <w:bottom w:val="single" w:sz="4" w:space="0" w:color="auto"/>
            </w:tcBorders>
            <w:shd w:val="clear" w:color="auto" w:fill="auto"/>
          </w:tcPr>
          <w:p w:rsidR="00434911" w:rsidRPr="004E278C" w:rsidRDefault="00434911" w:rsidP="00303534">
            <w:pPr>
              <w:pStyle w:val="ENoteTableText"/>
            </w:pPr>
            <w:r w:rsidRPr="004E278C">
              <w:t>17</w:t>
            </w:r>
            <w:r w:rsidR="004E278C">
              <w:t> </w:t>
            </w:r>
            <w:r w:rsidRPr="004E278C">
              <w:t>May 2014</w:t>
            </w:r>
            <w:r w:rsidR="00232805" w:rsidRPr="004E278C">
              <w:t xml:space="preserve"> (</w:t>
            </w:r>
            <w:r w:rsidR="00802015" w:rsidRPr="004E278C">
              <w:t>s</w:t>
            </w:r>
            <w:r w:rsidR="00232805" w:rsidRPr="004E278C">
              <w:t xml:space="preserve"> 2)</w:t>
            </w:r>
          </w:p>
        </w:tc>
        <w:tc>
          <w:tcPr>
            <w:tcW w:w="1276" w:type="pct"/>
            <w:tcBorders>
              <w:top w:val="single" w:sz="4" w:space="0" w:color="auto"/>
              <w:bottom w:val="single" w:sz="4" w:space="0" w:color="auto"/>
            </w:tcBorders>
            <w:shd w:val="clear" w:color="auto" w:fill="auto"/>
          </w:tcPr>
          <w:p w:rsidR="00434911" w:rsidRPr="004E278C" w:rsidRDefault="00434911" w:rsidP="00303534">
            <w:pPr>
              <w:pStyle w:val="ENoteTableText"/>
            </w:pPr>
            <w:r w:rsidRPr="004E278C">
              <w:t>—</w:t>
            </w:r>
          </w:p>
        </w:tc>
      </w:tr>
      <w:tr w:rsidR="00967250" w:rsidRPr="004E278C" w:rsidTr="00AC7A77">
        <w:trPr>
          <w:cantSplit/>
        </w:trPr>
        <w:tc>
          <w:tcPr>
            <w:tcW w:w="1062" w:type="pct"/>
            <w:tcBorders>
              <w:top w:val="single" w:sz="4" w:space="0" w:color="auto"/>
              <w:bottom w:val="single" w:sz="12" w:space="0" w:color="auto"/>
            </w:tcBorders>
            <w:shd w:val="clear" w:color="auto" w:fill="auto"/>
          </w:tcPr>
          <w:p w:rsidR="00967250" w:rsidRPr="004E278C" w:rsidRDefault="00967250" w:rsidP="00303534">
            <w:pPr>
              <w:pStyle w:val="ENoteTableText"/>
            </w:pPr>
            <w:r w:rsidRPr="004E278C">
              <w:t>93, 2015</w:t>
            </w:r>
          </w:p>
        </w:tc>
        <w:tc>
          <w:tcPr>
            <w:tcW w:w="1026" w:type="pct"/>
            <w:tcBorders>
              <w:top w:val="single" w:sz="4" w:space="0" w:color="auto"/>
              <w:bottom w:val="single" w:sz="12" w:space="0" w:color="auto"/>
            </w:tcBorders>
            <w:shd w:val="clear" w:color="auto" w:fill="auto"/>
          </w:tcPr>
          <w:p w:rsidR="00967250" w:rsidRPr="004E278C" w:rsidRDefault="00832D7A" w:rsidP="00303534">
            <w:pPr>
              <w:pStyle w:val="ENoteTableText"/>
            </w:pPr>
            <w:r w:rsidRPr="004E278C">
              <w:t>26</w:t>
            </w:r>
            <w:r w:rsidR="004E278C">
              <w:t> </w:t>
            </w:r>
            <w:r w:rsidRPr="004E278C">
              <w:t>June 20</w:t>
            </w:r>
            <w:r w:rsidR="00967250" w:rsidRPr="004E278C">
              <w:t>15 (F2015L00948)</w:t>
            </w:r>
          </w:p>
        </w:tc>
        <w:tc>
          <w:tcPr>
            <w:tcW w:w="1636" w:type="pct"/>
            <w:tcBorders>
              <w:top w:val="single" w:sz="4" w:space="0" w:color="auto"/>
              <w:bottom w:val="single" w:sz="12" w:space="0" w:color="auto"/>
            </w:tcBorders>
            <w:shd w:val="clear" w:color="auto" w:fill="auto"/>
          </w:tcPr>
          <w:p w:rsidR="00967250" w:rsidRPr="004E278C" w:rsidRDefault="00BC5961" w:rsidP="00AC7A77">
            <w:pPr>
              <w:pStyle w:val="ENoteTableText"/>
            </w:pPr>
            <w:r w:rsidRPr="004E278C">
              <w:t xml:space="preserve">Sch 1: </w:t>
            </w:r>
            <w:r w:rsidR="00832D7A" w:rsidRPr="004E278C">
              <w:t>27</w:t>
            </w:r>
            <w:r w:rsidR="004E278C">
              <w:t> </w:t>
            </w:r>
            <w:r w:rsidR="00832D7A" w:rsidRPr="004E278C">
              <w:t>June 2015</w:t>
            </w:r>
            <w:r w:rsidRPr="004E278C">
              <w:t xml:space="preserve"> (s 2(1) </w:t>
            </w:r>
            <w:r w:rsidR="009F7D66">
              <w:t>item 1</w:t>
            </w:r>
            <w:r w:rsidRPr="004E278C">
              <w:t>)</w:t>
            </w:r>
          </w:p>
        </w:tc>
        <w:tc>
          <w:tcPr>
            <w:tcW w:w="1276" w:type="pct"/>
            <w:tcBorders>
              <w:top w:val="single" w:sz="4" w:space="0" w:color="auto"/>
              <w:bottom w:val="single" w:sz="12" w:space="0" w:color="auto"/>
            </w:tcBorders>
            <w:shd w:val="clear" w:color="auto" w:fill="auto"/>
          </w:tcPr>
          <w:p w:rsidR="00967250" w:rsidRPr="004E278C" w:rsidRDefault="00832D7A" w:rsidP="00303534">
            <w:pPr>
              <w:pStyle w:val="ENoteTableText"/>
            </w:pPr>
            <w:r w:rsidRPr="004E278C">
              <w:t>—</w:t>
            </w:r>
          </w:p>
        </w:tc>
      </w:tr>
    </w:tbl>
    <w:p w:rsidR="006C362A" w:rsidRPr="004E278C" w:rsidRDefault="006C362A" w:rsidP="00D172BC">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6C362A" w:rsidRPr="004E278C" w:rsidTr="006C362A">
        <w:trPr>
          <w:cantSplit/>
          <w:tblHeader/>
        </w:trPr>
        <w:tc>
          <w:tcPr>
            <w:tcW w:w="1250" w:type="pct"/>
            <w:tcBorders>
              <w:top w:val="single" w:sz="12" w:space="0" w:color="auto"/>
              <w:bottom w:val="single" w:sz="12" w:space="0" w:color="auto"/>
            </w:tcBorders>
            <w:shd w:val="clear" w:color="auto" w:fill="auto"/>
          </w:tcPr>
          <w:p w:rsidR="006C362A" w:rsidRPr="004E278C" w:rsidRDefault="006C362A" w:rsidP="00D172BC">
            <w:pPr>
              <w:pStyle w:val="ENoteTableHeading"/>
            </w:pPr>
            <w:r w:rsidRPr="004E278C">
              <w:t>Name</w:t>
            </w:r>
          </w:p>
        </w:tc>
        <w:tc>
          <w:tcPr>
            <w:tcW w:w="1250" w:type="pct"/>
            <w:tcBorders>
              <w:top w:val="single" w:sz="12" w:space="0" w:color="auto"/>
              <w:bottom w:val="single" w:sz="12" w:space="0" w:color="auto"/>
            </w:tcBorders>
            <w:shd w:val="clear" w:color="auto" w:fill="auto"/>
          </w:tcPr>
          <w:p w:rsidR="006C362A" w:rsidRPr="004E278C" w:rsidRDefault="006C362A" w:rsidP="00D172BC">
            <w:pPr>
              <w:pStyle w:val="ENoteTableHeading"/>
            </w:pPr>
            <w:r w:rsidRPr="004E278C">
              <w:t>Registration</w:t>
            </w:r>
          </w:p>
        </w:tc>
        <w:tc>
          <w:tcPr>
            <w:tcW w:w="1250" w:type="pct"/>
            <w:tcBorders>
              <w:top w:val="single" w:sz="12" w:space="0" w:color="auto"/>
              <w:bottom w:val="single" w:sz="12" w:space="0" w:color="auto"/>
            </w:tcBorders>
            <w:shd w:val="clear" w:color="auto" w:fill="auto"/>
          </w:tcPr>
          <w:p w:rsidR="006C362A" w:rsidRPr="004E278C" w:rsidRDefault="006C362A" w:rsidP="00D172BC">
            <w:pPr>
              <w:pStyle w:val="ENoteTableHeading"/>
            </w:pPr>
            <w:r w:rsidRPr="004E278C">
              <w:t>Commencement</w:t>
            </w:r>
          </w:p>
        </w:tc>
        <w:tc>
          <w:tcPr>
            <w:tcW w:w="1250" w:type="pct"/>
            <w:tcBorders>
              <w:top w:val="single" w:sz="12" w:space="0" w:color="auto"/>
              <w:bottom w:val="single" w:sz="12" w:space="0" w:color="auto"/>
            </w:tcBorders>
            <w:shd w:val="clear" w:color="auto" w:fill="auto"/>
          </w:tcPr>
          <w:p w:rsidR="006C362A" w:rsidRPr="004E278C" w:rsidRDefault="006C362A" w:rsidP="00D172BC">
            <w:pPr>
              <w:pStyle w:val="ENoteTableHeading"/>
            </w:pPr>
            <w:r w:rsidRPr="004E278C">
              <w:t>Application, saving and transitional provisions</w:t>
            </w:r>
          </w:p>
        </w:tc>
      </w:tr>
      <w:tr w:rsidR="006C362A" w:rsidRPr="004E278C" w:rsidTr="00A45750">
        <w:trPr>
          <w:cantSplit/>
        </w:trPr>
        <w:tc>
          <w:tcPr>
            <w:tcW w:w="1250" w:type="pct"/>
            <w:tcBorders>
              <w:top w:val="single" w:sz="12" w:space="0" w:color="auto"/>
              <w:bottom w:val="single" w:sz="4" w:space="0" w:color="auto"/>
            </w:tcBorders>
            <w:shd w:val="clear" w:color="auto" w:fill="auto"/>
          </w:tcPr>
          <w:p w:rsidR="006C362A" w:rsidRPr="004E278C" w:rsidRDefault="005A6FAD" w:rsidP="00D172BC">
            <w:pPr>
              <w:pStyle w:val="ENoteTableText"/>
            </w:pPr>
            <w:r w:rsidRPr="004E278C">
              <w:t>Fisheries Research and Development Corporation Amendment (Fishing Levy) Regulation</w:t>
            </w:r>
            <w:r w:rsidR="004E278C">
              <w:t> </w:t>
            </w:r>
            <w:r w:rsidRPr="004E278C">
              <w:t>2016</w:t>
            </w:r>
          </w:p>
        </w:tc>
        <w:tc>
          <w:tcPr>
            <w:tcW w:w="1250" w:type="pct"/>
            <w:tcBorders>
              <w:top w:val="single" w:sz="12" w:space="0" w:color="auto"/>
              <w:bottom w:val="single" w:sz="4" w:space="0" w:color="auto"/>
            </w:tcBorders>
            <w:shd w:val="clear" w:color="auto" w:fill="auto"/>
          </w:tcPr>
          <w:p w:rsidR="006C362A" w:rsidRPr="004E278C" w:rsidRDefault="005A6FAD" w:rsidP="00D172BC">
            <w:pPr>
              <w:pStyle w:val="ENoteTableText"/>
            </w:pPr>
            <w:r w:rsidRPr="004E278C">
              <w:t>2 Sept 2016 (F2016L01382)</w:t>
            </w:r>
          </w:p>
        </w:tc>
        <w:tc>
          <w:tcPr>
            <w:tcW w:w="1250" w:type="pct"/>
            <w:tcBorders>
              <w:top w:val="single" w:sz="12" w:space="0" w:color="auto"/>
              <w:bottom w:val="single" w:sz="4" w:space="0" w:color="auto"/>
            </w:tcBorders>
            <w:shd w:val="clear" w:color="auto" w:fill="auto"/>
          </w:tcPr>
          <w:p w:rsidR="006C362A" w:rsidRPr="004E278C" w:rsidRDefault="005A6FAD" w:rsidP="00D172BC">
            <w:pPr>
              <w:pStyle w:val="ENoteTableText"/>
            </w:pPr>
            <w:r w:rsidRPr="004E278C">
              <w:t xml:space="preserve">3 Sept 2016 (s 2(1) </w:t>
            </w:r>
            <w:r w:rsidR="009F7D66">
              <w:t>item 1</w:t>
            </w:r>
            <w:r w:rsidRPr="004E278C">
              <w:t>)</w:t>
            </w:r>
          </w:p>
        </w:tc>
        <w:tc>
          <w:tcPr>
            <w:tcW w:w="1250" w:type="pct"/>
            <w:tcBorders>
              <w:top w:val="single" w:sz="12" w:space="0" w:color="auto"/>
              <w:bottom w:val="single" w:sz="4" w:space="0" w:color="auto"/>
            </w:tcBorders>
            <w:shd w:val="clear" w:color="auto" w:fill="auto"/>
          </w:tcPr>
          <w:p w:rsidR="006C362A" w:rsidRPr="004E278C" w:rsidRDefault="005A6FAD" w:rsidP="00D172BC">
            <w:pPr>
              <w:pStyle w:val="ENoteTableText"/>
            </w:pPr>
            <w:r w:rsidRPr="004E278C">
              <w:t>—</w:t>
            </w:r>
          </w:p>
        </w:tc>
      </w:tr>
      <w:tr w:rsidR="004E7AEA" w:rsidRPr="004E278C" w:rsidTr="00FA359E">
        <w:trPr>
          <w:cantSplit/>
        </w:trPr>
        <w:tc>
          <w:tcPr>
            <w:tcW w:w="1250" w:type="pct"/>
            <w:tcBorders>
              <w:top w:val="single" w:sz="4" w:space="0" w:color="auto"/>
              <w:bottom w:val="single" w:sz="4" w:space="0" w:color="auto"/>
            </w:tcBorders>
            <w:shd w:val="clear" w:color="auto" w:fill="auto"/>
          </w:tcPr>
          <w:p w:rsidR="004E7AEA" w:rsidRPr="004E278C" w:rsidRDefault="004E7AEA" w:rsidP="00D172BC">
            <w:pPr>
              <w:pStyle w:val="ENoteTableText"/>
            </w:pPr>
            <w:r w:rsidRPr="004E278C">
              <w:t xml:space="preserve">Fisheries Research and Development Corporation Amendment (Fishing Levy) </w:t>
            </w:r>
            <w:r w:rsidR="009F7D66">
              <w:t>Regulations 2</w:t>
            </w:r>
            <w:r w:rsidRPr="004E278C">
              <w:t>017</w:t>
            </w:r>
          </w:p>
        </w:tc>
        <w:tc>
          <w:tcPr>
            <w:tcW w:w="1250" w:type="pct"/>
            <w:tcBorders>
              <w:top w:val="single" w:sz="4" w:space="0" w:color="auto"/>
              <w:bottom w:val="single" w:sz="4" w:space="0" w:color="auto"/>
            </w:tcBorders>
            <w:shd w:val="clear" w:color="auto" w:fill="auto"/>
          </w:tcPr>
          <w:p w:rsidR="004E7AEA" w:rsidRPr="004E278C" w:rsidRDefault="004E7AEA" w:rsidP="00D172BC">
            <w:pPr>
              <w:pStyle w:val="ENoteTableText"/>
            </w:pPr>
            <w:r w:rsidRPr="004E278C">
              <w:t>19</w:t>
            </w:r>
            <w:r w:rsidR="004E278C">
              <w:t> </w:t>
            </w:r>
            <w:r w:rsidRPr="004E278C">
              <w:t>June 2017 (F2017L00691)</w:t>
            </w:r>
          </w:p>
        </w:tc>
        <w:tc>
          <w:tcPr>
            <w:tcW w:w="1250" w:type="pct"/>
            <w:tcBorders>
              <w:top w:val="single" w:sz="4" w:space="0" w:color="auto"/>
              <w:bottom w:val="single" w:sz="4" w:space="0" w:color="auto"/>
            </w:tcBorders>
            <w:shd w:val="clear" w:color="auto" w:fill="auto"/>
          </w:tcPr>
          <w:p w:rsidR="004E7AEA" w:rsidRPr="004E278C" w:rsidRDefault="004E7AEA" w:rsidP="00D172BC">
            <w:pPr>
              <w:pStyle w:val="ENoteTableText"/>
            </w:pPr>
            <w:r w:rsidRPr="004E278C">
              <w:t>20</w:t>
            </w:r>
            <w:r w:rsidR="004E278C">
              <w:t> </w:t>
            </w:r>
            <w:r w:rsidRPr="004E278C">
              <w:t xml:space="preserve">June 2017 (s 2(1) </w:t>
            </w:r>
            <w:r w:rsidR="009F7D66">
              <w:t>item 1</w:t>
            </w:r>
            <w:r w:rsidRPr="004E278C">
              <w:t>)</w:t>
            </w:r>
          </w:p>
        </w:tc>
        <w:tc>
          <w:tcPr>
            <w:tcW w:w="1250" w:type="pct"/>
            <w:tcBorders>
              <w:top w:val="single" w:sz="4" w:space="0" w:color="auto"/>
              <w:bottom w:val="single" w:sz="4" w:space="0" w:color="auto"/>
            </w:tcBorders>
            <w:shd w:val="clear" w:color="auto" w:fill="auto"/>
          </w:tcPr>
          <w:p w:rsidR="004E7AEA" w:rsidRPr="004E278C" w:rsidRDefault="004E7AEA" w:rsidP="00D172BC">
            <w:pPr>
              <w:pStyle w:val="ENoteTableText"/>
            </w:pPr>
            <w:r w:rsidRPr="004E278C">
              <w:t>—</w:t>
            </w:r>
          </w:p>
        </w:tc>
      </w:tr>
      <w:tr w:rsidR="00FA61BD" w:rsidRPr="004E278C" w:rsidTr="008E5E92">
        <w:trPr>
          <w:cantSplit/>
        </w:trPr>
        <w:tc>
          <w:tcPr>
            <w:tcW w:w="1250" w:type="pct"/>
            <w:tcBorders>
              <w:top w:val="single" w:sz="4" w:space="0" w:color="auto"/>
              <w:bottom w:val="single" w:sz="4" w:space="0" w:color="auto"/>
            </w:tcBorders>
            <w:shd w:val="clear" w:color="auto" w:fill="auto"/>
          </w:tcPr>
          <w:p w:rsidR="00FA61BD" w:rsidRPr="004E278C" w:rsidRDefault="00FA61BD" w:rsidP="00D172BC">
            <w:pPr>
              <w:pStyle w:val="ENoteTableText"/>
            </w:pPr>
            <w:r w:rsidRPr="004E278C">
              <w:t xml:space="preserve">Fisheries Research and Development Corporation Amendment (Fishing Levy) </w:t>
            </w:r>
            <w:r w:rsidR="009F7D66">
              <w:t>Regulations 2</w:t>
            </w:r>
            <w:r w:rsidRPr="004E278C">
              <w:t>018</w:t>
            </w:r>
          </w:p>
        </w:tc>
        <w:tc>
          <w:tcPr>
            <w:tcW w:w="1250" w:type="pct"/>
            <w:tcBorders>
              <w:top w:val="single" w:sz="4" w:space="0" w:color="auto"/>
              <w:bottom w:val="single" w:sz="4" w:space="0" w:color="auto"/>
            </w:tcBorders>
            <w:shd w:val="clear" w:color="auto" w:fill="auto"/>
          </w:tcPr>
          <w:p w:rsidR="00FA61BD" w:rsidRPr="004E278C" w:rsidRDefault="00FA61BD" w:rsidP="006E4A3D">
            <w:pPr>
              <w:pStyle w:val="ENoteTableText"/>
            </w:pPr>
            <w:r w:rsidRPr="004E278C">
              <w:t>12</w:t>
            </w:r>
            <w:r w:rsidR="004E278C">
              <w:t> </w:t>
            </w:r>
            <w:r w:rsidRPr="004E278C">
              <w:t>June 2018 (F2018L00748)</w:t>
            </w:r>
          </w:p>
        </w:tc>
        <w:tc>
          <w:tcPr>
            <w:tcW w:w="1250" w:type="pct"/>
            <w:tcBorders>
              <w:top w:val="single" w:sz="4" w:space="0" w:color="auto"/>
              <w:bottom w:val="single" w:sz="4" w:space="0" w:color="auto"/>
            </w:tcBorders>
            <w:shd w:val="clear" w:color="auto" w:fill="auto"/>
          </w:tcPr>
          <w:p w:rsidR="00FA61BD" w:rsidRPr="004E278C" w:rsidRDefault="00FA61BD" w:rsidP="00D172BC">
            <w:pPr>
              <w:pStyle w:val="ENoteTableText"/>
            </w:pPr>
            <w:r w:rsidRPr="004E278C">
              <w:t>13</w:t>
            </w:r>
            <w:r w:rsidR="004E278C">
              <w:t> </w:t>
            </w:r>
            <w:r w:rsidRPr="004E278C">
              <w:t xml:space="preserve">June 2018 (s 2(1) </w:t>
            </w:r>
            <w:r w:rsidR="009F7D66">
              <w:t>item 1</w:t>
            </w:r>
            <w:r w:rsidRPr="004E278C">
              <w:t>)</w:t>
            </w:r>
          </w:p>
        </w:tc>
        <w:tc>
          <w:tcPr>
            <w:tcW w:w="1250" w:type="pct"/>
            <w:tcBorders>
              <w:top w:val="single" w:sz="4" w:space="0" w:color="auto"/>
              <w:bottom w:val="single" w:sz="4" w:space="0" w:color="auto"/>
            </w:tcBorders>
            <w:shd w:val="clear" w:color="auto" w:fill="auto"/>
          </w:tcPr>
          <w:p w:rsidR="00FA61BD" w:rsidRPr="004E278C" w:rsidRDefault="00FA61BD" w:rsidP="00D172BC">
            <w:pPr>
              <w:pStyle w:val="ENoteTableText"/>
            </w:pPr>
            <w:r w:rsidRPr="004E278C">
              <w:t>—</w:t>
            </w:r>
          </w:p>
        </w:tc>
      </w:tr>
      <w:tr w:rsidR="00EC0BFB" w:rsidRPr="004E278C" w:rsidTr="00ED0F5A">
        <w:trPr>
          <w:cantSplit/>
        </w:trPr>
        <w:tc>
          <w:tcPr>
            <w:tcW w:w="1250" w:type="pct"/>
            <w:tcBorders>
              <w:top w:val="single" w:sz="4" w:space="0" w:color="auto"/>
              <w:bottom w:val="single" w:sz="4" w:space="0" w:color="auto"/>
            </w:tcBorders>
            <w:shd w:val="clear" w:color="auto" w:fill="auto"/>
          </w:tcPr>
          <w:p w:rsidR="00EC0BFB" w:rsidRPr="004E278C" w:rsidRDefault="00EC0BFB" w:rsidP="00D172BC">
            <w:pPr>
              <w:pStyle w:val="ENoteTableText"/>
            </w:pPr>
            <w:r w:rsidRPr="004E278C">
              <w:t xml:space="preserve">Fisheries Research and Development Corporation Amendment (Fishing Levy) </w:t>
            </w:r>
            <w:r w:rsidR="009F7D66">
              <w:t>Regulations 2</w:t>
            </w:r>
            <w:r w:rsidRPr="004E278C">
              <w:t>019</w:t>
            </w:r>
          </w:p>
        </w:tc>
        <w:tc>
          <w:tcPr>
            <w:tcW w:w="1250" w:type="pct"/>
            <w:tcBorders>
              <w:top w:val="single" w:sz="4" w:space="0" w:color="auto"/>
              <w:bottom w:val="single" w:sz="4" w:space="0" w:color="auto"/>
            </w:tcBorders>
            <w:shd w:val="clear" w:color="auto" w:fill="auto"/>
          </w:tcPr>
          <w:p w:rsidR="00EC0BFB" w:rsidRPr="004E278C" w:rsidRDefault="00EC0BFB" w:rsidP="006E4A3D">
            <w:pPr>
              <w:pStyle w:val="ENoteTableText"/>
            </w:pPr>
            <w:r w:rsidRPr="004E278C">
              <w:t>8 Mar 2019 (F2019L00269)</w:t>
            </w:r>
          </w:p>
        </w:tc>
        <w:tc>
          <w:tcPr>
            <w:tcW w:w="1250" w:type="pct"/>
            <w:tcBorders>
              <w:top w:val="single" w:sz="4" w:space="0" w:color="auto"/>
              <w:bottom w:val="single" w:sz="4" w:space="0" w:color="auto"/>
            </w:tcBorders>
            <w:shd w:val="clear" w:color="auto" w:fill="auto"/>
          </w:tcPr>
          <w:p w:rsidR="00EC0BFB" w:rsidRPr="004E278C" w:rsidRDefault="00EC0BFB" w:rsidP="00105546">
            <w:pPr>
              <w:pStyle w:val="ENoteTableText"/>
            </w:pPr>
            <w:r w:rsidRPr="004E278C">
              <w:t xml:space="preserve">9 Mar 2019 (s 2(1) </w:t>
            </w:r>
            <w:r w:rsidR="009F7D66">
              <w:t>item 1</w:t>
            </w:r>
            <w:r w:rsidRPr="004E278C">
              <w:t>)</w:t>
            </w:r>
          </w:p>
        </w:tc>
        <w:tc>
          <w:tcPr>
            <w:tcW w:w="1250" w:type="pct"/>
            <w:tcBorders>
              <w:top w:val="single" w:sz="4" w:space="0" w:color="auto"/>
              <w:bottom w:val="single" w:sz="4" w:space="0" w:color="auto"/>
            </w:tcBorders>
            <w:shd w:val="clear" w:color="auto" w:fill="auto"/>
          </w:tcPr>
          <w:p w:rsidR="00EC0BFB" w:rsidRPr="004E278C" w:rsidRDefault="00EC0BFB" w:rsidP="00D172BC">
            <w:pPr>
              <w:pStyle w:val="ENoteTableText"/>
            </w:pPr>
            <w:r w:rsidRPr="004E278C">
              <w:t>—</w:t>
            </w:r>
          </w:p>
        </w:tc>
      </w:tr>
      <w:tr w:rsidR="00802015" w:rsidRPr="004E278C" w:rsidTr="00DE5486">
        <w:trPr>
          <w:cantSplit/>
        </w:trPr>
        <w:tc>
          <w:tcPr>
            <w:tcW w:w="1250" w:type="pct"/>
            <w:tcBorders>
              <w:top w:val="single" w:sz="4" w:space="0" w:color="auto"/>
              <w:bottom w:val="single" w:sz="4" w:space="0" w:color="auto"/>
            </w:tcBorders>
            <w:shd w:val="clear" w:color="auto" w:fill="auto"/>
          </w:tcPr>
          <w:p w:rsidR="00802015" w:rsidRPr="004E278C" w:rsidRDefault="00802015" w:rsidP="00E27B73">
            <w:pPr>
              <w:pStyle w:val="ENoteTableText"/>
            </w:pPr>
            <w:r w:rsidRPr="004E278C">
              <w:rPr>
                <w:rFonts w:eastAsiaTheme="minorHAnsi"/>
              </w:rPr>
              <w:t xml:space="preserve">Fisheries Research and Development Corporation Amendment (Farmed Prawns) </w:t>
            </w:r>
            <w:r w:rsidR="009F7D66">
              <w:rPr>
                <w:rFonts w:eastAsiaTheme="minorHAnsi"/>
              </w:rPr>
              <w:t>Regulations 2</w:t>
            </w:r>
            <w:r w:rsidRPr="004E278C">
              <w:rPr>
                <w:rFonts w:eastAsiaTheme="minorHAnsi"/>
              </w:rPr>
              <w:t>019</w:t>
            </w:r>
          </w:p>
        </w:tc>
        <w:tc>
          <w:tcPr>
            <w:tcW w:w="1250" w:type="pct"/>
            <w:tcBorders>
              <w:top w:val="single" w:sz="4" w:space="0" w:color="auto"/>
              <w:bottom w:val="single" w:sz="4" w:space="0" w:color="auto"/>
            </w:tcBorders>
            <w:shd w:val="clear" w:color="auto" w:fill="auto"/>
          </w:tcPr>
          <w:p w:rsidR="00802015" w:rsidRPr="004E278C" w:rsidRDefault="00802015" w:rsidP="00E27B73">
            <w:pPr>
              <w:pStyle w:val="ENoteTableText"/>
            </w:pPr>
            <w:r w:rsidRPr="004E278C">
              <w:t>5</w:t>
            </w:r>
            <w:r w:rsidR="00E27B73" w:rsidRPr="004E278C">
              <w:t xml:space="preserve"> </w:t>
            </w:r>
            <w:r w:rsidRPr="004E278C">
              <w:t>Dec 2019 (F2019L01581)</w:t>
            </w:r>
          </w:p>
        </w:tc>
        <w:tc>
          <w:tcPr>
            <w:tcW w:w="1250" w:type="pct"/>
            <w:tcBorders>
              <w:top w:val="single" w:sz="4" w:space="0" w:color="auto"/>
              <w:bottom w:val="single" w:sz="4" w:space="0" w:color="auto"/>
            </w:tcBorders>
            <w:shd w:val="clear" w:color="auto" w:fill="auto"/>
          </w:tcPr>
          <w:p w:rsidR="00802015" w:rsidRPr="004E278C" w:rsidRDefault="00802015" w:rsidP="00E27B73">
            <w:pPr>
              <w:pStyle w:val="ENoteTableText"/>
            </w:pPr>
            <w:r w:rsidRPr="004E278C">
              <w:t>1</w:t>
            </w:r>
            <w:r w:rsidR="00E27B73" w:rsidRPr="004E278C">
              <w:t xml:space="preserve"> </w:t>
            </w:r>
            <w:r w:rsidRPr="004E278C">
              <w:t>Jan 2020 (s</w:t>
            </w:r>
            <w:r w:rsidR="00E27B73" w:rsidRPr="004E278C">
              <w:t xml:space="preserve"> </w:t>
            </w:r>
            <w:r w:rsidRPr="004E278C">
              <w:t xml:space="preserve">2(1) </w:t>
            </w:r>
            <w:r w:rsidR="009F7D66">
              <w:t>item 1</w:t>
            </w:r>
            <w:r w:rsidRPr="004E278C">
              <w:t>)</w:t>
            </w:r>
          </w:p>
        </w:tc>
        <w:tc>
          <w:tcPr>
            <w:tcW w:w="1250" w:type="pct"/>
            <w:tcBorders>
              <w:top w:val="single" w:sz="4" w:space="0" w:color="auto"/>
              <w:bottom w:val="single" w:sz="4" w:space="0" w:color="auto"/>
            </w:tcBorders>
            <w:shd w:val="clear" w:color="auto" w:fill="auto"/>
          </w:tcPr>
          <w:p w:rsidR="00802015" w:rsidRPr="004E278C" w:rsidRDefault="00802015" w:rsidP="00D172BC">
            <w:pPr>
              <w:pStyle w:val="ENoteTableText"/>
            </w:pPr>
            <w:r w:rsidRPr="004E278C">
              <w:t>—</w:t>
            </w:r>
          </w:p>
        </w:tc>
      </w:tr>
      <w:tr w:rsidR="00F02EE4" w:rsidRPr="004E278C" w:rsidTr="00994A83">
        <w:trPr>
          <w:cantSplit/>
        </w:trPr>
        <w:tc>
          <w:tcPr>
            <w:tcW w:w="1250" w:type="pct"/>
            <w:tcBorders>
              <w:top w:val="single" w:sz="4" w:space="0" w:color="auto"/>
              <w:bottom w:val="single" w:sz="4" w:space="0" w:color="auto"/>
            </w:tcBorders>
            <w:shd w:val="clear" w:color="auto" w:fill="auto"/>
          </w:tcPr>
          <w:p w:rsidR="00F02EE4" w:rsidRPr="004E278C" w:rsidRDefault="00F02EE4" w:rsidP="00E27B73">
            <w:pPr>
              <w:pStyle w:val="ENoteTableText"/>
              <w:rPr>
                <w:rFonts w:eastAsiaTheme="minorHAnsi"/>
              </w:rPr>
            </w:pPr>
            <w:r w:rsidRPr="004E278C">
              <w:t xml:space="preserve">Fisheries Research and Development Corporation Amendment (Fishing Levy) </w:t>
            </w:r>
            <w:r w:rsidR="009F7D66">
              <w:t>Regulations 2</w:t>
            </w:r>
            <w:r w:rsidRPr="004E278C">
              <w:t>020</w:t>
            </w:r>
          </w:p>
        </w:tc>
        <w:tc>
          <w:tcPr>
            <w:tcW w:w="1250" w:type="pct"/>
            <w:tcBorders>
              <w:top w:val="single" w:sz="4" w:space="0" w:color="auto"/>
              <w:bottom w:val="single" w:sz="4" w:space="0" w:color="auto"/>
            </w:tcBorders>
            <w:shd w:val="clear" w:color="auto" w:fill="auto"/>
          </w:tcPr>
          <w:p w:rsidR="00F02EE4" w:rsidRPr="004E278C" w:rsidRDefault="00F02EE4" w:rsidP="00E27B73">
            <w:pPr>
              <w:pStyle w:val="ENoteTableText"/>
            </w:pPr>
            <w:r w:rsidRPr="004E278C">
              <w:t>17</w:t>
            </w:r>
            <w:r w:rsidR="004E278C">
              <w:t> </w:t>
            </w:r>
            <w:r w:rsidRPr="004E278C">
              <w:t>June 2020 (F2020L00740)</w:t>
            </w:r>
          </w:p>
        </w:tc>
        <w:tc>
          <w:tcPr>
            <w:tcW w:w="1250" w:type="pct"/>
            <w:tcBorders>
              <w:top w:val="single" w:sz="4" w:space="0" w:color="auto"/>
              <w:bottom w:val="single" w:sz="4" w:space="0" w:color="auto"/>
            </w:tcBorders>
            <w:shd w:val="clear" w:color="auto" w:fill="auto"/>
          </w:tcPr>
          <w:p w:rsidR="00F02EE4" w:rsidRPr="004E278C" w:rsidRDefault="00F02EE4" w:rsidP="00E27B73">
            <w:pPr>
              <w:pStyle w:val="ENoteTableText"/>
            </w:pPr>
            <w:r w:rsidRPr="004E278C">
              <w:t>18</w:t>
            </w:r>
            <w:r w:rsidR="004E278C">
              <w:t> </w:t>
            </w:r>
            <w:r w:rsidRPr="004E278C">
              <w:t xml:space="preserve">June 2020 (s 2(1) </w:t>
            </w:r>
            <w:r w:rsidR="009F7D66">
              <w:t>item 1</w:t>
            </w:r>
            <w:r w:rsidRPr="004E278C">
              <w:t>)</w:t>
            </w:r>
          </w:p>
        </w:tc>
        <w:tc>
          <w:tcPr>
            <w:tcW w:w="1250" w:type="pct"/>
            <w:tcBorders>
              <w:top w:val="single" w:sz="4" w:space="0" w:color="auto"/>
              <w:bottom w:val="single" w:sz="4" w:space="0" w:color="auto"/>
            </w:tcBorders>
            <w:shd w:val="clear" w:color="auto" w:fill="auto"/>
          </w:tcPr>
          <w:p w:rsidR="00F02EE4" w:rsidRPr="004E278C" w:rsidRDefault="00F02EE4" w:rsidP="00D172BC">
            <w:pPr>
              <w:pStyle w:val="ENoteTableText"/>
            </w:pPr>
            <w:r w:rsidRPr="004E278C">
              <w:t>—</w:t>
            </w:r>
          </w:p>
        </w:tc>
      </w:tr>
      <w:tr w:rsidR="00EE1984" w:rsidRPr="004E278C" w:rsidTr="00A45750">
        <w:trPr>
          <w:cantSplit/>
        </w:trPr>
        <w:tc>
          <w:tcPr>
            <w:tcW w:w="1250" w:type="pct"/>
            <w:tcBorders>
              <w:top w:val="single" w:sz="4" w:space="0" w:color="auto"/>
              <w:bottom w:val="single" w:sz="12" w:space="0" w:color="auto"/>
            </w:tcBorders>
            <w:shd w:val="clear" w:color="auto" w:fill="auto"/>
          </w:tcPr>
          <w:p w:rsidR="00EE1984" w:rsidRPr="004E278C" w:rsidRDefault="00EE1984" w:rsidP="00E27B73">
            <w:pPr>
              <w:pStyle w:val="ENoteTableText"/>
            </w:pPr>
            <w:r w:rsidRPr="00EE1984">
              <w:t xml:space="preserve">Fisheries Research and Development Corporation Amendment (Fishing Levy) </w:t>
            </w:r>
            <w:r w:rsidR="009F7D66">
              <w:t>Regulations 2</w:t>
            </w:r>
            <w:r w:rsidRPr="00EE1984">
              <w:t>021</w:t>
            </w:r>
          </w:p>
        </w:tc>
        <w:tc>
          <w:tcPr>
            <w:tcW w:w="1250" w:type="pct"/>
            <w:tcBorders>
              <w:top w:val="single" w:sz="4" w:space="0" w:color="auto"/>
              <w:bottom w:val="single" w:sz="12" w:space="0" w:color="auto"/>
            </w:tcBorders>
            <w:shd w:val="clear" w:color="auto" w:fill="auto"/>
          </w:tcPr>
          <w:p w:rsidR="00EE1984" w:rsidRPr="004E278C" w:rsidRDefault="009F7D66" w:rsidP="00E27B73">
            <w:pPr>
              <w:pStyle w:val="ENoteTableText"/>
            </w:pPr>
            <w:r>
              <w:t>15 June</w:t>
            </w:r>
            <w:r w:rsidR="00EE1984">
              <w:t xml:space="preserve"> 2021 (</w:t>
            </w:r>
            <w:r w:rsidR="00EE1984" w:rsidRPr="00EE1984">
              <w:t>F2021L00756</w:t>
            </w:r>
            <w:r w:rsidR="00EE1984">
              <w:t>)</w:t>
            </w:r>
          </w:p>
        </w:tc>
        <w:tc>
          <w:tcPr>
            <w:tcW w:w="1250" w:type="pct"/>
            <w:tcBorders>
              <w:top w:val="single" w:sz="4" w:space="0" w:color="auto"/>
              <w:bottom w:val="single" w:sz="12" w:space="0" w:color="auto"/>
            </w:tcBorders>
            <w:shd w:val="clear" w:color="auto" w:fill="auto"/>
          </w:tcPr>
          <w:p w:rsidR="00EE1984" w:rsidRPr="004E278C" w:rsidRDefault="00994A83" w:rsidP="00E27B73">
            <w:pPr>
              <w:pStyle w:val="ENoteTableText"/>
            </w:pPr>
            <w:r>
              <w:t>16 June</w:t>
            </w:r>
            <w:r w:rsidR="00EE1984">
              <w:t xml:space="preserve"> 2021 (s 2(1) </w:t>
            </w:r>
            <w:r w:rsidR="009F7D66">
              <w:t>item 1</w:t>
            </w:r>
            <w:r w:rsidR="00EE1984">
              <w:t>)</w:t>
            </w:r>
          </w:p>
        </w:tc>
        <w:tc>
          <w:tcPr>
            <w:tcW w:w="1250" w:type="pct"/>
            <w:tcBorders>
              <w:top w:val="single" w:sz="4" w:space="0" w:color="auto"/>
              <w:bottom w:val="single" w:sz="12" w:space="0" w:color="auto"/>
            </w:tcBorders>
            <w:shd w:val="clear" w:color="auto" w:fill="auto"/>
          </w:tcPr>
          <w:p w:rsidR="00EE1984" w:rsidRPr="004F78AD" w:rsidRDefault="00EE1984" w:rsidP="00D172BC">
            <w:pPr>
              <w:pStyle w:val="ENoteTableText"/>
            </w:pPr>
            <w:r>
              <w:t>—</w:t>
            </w:r>
          </w:p>
        </w:tc>
      </w:tr>
    </w:tbl>
    <w:p w:rsidR="006C362A" w:rsidRPr="004E278C" w:rsidRDefault="006C362A" w:rsidP="00D172BC">
      <w:pPr>
        <w:pStyle w:val="Tabletext"/>
      </w:pPr>
    </w:p>
    <w:p w:rsidR="003C0D11" w:rsidRPr="004E278C" w:rsidRDefault="003C0D11" w:rsidP="003C0D11">
      <w:pPr>
        <w:pStyle w:val="ENotesHeading2"/>
        <w:pageBreakBefore/>
        <w:outlineLvl w:val="9"/>
      </w:pPr>
      <w:bookmarkStart w:id="17" w:name="_Toc75269212"/>
      <w:r w:rsidRPr="004E278C">
        <w:t>Endnote 4—Amendment history</w:t>
      </w:r>
      <w:bookmarkEnd w:id="17"/>
    </w:p>
    <w:p w:rsidR="003C0D11" w:rsidRPr="004E278C" w:rsidRDefault="003C0D11" w:rsidP="003C0D11">
      <w:pPr>
        <w:pStyle w:val="Tabletext"/>
      </w:pPr>
    </w:p>
    <w:tbl>
      <w:tblPr>
        <w:tblW w:w="5000" w:type="pct"/>
        <w:tblBorders>
          <w:top w:val="single" w:sz="12" w:space="0" w:color="auto"/>
          <w:bottom w:val="single" w:sz="12" w:space="0" w:color="auto"/>
        </w:tblBorders>
        <w:tblLook w:val="0000" w:firstRow="0" w:lastRow="0" w:firstColumn="0" w:lastColumn="0" w:noHBand="0" w:noVBand="0"/>
      </w:tblPr>
      <w:tblGrid>
        <w:gridCol w:w="2576"/>
        <w:gridCol w:w="5953"/>
      </w:tblGrid>
      <w:tr w:rsidR="003C0D11" w:rsidRPr="004E278C" w:rsidTr="006C362A">
        <w:trPr>
          <w:cantSplit/>
          <w:tblHeader/>
        </w:trPr>
        <w:tc>
          <w:tcPr>
            <w:tcW w:w="1510" w:type="pct"/>
            <w:tcBorders>
              <w:top w:val="single" w:sz="12" w:space="0" w:color="auto"/>
              <w:bottom w:val="single" w:sz="12" w:space="0" w:color="auto"/>
            </w:tcBorders>
            <w:shd w:val="clear" w:color="auto" w:fill="auto"/>
          </w:tcPr>
          <w:p w:rsidR="003C0D11" w:rsidRPr="004E278C" w:rsidRDefault="003C0D11" w:rsidP="003C0D11">
            <w:pPr>
              <w:pStyle w:val="ENoteTableHeading"/>
              <w:rPr>
                <w:rFonts w:cs="Arial"/>
              </w:rPr>
            </w:pPr>
            <w:r w:rsidRPr="004E278C">
              <w:rPr>
                <w:rFonts w:cs="Arial"/>
              </w:rPr>
              <w:t>Provision affected</w:t>
            </w:r>
          </w:p>
        </w:tc>
        <w:tc>
          <w:tcPr>
            <w:tcW w:w="3490" w:type="pct"/>
            <w:tcBorders>
              <w:top w:val="single" w:sz="12" w:space="0" w:color="auto"/>
              <w:bottom w:val="single" w:sz="12" w:space="0" w:color="auto"/>
            </w:tcBorders>
            <w:shd w:val="clear" w:color="auto" w:fill="auto"/>
          </w:tcPr>
          <w:p w:rsidR="003C0D11" w:rsidRPr="004E278C" w:rsidRDefault="003C0D11" w:rsidP="003C0D11">
            <w:pPr>
              <w:pStyle w:val="ENoteTableHeading"/>
              <w:rPr>
                <w:rFonts w:cs="Arial"/>
              </w:rPr>
            </w:pPr>
            <w:r w:rsidRPr="004E278C">
              <w:rPr>
                <w:rFonts w:cs="Arial"/>
              </w:rPr>
              <w:t>How affected</w:t>
            </w:r>
          </w:p>
        </w:tc>
      </w:tr>
      <w:tr w:rsidR="00303534" w:rsidRPr="004E278C" w:rsidTr="006C362A">
        <w:tblPrEx>
          <w:tblBorders>
            <w:top w:val="none" w:sz="0" w:space="0" w:color="auto"/>
            <w:bottom w:val="none" w:sz="0" w:space="0" w:color="auto"/>
          </w:tblBorders>
        </w:tblPrEx>
        <w:trPr>
          <w:cantSplit/>
        </w:trPr>
        <w:tc>
          <w:tcPr>
            <w:tcW w:w="1510" w:type="pct"/>
            <w:tcBorders>
              <w:top w:val="single" w:sz="12" w:space="0" w:color="auto"/>
            </w:tcBorders>
            <w:shd w:val="clear" w:color="auto" w:fill="auto"/>
          </w:tcPr>
          <w:p w:rsidR="00303534" w:rsidRPr="004E278C" w:rsidRDefault="00D30277" w:rsidP="00D30277">
            <w:pPr>
              <w:pStyle w:val="ENoteTableText"/>
              <w:tabs>
                <w:tab w:val="center" w:leader="dot" w:pos="2268"/>
              </w:tabs>
            </w:pPr>
            <w:r w:rsidRPr="004E278C">
              <w:t xml:space="preserve">r </w:t>
            </w:r>
            <w:r w:rsidR="00303534" w:rsidRPr="004E278C">
              <w:t>1</w:t>
            </w:r>
            <w:r w:rsidR="00303534" w:rsidRPr="004E278C">
              <w:tab/>
            </w:r>
          </w:p>
        </w:tc>
        <w:tc>
          <w:tcPr>
            <w:tcW w:w="3490" w:type="pct"/>
            <w:tcBorders>
              <w:top w:val="single" w:sz="12" w:space="0" w:color="auto"/>
            </w:tcBorders>
            <w:shd w:val="clear" w:color="auto" w:fill="auto"/>
          </w:tcPr>
          <w:p w:rsidR="00303534" w:rsidRPr="004E278C" w:rsidRDefault="00303534" w:rsidP="008C26A7">
            <w:pPr>
              <w:pStyle w:val="ENoteTableText"/>
            </w:pPr>
            <w:r w:rsidRPr="004E278C">
              <w:t>rs No</w:t>
            </w:r>
            <w:r w:rsidR="00690B37" w:rsidRPr="004E278C">
              <w:t> </w:t>
            </w:r>
            <w:r w:rsidRPr="004E278C">
              <w:t>270</w:t>
            </w:r>
            <w:r w:rsidR="008170B3" w:rsidRPr="004E278C">
              <w:t>, 2000</w:t>
            </w:r>
          </w:p>
        </w:tc>
      </w:tr>
      <w:tr w:rsidR="00877F34" w:rsidRPr="004E278C" w:rsidTr="006C362A">
        <w:tblPrEx>
          <w:tblBorders>
            <w:top w:val="none" w:sz="0" w:space="0" w:color="auto"/>
            <w:bottom w:val="none" w:sz="0" w:space="0" w:color="auto"/>
          </w:tblBorders>
        </w:tblPrEx>
        <w:trPr>
          <w:cantSplit/>
        </w:trPr>
        <w:tc>
          <w:tcPr>
            <w:tcW w:w="1510" w:type="pct"/>
            <w:shd w:val="clear" w:color="auto" w:fill="auto"/>
          </w:tcPr>
          <w:p w:rsidR="00877F34" w:rsidRPr="004E278C" w:rsidRDefault="00877F34" w:rsidP="00D30277">
            <w:pPr>
              <w:pStyle w:val="ENoteTableText"/>
              <w:tabs>
                <w:tab w:val="center" w:leader="dot" w:pos="2268"/>
              </w:tabs>
            </w:pPr>
            <w:r w:rsidRPr="004E278C">
              <w:t>r 2</w:t>
            </w:r>
            <w:r w:rsidRPr="004E278C">
              <w:tab/>
            </w:r>
          </w:p>
        </w:tc>
        <w:tc>
          <w:tcPr>
            <w:tcW w:w="3490" w:type="pct"/>
            <w:shd w:val="clear" w:color="auto" w:fill="auto"/>
          </w:tcPr>
          <w:p w:rsidR="00877F34" w:rsidRPr="004E278C" w:rsidRDefault="00877F34" w:rsidP="008C26A7">
            <w:pPr>
              <w:pStyle w:val="ENoteTableText"/>
            </w:pPr>
            <w:r w:rsidRPr="004E278C">
              <w:t>rep LA s 48D</w:t>
            </w:r>
          </w:p>
        </w:tc>
      </w:tr>
      <w:tr w:rsidR="00303534" w:rsidRPr="004E278C" w:rsidTr="006C362A">
        <w:tblPrEx>
          <w:tblBorders>
            <w:top w:val="none" w:sz="0" w:space="0" w:color="auto"/>
            <w:bottom w:val="none" w:sz="0" w:space="0" w:color="auto"/>
          </w:tblBorders>
        </w:tblPrEx>
        <w:trPr>
          <w:cantSplit/>
        </w:trPr>
        <w:tc>
          <w:tcPr>
            <w:tcW w:w="1510" w:type="pct"/>
            <w:shd w:val="clear" w:color="auto" w:fill="auto"/>
          </w:tcPr>
          <w:p w:rsidR="00303534" w:rsidRPr="004E278C" w:rsidRDefault="00D30277" w:rsidP="00D30277">
            <w:pPr>
              <w:pStyle w:val="ENoteTableText"/>
              <w:tabs>
                <w:tab w:val="center" w:leader="dot" w:pos="2268"/>
              </w:tabs>
            </w:pPr>
            <w:r w:rsidRPr="004E278C">
              <w:t xml:space="preserve">r </w:t>
            </w:r>
            <w:r w:rsidR="00303534" w:rsidRPr="004E278C">
              <w:t>3</w:t>
            </w:r>
            <w:r w:rsidR="00303534" w:rsidRPr="004E278C">
              <w:tab/>
            </w:r>
          </w:p>
        </w:tc>
        <w:tc>
          <w:tcPr>
            <w:tcW w:w="3490" w:type="pct"/>
            <w:shd w:val="clear" w:color="auto" w:fill="auto"/>
          </w:tcPr>
          <w:p w:rsidR="00303534" w:rsidRPr="004E278C" w:rsidRDefault="00303534" w:rsidP="008C26A7">
            <w:pPr>
              <w:pStyle w:val="ENoteTableText"/>
            </w:pPr>
            <w:r w:rsidRPr="004E278C">
              <w:t>am No</w:t>
            </w:r>
            <w:r w:rsidR="00690B37" w:rsidRPr="004E278C">
              <w:t> </w:t>
            </w:r>
            <w:r w:rsidRPr="004E278C">
              <w:t>17</w:t>
            </w:r>
            <w:r w:rsidR="008170B3" w:rsidRPr="004E278C">
              <w:t>, 1992</w:t>
            </w:r>
            <w:r w:rsidRPr="004E278C">
              <w:t>; No</w:t>
            </w:r>
            <w:r w:rsidR="00690B37" w:rsidRPr="004E278C">
              <w:t> </w:t>
            </w:r>
            <w:r w:rsidRPr="004E278C">
              <w:t>232</w:t>
            </w:r>
            <w:r w:rsidR="008170B3" w:rsidRPr="004E278C">
              <w:t>, 2001</w:t>
            </w:r>
            <w:r w:rsidR="00E16E01" w:rsidRPr="004E278C">
              <w:t xml:space="preserve">; </w:t>
            </w:r>
            <w:r w:rsidR="00232805" w:rsidRPr="004E278C">
              <w:t xml:space="preserve">No </w:t>
            </w:r>
            <w:r w:rsidR="00E16E01" w:rsidRPr="004E278C">
              <w:t>93, 2015</w:t>
            </w:r>
          </w:p>
        </w:tc>
      </w:tr>
      <w:tr w:rsidR="00303534" w:rsidRPr="004E278C" w:rsidTr="006C362A">
        <w:tblPrEx>
          <w:tblBorders>
            <w:top w:val="none" w:sz="0" w:space="0" w:color="auto"/>
            <w:bottom w:val="none" w:sz="0" w:space="0" w:color="auto"/>
          </w:tblBorders>
        </w:tblPrEx>
        <w:trPr>
          <w:cantSplit/>
        </w:trPr>
        <w:tc>
          <w:tcPr>
            <w:tcW w:w="1510" w:type="pct"/>
            <w:shd w:val="clear" w:color="auto" w:fill="auto"/>
          </w:tcPr>
          <w:p w:rsidR="00303534" w:rsidRPr="004E278C" w:rsidRDefault="00D30277" w:rsidP="00E16E01">
            <w:pPr>
              <w:pStyle w:val="ENoteTableText"/>
              <w:tabs>
                <w:tab w:val="center" w:leader="dot" w:pos="2268"/>
              </w:tabs>
            </w:pPr>
            <w:r w:rsidRPr="004E278C">
              <w:t xml:space="preserve">r </w:t>
            </w:r>
            <w:r w:rsidR="00303534" w:rsidRPr="004E278C">
              <w:t>4</w:t>
            </w:r>
            <w:r w:rsidR="00303534" w:rsidRPr="004E278C">
              <w:tab/>
            </w:r>
          </w:p>
        </w:tc>
        <w:tc>
          <w:tcPr>
            <w:tcW w:w="3490" w:type="pct"/>
            <w:shd w:val="clear" w:color="auto" w:fill="auto"/>
          </w:tcPr>
          <w:p w:rsidR="00303534" w:rsidRPr="004E278C" w:rsidRDefault="00303534" w:rsidP="008C26A7">
            <w:pPr>
              <w:pStyle w:val="ENoteTableText"/>
            </w:pPr>
            <w:r w:rsidRPr="004E278C">
              <w:t>am No</w:t>
            </w:r>
            <w:r w:rsidR="00690B37" w:rsidRPr="004E278C">
              <w:t> </w:t>
            </w:r>
            <w:r w:rsidRPr="004E278C">
              <w:t>17</w:t>
            </w:r>
            <w:r w:rsidR="008170B3" w:rsidRPr="004E278C">
              <w:t>, 1992</w:t>
            </w:r>
          </w:p>
        </w:tc>
      </w:tr>
      <w:tr w:rsidR="00303534" w:rsidRPr="004E278C" w:rsidTr="006C362A">
        <w:tblPrEx>
          <w:tblBorders>
            <w:top w:val="none" w:sz="0" w:space="0" w:color="auto"/>
            <w:bottom w:val="none" w:sz="0" w:space="0" w:color="auto"/>
          </w:tblBorders>
        </w:tblPrEx>
        <w:trPr>
          <w:cantSplit/>
        </w:trPr>
        <w:tc>
          <w:tcPr>
            <w:tcW w:w="1510" w:type="pct"/>
            <w:shd w:val="clear" w:color="auto" w:fill="auto"/>
          </w:tcPr>
          <w:p w:rsidR="00303534" w:rsidRPr="004E278C" w:rsidRDefault="00D30277" w:rsidP="00D30277">
            <w:pPr>
              <w:pStyle w:val="ENoteTableText"/>
              <w:tabs>
                <w:tab w:val="center" w:leader="dot" w:pos="2268"/>
              </w:tabs>
            </w:pPr>
            <w:r w:rsidRPr="004E278C">
              <w:t xml:space="preserve">r </w:t>
            </w:r>
            <w:r w:rsidR="00303534" w:rsidRPr="004E278C">
              <w:t>4A</w:t>
            </w:r>
            <w:r w:rsidR="00303534" w:rsidRPr="004E278C">
              <w:tab/>
            </w:r>
          </w:p>
        </w:tc>
        <w:tc>
          <w:tcPr>
            <w:tcW w:w="3490" w:type="pct"/>
            <w:shd w:val="clear" w:color="auto" w:fill="auto"/>
          </w:tcPr>
          <w:p w:rsidR="00303534" w:rsidRPr="004E278C" w:rsidRDefault="00303534" w:rsidP="008C26A7">
            <w:pPr>
              <w:pStyle w:val="ENoteTableText"/>
            </w:pPr>
            <w:r w:rsidRPr="004E278C">
              <w:t>ad No</w:t>
            </w:r>
            <w:r w:rsidR="00690B37" w:rsidRPr="004E278C">
              <w:t> </w:t>
            </w:r>
            <w:r w:rsidRPr="004E278C">
              <w:t>17</w:t>
            </w:r>
            <w:r w:rsidR="008170B3" w:rsidRPr="004E278C">
              <w:t>, 1992</w:t>
            </w:r>
          </w:p>
        </w:tc>
      </w:tr>
      <w:tr w:rsidR="00303534" w:rsidRPr="004E278C" w:rsidTr="006C362A">
        <w:tblPrEx>
          <w:tblBorders>
            <w:top w:val="none" w:sz="0" w:space="0" w:color="auto"/>
            <w:bottom w:val="none" w:sz="0" w:space="0" w:color="auto"/>
          </w:tblBorders>
        </w:tblPrEx>
        <w:trPr>
          <w:cantSplit/>
        </w:trPr>
        <w:tc>
          <w:tcPr>
            <w:tcW w:w="1510" w:type="pct"/>
            <w:shd w:val="clear" w:color="auto" w:fill="auto"/>
          </w:tcPr>
          <w:p w:rsidR="00303534" w:rsidRPr="004E278C" w:rsidRDefault="00303534" w:rsidP="003676F7">
            <w:pPr>
              <w:pStyle w:val="ENoteTableText"/>
              <w:tabs>
                <w:tab w:val="center" w:leader="dot" w:pos="2268"/>
              </w:tabs>
            </w:pPr>
          </w:p>
        </w:tc>
        <w:tc>
          <w:tcPr>
            <w:tcW w:w="3490" w:type="pct"/>
            <w:shd w:val="clear" w:color="auto" w:fill="auto"/>
          </w:tcPr>
          <w:p w:rsidR="00303534" w:rsidRPr="004E278C" w:rsidRDefault="00303534" w:rsidP="008C26A7">
            <w:pPr>
              <w:pStyle w:val="ENoteTableText"/>
            </w:pPr>
            <w:r w:rsidRPr="004E278C">
              <w:t>rs No</w:t>
            </w:r>
            <w:r w:rsidR="00690B37" w:rsidRPr="004E278C">
              <w:t> </w:t>
            </w:r>
            <w:r w:rsidRPr="004E278C">
              <w:t>186</w:t>
            </w:r>
            <w:r w:rsidR="008170B3" w:rsidRPr="004E278C">
              <w:t>, 1995</w:t>
            </w:r>
          </w:p>
        </w:tc>
      </w:tr>
      <w:tr w:rsidR="00303534" w:rsidRPr="004E278C" w:rsidTr="006C362A">
        <w:tblPrEx>
          <w:tblBorders>
            <w:top w:val="none" w:sz="0" w:space="0" w:color="auto"/>
            <w:bottom w:val="none" w:sz="0" w:space="0" w:color="auto"/>
          </w:tblBorders>
        </w:tblPrEx>
        <w:trPr>
          <w:cantSplit/>
        </w:trPr>
        <w:tc>
          <w:tcPr>
            <w:tcW w:w="1510" w:type="pct"/>
            <w:shd w:val="clear" w:color="auto" w:fill="auto"/>
          </w:tcPr>
          <w:p w:rsidR="00303534" w:rsidRPr="004E278C" w:rsidRDefault="00303534" w:rsidP="003676F7">
            <w:pPr>
              <w:pStyle w:val="ENoteTableText"/>
              <w:tabs>
                <w:tab w:val="center" w:leader="dot" w:pos="2268"/>
              </w:tabs>
            </w:pPr>
          </w:p>
        </w:tc>
        <w:tc>
          <w:tcPr>
            <w:tcW w:w="3490" w:type="pct"/>
            <w:shd w:val="clear" w:color="auto" w:fill="auto"/>
          </w:tcPr>
          <w:p w:rsidR="00303534" w:rsidRPr="004E278C" w:rsidRDefault="00303534" w:rsidP="008C26A7">
            <w:pPr>
              <w:pStyle w:val="ENoteTableText"/>
            </w:pPr>
            <w:r w:rsidRPr="004E278C">
              <w:t>am No</w:t>
            </w:r>
            <w:r w:rsidR="00690B37" w:rsidRPr="004E278C">
              <w:t> </w:t>
            </w:r>
            <w:r w:rsidRPr="004E278C">
              <w:t>414</w:t>
            </w:r>
            <w:r w:rsidR="008170B3" w:rsidRPr="004E278C">
              <w:t>, 1995</w:t>
            </w:r>
            <w:r w:rsidRPr="004E278C">
              <w:t>; No</w:t>
            </w:r>
            <w:r w:rsidR="00690B37" w:rsidRPr="004E278C">
              <w:t> </w:t>
            </w:r>
            <w:r w:rsidRPr="004E278C">
              <w:t>239</w:t>
            </w:r>
            <w:r w:rsidR="008170B3" w:rsidRPr="004E278C">
              <w:t>, 1996</w:t>
            </w:r>
            <w:r w:rsidRPr="004E278C">
              <w:t>; No</w:t>
            </w:r>
            <w:r w:rsidR="00690B37" w:rsidRPr="004E278C">
              <w:t> </w:t>
            </w:r>
            <w:r w:rsidR="008170B3" w:rsidRPr="004E278C">
              <w:t>90, 1998</w:t>
            </w:r>
          </w:p>
        </w:tc>
      </w:tr>
      <w:tr w:rsidR="00303534" w:rsidRPr="004E278C" w:rsidTr="006C362A">
        <w:tblPrEx>
          <w:tblBorders>
            <w:top w:val="none" w:sz="0" w:space="0" w:color="auto"/>
            <w:bottom w:val="none" w:sz="0" w:space="0" w:color="auto"/>
          </w:tblBorders>
        </w:tblPrEx>
        <w:trPr>
          <w:cantSplit/>
        </w:trPr>
        <w:tc>
          <w:tcPr>
            <w:tcW w:w="1510" w:type="pct"/>
            <w:shd w:val="clear" w:color="auto" w:fill="auto"/>
          </w:tcPr>
          <w:p w:rsidR="00303534" w:rsidRPr="004E278C" w:rsidRDefault="00303534" w:rsidP="003676F7">
            <w:pPr>
              <w:pStyle w:val="ENoteTableText"/>
              <w:tabs>
                <w:tab w:val="center" w:leader="dot" w:pos="2268"/>
              </w:tabs>
            </w:pPr>
          </w:p>
        </w:tc>
        <w:tc>
          <w:tcPr>
            <w:tcW w:w="3490" w:type="pct"/>
            <w:shd w:val="clear" w:color="auto" w:fill="auto"/>
          </w:tcPr>
          <w:p w:rsidR="00303534" w:rsidRPr="004E278C" w:rsidRDefault="00303534" w:rsidP="008C26A7">
            <w:pPr>
              <w:pStyle w:val="ENoteTableText"/>
            </w:pPr>
            <w:r w:rsidRPr="004E278C">
              <w:t>rs No</w:t>
            </w:r>
            <w:r w:rsidR="00690B37" w:rsidRPr="004E278C">
              <w:t> </w:t>
            </w:r>
            <w:r w:rsidRPr="004E278C">
              <w:t>270</w:t>
            </w:r>
            <w:r w:rsidR="008170B3" w:rsidRPr="004E278C">
              <w:t>, 2000</w:t>
            </w:r>
          </w:p>
        </w:tc>
      </w:tr>
      <w:tr w:rsidR="00303534" w:rsidRPr="004E278C" w:rsidTr="006C362A">
        <w:tblPrEx>
          <w:tblBorders>
            <w:top w:val="none" w:sz="0" w:space="0" w:color="auto"/>
            <w:bottom w:val="none" w:sz="0" w:space="0" w:color="auto"/>
          </w:tblBorders>
        </w:tblPrEx>
        <w:trPr>
          <w:cantSplit/>
        </w:trPr>
        <w:tc>
          <w:tcPr>
            <w:tcW w:w="1510" w:type="pct"/>
            <w:shd w:val="clear" w:color="auto" w:fill="auto"/>
          </w:tcPr>
          <w:p w:rsidR="00303534" w:rsidRPr="004E278C" w:rsidRDefault="00303534" w:rsidP="003676F7">
            <w:pPr>
              <w:pStyle w:val="ENoteTableText"/>
              <w:tabs>
                <w:tab w:val="center" w:leader="dot" w:pos="2268"/>
              </w:tabs>
            </w:pPr>
          </w:p>
        </w:tc>
        <w:tc>
          <w:tcPr>
            <w:tcW w:w="3490" w:type="pct"/>
            <w:shd w:val="clear" w:color="auto" w:fill="auto"/>
          </w:tcPr>
          <w:p w:rsidR="00303534" w:rsidRPr="004E278C" w:rsidRDefault="00303534" w:rsidP="00EC1685">
            <w:pPr>
              <w:pStyle w:val="ENoteTableText"/>
              <w:rPr>
                <w:rFonts w:ascii="Courier New" w:eastAsiaTheme="minorHAnsi" w:hAnsi="Courier New" w:cs="Courier New"/>
                <w:lang w:eastAsia="en-US"/>
              </w:rPr>
            </w:pPr>
            <w:r w:rsidRPr="004E278C">
              <w:t>am N</w:t>
            </w:r>
            <w:r w:rsidR="00241BBD" w:rsidRPr="004E278C">
              <w:t>o</w:t>
            </w:r>
            <w:r w:rsidR="003B3EB7" w:rsidRPr="004E278C">
              <w:t> </w:t>
            </w:r>
            <w:r w:rsidRPr="004E278C">
              <w:t>270</w:t>
            </w:r>
            <w:r w:rsidR="008170B3" w:rsidRPr="004E278C">
              <w:t>, 2000</w:t>
            </w:r>
            <w:r w:rsidRPr="004E278C">
              <w:t xml:space="preserve">; </w:t>
            </w:r>
            <w:r w:rsidR="00E16E01" w:rsidRPr="004E278C">
              <w:t xml:space="preserve">No 232, 2001; </w:t>
            </w:r>
            <w:r w:rsidRPr="004E278C">
              <w:t>No</w:t>
            </w:r>
            <w:r w:rsidR="00690B37" w:rsidRPr="004E278C">
              <w:t> </w:t>
            </w:r>
            <w:r w:rsidRPr="004E278C">
              <w:t>92</w:t>
            </w:r>
            <w:r w:rsidR="008170B3" w:rsidRPr="004E278C">
              <w:t>, 2006</w:t>
            </w:r>
            <w:r w:rsidRPr="004E278C">
              <w:t>; No</w:t>
            </w:r>
            <w:r w:rsidR="00690B37" w:rsidRPr="004E278C">
              <w:t> </w:t>
            </w:r>
            <w:r w:rsidRPr="004E278C">
              <w:t>46</w:t>
            </w:r>
            <w:r w:rsidR="008170B3" w:rsidRPr="004E278C">
              <w:t>, 2007</w:t>
            </w:r>
            <w:r w:rsidRPr="004E278C">
              <w:t>; No</w:t>
            </w:r>
            <w:r w:rsidR="00690B37" w:rsidRPr="004E278C">
              <w:t> </w:t>
            </w:r>
            <w:r w:rsidRPr="004E278C">
              <w:t>83</w:t>
            </w:r>
            <w:r w:rsidR="008170B3" w:rsidRPr="004E278C">
              <w:t>, 2008</w:t>
            </w:r>
            <w:r w:rsidRPr="004E278C">
              <w:t>; No</w:t>
            </w:r>
            <w:r w:rsidR="00690B37" w:rsidRPr="004E278C">
              <w:t> </w:t>
            </w:r>
            <w:r w:rsidRPr="004E278C">
              <w:t>73</w:t>
            </w:r>
            <w:r w:rsidR="008170B3" w:rsidRPr="004E278C">
              <w:t>, 2009</w:t>
            </w:r>
            <w:r w:rsidRPr="004E278C">
              <w:t>; No</w:t>
            </w:r>
            <w:r w:rsidR="00690B37" w:rsidRPr="004E278C">
              <w:t> </w:t>
            </w:r>
            <w:r w:rsidRPr="004E278C">
              <w:t>126</w:t>
            </w:r>
            <w:r w:rsidR="008170B3" w:rsidRPr="004E278C">
              <w:t>, 2010</w:t>
            </w:r>
            <w:r w:rsidRPr="004E278C">
              <w:t>; No</w:t>
            </w:r>
            <w:r w:rsidR="00690B37" w:rsidRPr="004E278C">
              <w:t> </w:t>
            </w:r>
            <w:r w:rsidRPr="004E278C">
              <w:t>71</w:t>
            </w:r>
            <w:r w:rsidR="008170B3" w:rsidRPr="004E278C">
              <w:t>, 2011</w:t>
            </w:r>
            <w:r w:rsidRPr="004E278C">
              <w:t>; No</w:t>
            </w:r>
            <w:r w:rsidR="00690B37" w:rsidRPr="004E278C">
              <w:t> </w:t>
            </w:r>
            <w:r w:rsidRPr="004E278C">
              <w:t>48</w:t>
            </w:r>
            <w:r w:rsidR="008170B3" w:rsidRPr="004E278C">
              <w:t>, 2012</w:t>
            </w:r>
            <w:r w:rsidR="00AC5127" w:rsidRPr="004E278C">
              <w:t>; No</w:t>
            </w:r>
            <w:r w:rsidR="00690B37" w:rsidRPr="004E278C">
              <w:t> </w:t>
            </w:r>
            <w:r w:rsidR="00AC5127" w:rsidRPr="004E278C">
              <w:t>87, 2013</w:t>
            </w:r>
            <w:r w:rsidR="00434911" w:rsidRPr="004E278C">
              <w:t>; No</w:t>
            </w:r>
            <w:r w:rsidR="00EC1685" w:rsidRPr="004E278C">
              <w:t> </w:t>
            </w:r>
            <w:r w:rsidR="00434911" w:rsidRPr="004E278C">
              <w:t>45, 2014</w:t>
            </w:r>
            <w:r w:rsidR="00E16E01" w:rsidRPr="004E278C">
              <w:t xml:space="preserve">; </w:t>
            </w:r>
            <w:r w:rsidR="00232805" w:rsidRPr="004E278C">
              <w:t xml:space="preserve">No </w:t>
            </w:r>
            <w:r w:rsidR="00E16E01" w:rsidRPr="004E278C">
              <w:t>93, 2015</w:t>
            </w:r>
            <w:r w:rsidR="00601331" w:rsidRPr="004E278C">
              <w:t>; F2016L01382</w:t>
            </w:r>
            <w:r w:rsidR="004E7AEA" w:rsidRPr="004E278C">
              <w:t>; F2017L00691</w:t>
            </w:r>
            <w:r w:rsidR="00FA61BD" w:rsidRPr="004E278C">
              <w:t>; F2018L00748</w:t>
            </w:r>
            <w:r w:rsidR="00EC0BFB" w:rsidRPr="004E278C">
              <w:t>; F2019L00269</w:t>
            </w:r>
            <w:r w:rsidR="00F02EE4" w:rsidRPr="004E278C">
              <w:t>; F2020L00740</w:t>
            </w:r>
            <w:r w:rsidR="00EE1984">
              <w:t xml:space="preserve">; </w:t>
            </w:r>
            <w:r w:rsidR="00EE1984" w:rsidRPr="00EE1984">
              <w:t>F2021L00756</w:t>
            </w:r>
          </w:p>
        </w:tc>
      </w:tr>
      <w:tr w:rsidR="00303534" w:rsidRPr="004E278C" w:rsidTr="006C362A">
        <w:tblPrEx>
          <w:tblBorders>
            <w:top w:val="none" w:sz="0" w:space="0" w:color="auto"/>
            <w:bottom w:val="none" w:sz="0" w:space="0" w:color="auto"/>
          </w:tblBorders>
        </w:tblPrEx>
        <w:trPr>
          <w:cantSplit/>
        </w:trPr>
        <w:tc>
          <w:tcPr>
            <w:tcW w:w="1510" w:type="pct"/>
            <w:shd w:val="clear" w:color="auto" w:fill="auto"/>
          </w:tcPr>
          <w:p w:rsidR="00303534" w:rsidRPr="004E278C" w:rsidRDefault="00D30277" w:rsidP="00D30277">
            <w:pPr>
              <w:pStyle w:val="ENoteTableText"/>
              <w:tabs>
                <w:tab w:val="center" w:leader="dot" w:pos="2268"/>
              </w:tabs>
            </w:pPr>
            <w:r w:rsidRPr="004E278C">
              <w:t xml:space="preserve">r </w:t>
            </w:r>
            <w:r w:rsidR="00303534" w:rsidRPr="004E278C">
              <w:t>4B</w:t>
            </w:r>
            <w:r w:rsidR="00303534" w:rsidRPr="004E278C">
              <w:tab/>
            </w:r>
          </w:p>
        </w:tc>
        <w:tc>
          <w:tcPr>
            <w:tcW w:w="3490" w:type="pct"/>
            <w:shd w:val="clear" w:color="auto" w:fill="auto"/>
          </w:tcPr>
          <w:p w:rsidR="00303534" w:rsidRPr="004E278C" w:rsidRDefault="00303534" w:rsidP="008C26A7">
            <w:pPr>
              <w:pStyle w:val="ENoteTableText"/>
            </w:pPr>
            <w:r w:rsidRPr="004E278C">
              <w:t>ad No</w:t>
            </w:r>
            <w:r w:rsidR="00690B37" w:rsidRPr="004E278C">
              <w:t> </w:t>
            </w:r>
            <w:r w:rsidRPr="004E278C">
              <w:t>17</w:t>
            </w:r>
            <w:r w:rsidR="008A0B4C" w:rsidRPr="004E278C">
              <w:t>, 1992</w:t>
            </w:r>
          </w:p>
        </w:tc>
      </w:tr>
      <w:tr w:rsidR="00303534" w:rsidRPr="004E278C" w:rsidTr="006C362A">
        <w:tblPrEx>
          <w:tblBorders>
            <w:top w:val="none" w:sz="0" w:space="0" w:color="auto"/>
            <w:bottom w:val="none" w:sz="0" w:space="0" w:color="auto"/>
          </w:tblBorders>
        </w:tblPrEx>
        <w:trPr>
          <w:cantSplit/>
        </w:trPr>
        <w:tc>
          <w:tcPr>
            <w:tcW w:w="1510" w:type="pct"/>
            <w:shd w:val="clear" w:color="auto" w:fill="auto"/>
          </w:tcPr>
          <w:p w:rsidR="00303534" w:rsidRPr="004E278C" w:rsidRDefault="00303534" w:rsidP="003676F7">
            <w:pPr>
              <w:pStyle w:val="ENoteTableText"/>
              <w:tabs>
                <w:tab w:val="center" w:leader="dot" w:pos="2268"/>
              </w:tabs>
            </w:pPr>
          </w:p>
        </w:tc>
        <w:tc>
          <w:tcPr>
            <w:tcW w:w="3490" w:type="pct"/>
            <w:shd w:val="clear" w:color="auto" w:fill="auto"/>
          </w:tcPr>
          <w:p w:rsidR="00303534" w:rsidRPr="004E278C" w:rsidRDefault="00303534" w:rsidP="008C26A7">
            <w:pPr>
              <w:pStyle w:val="ENoteTableText"/>
            </w:pPr>
            <w:r w:rsidRPr="004E278C">
              <w:t>rs No</w:t>
            </w:r>
            <w:r w:rsidR="00690B37" w:rsidRPr="004E278C">
              <w:t> </w:t>
            </w:r>
            <w:r w:rsidRPr="004E278C">
              <w:t>232</w:t>
            </w:r>
            <w:r w:rsidR="008A0B4C" w:rsidRPr="004E278C">
              <w:t>, 2001</w:t>
            </w:r>
          </w:p>
        </w:tc>
      </w:tr>
      <w:tr w:rsidR="008336E3" w:rsidRPr="004E278C" w:rsidTr="006C362A">
        <w:tblPrEx>
          <w:tblBorders>
            <w:top w:val="none" w:sz="0" w:space="0" w:color="auto"/>
            <w:bottom w:val="none" w:sz="0" w:space="0" w:color="auto"/>
          </w:tblBorders>
        </w:tblPrEx>
        <w:trPr>
          <w:cantSplit/>
        </w:trPr>
        <w:tc>
          <w:tcPr>
            <w:tcW w:w="1510" w:type="pct"/>
            <w:shd w:val="clear" w:color="auto" w:fill="auto"/>
          </w:tcPr>
          <w:p w:rsidR="008336E3" w:rsidRPr="004E278C" w:rsidRDefault="008336E3" w:rsidP="003676F7">
            <w:pPr>
              <w:pStyle w:val="ENoteTableText"/>
              <w:tabs>
                <w:tab w:val="center" w:leader="dot" w:pos="2268"/>
              </w:tabs>
            </w:pPr>
          </w:p>
        </w:tc>
        <w:tc>
          <w:tcPr>
            <w:tcW w:w="3490" w:type="pct"/>
            <w:shd w:val="clear" w:color="auto" w:fill="auto"/>
          </w:tcPr>
          <w:p w:rsidR="008336E3" w:rsidRPr="004E278C" w:rsidRDefault="008336E3" w:rsidP="008C26A7">
            <w:pPr>
              <w:pStyle w:val="ENoteTableText"/>
            </w:pPr>
            <w:r w:rsidRPr="004E278C">
              <w:t>am F2019L01581</w:t>
            </w:r>
          </w:p>
        </w:tc>
      </w:tr>
      <w:tr w:rsidR="008336E3" w:rsidRPr="004E278C" w:rsidTr="006C362A">
        <w:tblPrEx>
          <w:tblBorders>
            <w:top w:val="none" w:sz="0" w:space="0" w:color="auto"/>
            <w:bottom w:val="none" w:sz="0" w:space="0" w:color="auto"/>
          </w:tblBorders>
        </w:tblPrEx>
        <w:trPr>
          <w:cantSplit/>
        </w:trPr>
        <w:tc>
          <w:tcPr>
            <w:tcW w:w="1510" w:type="pct"/>
            <w:shd w:val="clear" w:color="auto" w:fill="auto"/>
          </w:tcPr>
          <w:p w:rsidR="008336E3" w:rsidRPr="004E278C" w:rsidRDefault="008336E3" w:rsidP="00E27B73">
            <w:pPr>
              <w:pStyle w:val="ENoteTableText"/>
              <w:tabs>
                <w:tab w:val="center" w:leader="dot" w:pos="2268"/>
              </w:tabs>
            </w:pPr>
            <w:r w:rsidRPr="004E278C">
              <w:t>r</w:t>
            </w:r>
            <w:r w:rsidR="00E27B73" w:rsidRPr="004E278C">
              <w:t xml:space="preserve"> </w:t>
            </w:r>
            <w:r w:rsidRPr="004E278C">
              <w:t>4BA</w:t>
            </w:r>
            <w:r w:rsidRPr="004E278C">
              <w:tab/>
            </w:r>
          </w:p>
        </w:tc>
        <w:tc>
          <w:tcPr>
            <w:tcW w:w="3490" w:type="pct"/>
            <w:shd w:val="clear" w:color="auto" w:fill="auto"/>
          </w:tcPr>
          <w:p w:rsidR="008336E3" w:rsidRPr="004E278C" w:rsidRDefault="008336E3" w:rsidP="008C26A7">
            <w:pPr>
              <w:pStyle w:val="ENoteTableText"/>
            </w:pPr>
            <w:r w:rsidRPr="004E278C">
              <w:t>ad F2019L01581</w:t>
            </w:r>
          </w:p>
        </w:tc>
      </w:tr>
      <w:tr w:rsidR="00303534" w:rsidRPr="004E278C" w:rsidTr="006C362A">
        <w:tblPrEx>
          <w:tblBorders>
            <w:top w:val="none" w:sz="0" w:space="0" w:color="auto"/>
            <w:bottom w:val="none" w:sz="0" w:space="0" w:color="auto"/>
          </w:tblBorders>
        </w:tblPrEx>
        <w:trPr>
          <w:cantSplit/>
        </w:trPr>
        <w:tc>
          <w:tcPr>
            <w:tcW w:w="1510" w:type="pct"/>
            <w:shd w:val="clear" w:color="auto" w:fill="auto"/>
          </w:tcPr>
          <w:p w:rsidR="00303534" w:rsidRPr="004E278C" w:rsidRDefault="00D30277" w:rsidP="00D30277">
            <w:pPr>
              <w:pStyle w:val="ENoteTableText"/>
              <w:tabs>
                <w:tab w:val="center" w:leader="dot" w:pos="2268"/>
              </w:tabs>
            </w:pPr>
            <w:r w:rsidRPr="004E278C">
              <w:t xml:space="preserve">r </w:t>
            </w:r>
            <w:r w:rsidR="00303534" w:rsidRPr="004E278C">
              <w:t>4C</w:t>
            </w:r>
            <w:r w:rsidR="00303534" w:rsidRPr="004E278C">
              <w:tab/>
            </w:r>
          </w:p>
        </w:tc>
        <w:tc>
          <w:tcPr>
            <w:tcW w:w="3490" w:type="pct"/>
            <w:shd w:val="clear" w:color="auto" w:fill="auto"/>
          </w:tcPr>
          <w:p w:rsidR="00303534" w:rsidRPr="004E278C" w:rsidRDefault="00303534" w:rsidP="008C26A7">
            <w:pPr>
              <w:pStyle w:val="ENoteTableText"/>
            </w:pPr>
            <w:r w:rsidRPr="004E278C">
              <w:t>ad No</w:t>
            </w:r>
            <w:r w:rsidR="00690B37" w:rsidRPr="004E278C">
              <w:t> </w:t>
            </w:r>
            <w:r w:rsidRPr="004E278C">
              <w:t>17</w:t>
            </w:r>
            <w:r w:rsidR="008A0B4C" w:rsidRPr="004E278C">
              <w:t>, 1992</w:t>
            </w:r>
          </w:p>
        </w:tc>
      </w:tr>
      <w:tr w:rsidR="00303534" w:rsidRPr="004E278C" w:rsidTr="006C362A">
        <w:tblPrEx>
          <w:tblBorders>
            <w:top w:val="none" w:sz="0" w:space="0" w:color="auto"/>
            <w:bottom w:val="none" w:sz="0" w:space="0" w:color="auto"/>
          </w:tblBorders>
        </w:tblPrEx>
        <w:trPr>
          <w:cantSplit/>
        </w:trPr>
        <w:tc>
          <w:tcPr>
            <w:tcW w:w="1510" w:type="pct"/>
            <w:shd w:val="clear" w:color="auto" w:fill="auto"/>
          </w:tcPr>
          <w:p w:rsidR="00303534" w:rsidRPr="004E278C" w:rsidRDefault="00303534" w:rsidP="003676F7">
            <w:pPr>
              <w:pStyle w:val="ENoteTableText"/>
              <w:tabs>
                <w:tab w:val="center" w:leader="dot" w:pos="2268"/>
              </w:tabs>
            </w:pPr>
          </w:p>
        </w:tc>
        <w:tc>
          <w:tcPr>
            <w:tcW w:w="3490" w:type="pct"/>
            <w:shd w:val="clear" w:color="auto" w:fill="auto"/>
          </w:tcPr>
          <w:p w:rsidR="00303534" w:rsidRPr="004E278C" w:rsidRDefault="00303534" w:rsidP="008C26A7">
            <w:pPr>
              <w:pStyle w:val="ENoteTableText"/>
            </w:pPr>
            <w:r w:rsidRPr="004E278C">
              <w:t>rs No</w:t>
            </w:r>
            <w:r w:rsidR="00690B37" w:rsidRPr="004E278C">
              <w:t> </w:t>
            </w:r>
            <w:r w:rsidRPr="004E278C">
              <w:t>232</w:t>
            </w:r>
            <w:r w:rsidR="008A0B4C" w:rsidRPr="004E278C">
              <w:t>, 2001</w:t>
            </w:r>
          </w:p>
        </w:tc>
      </w:tr>
      <w:tr w:rsidR="00303534" w:rsidRPr="004E278C" w:rsidTr="006C362A">
        <w:tblPrEx>
          <w:tblBorders>
            <w:top w:val="none" w:sz="0" w:space="0" w:color="auto"/>
            <w:bottom w:val="none" w:sz="0" w:space="0" w:color="auto"/>
          </w:tblBorders>
        </w:tblPrEx>
        <w:trPr>
          <w:cantSplit/>
        </w:trPr>
        <w:tc>
          <w:tcPr>
            <w:tcW w:w="1510" w:type="pct"/>
            <w:shd w:val="clear" w:color="auto" w:fill="auto"/>
          </w:tcPr>
          <w:p w:rsidR="00303534" w:rsidRPr="004E278C" w:rsidRDefault="00D30277" w:rsidP="00D30277">
            <w:pPr>
              <w:pStyle w:val="ENoteTableText"/>
              <w:tabs>
                <w:tab w:val="center" w:leader="dot" w:pos="2268"/>
              </w:tabs>
            </w:pPr>
            <w:r w:rsidRPr="004E278C">
              <w:t xml:space="preserve">r </w:t>
            </w:r>
            <w:r w:rsidR="00303534" w:rsidRPr="004E278C">
              <w:t>4D</w:t>
            </w:r>
            <w:r w:rsidR="00303534" w:rsidRPr="004E278C">
              <w:tab/>
            </w:r>
          </w:p>
        </w:tc>
        <w:tc>
          <w:tcPr>
            <w:tcW w:w="3490" w:type="pct"/>
            <w:shd w:val="clear" w:color="auto" w:fill="auto"/>
          </w:tcPr>
          <w:p w:rsidR="00303534" w:rsidRPr="004E278C" w:rsidRDefault="00303534" w:rsidP="008C26A7">
            <w:pPr>
              <w:pStyle w:val="ENoteTableText"/>
            </w:pPr>
            <w:r w:rsidRPr="004E278C">
              <w:t>ad No</w:t>
            </w:r>
            <w:r w:rsidR="00690B37" w:rsidRPr="004E278C">
              <w:t> </w:t>
            </w:r>
            <w:r w:rsidRPr="004E278C">
              <w:t>239</w:t>
            </w:r>
            <w:r w:rsidR="008A0B4C" w:rsidRPr="004E278C">
              <w:t>, 1996</w:t>
            </w:r>
          </w:p>
        </w:tc>
      </w:tr>
      <w:tr w:rsidR="00303534" w:rsidRPr="004E278C" w:rsidTr="006C362A">
        <w:tblPrEx>
          <w:tblBorders>
            <w:top w:val="none" w:sz="0" w:space="0" w:color="auto"/>
            <w:bottom w:val="none" w:sz="0" w:space="0" w:color="auto"/>
          </w:tblBorders>
        </w:tblPrEx>
        <w:trPr>
          <w:cantSplit/>
        </w:trPr>
        <w:tc>
          <w:tcPr>
            <w:tcW w:w="1510" w:type="pct"/>
            <w:shd w:val="clear" w:color="auto" w:fill="auto"/>
          </w:tcPr>
          <w:p w:rsidR="00303534" w:rsidRPr="004E278C" w:rsidRDefault="00303534" w:rsidP="003676F7">
            <w:pPr>
              <w:pStyle w:val="ENoteTableText"/>
              <w:tabs>
                <w:tab w:val="center" w:leader="dot" w:pos="2268"/>
              </w:tabs>
            </w:pPr>
          </w:p>
        </w:tc>
        <w:tc>
          <w:tcPr>
            <w:tcW w:w="3490" w:type="pct"/>
            <w:shd w:val="clear" w:color="auto" w:fill="auto"/>
          </w:tcPr>
          <w:p w:rsidR="00303534" w:rsidRPr="004E278C" w:rsidRDefault="00303534" w:rsidP="008C26A7">
            <w:pPr>
              <w:pStyle w:val="ENoteTableText"/>
            </w:pPr>
            <w:r w:rsidRPr="004E278C">
              <w:t>rs No</w:t>
            </w:r>
            <w:r w:rsidR="00690B37" w:rsidRPr="004E278C">
              <w:t> </w:t>
            </w:r>
            <w:r w:rsidRPr="004E278C">
              <w:t>232</w:t>
            </w:r>
            <w:r w:rsidR="008A0B4C" w:rsidRPr="004E278C">
              <w:t>, 2001</w:t>
            </w:r>
          </w:p>
        </w:tc>
      </w:tr>
      <w:tr w:rsidR="00303534" w:rsidRPr="004E278C" w:rsidTr="006C362A">
        <w:tblPrEx>
          <w:tblBorders>
            <w:top w:val="none" w:sz="0" w:space="0" w:color="auto"/>
            <w:bottom w:val="none" w:sz="0" w:space="0" w:color="auto"/>
          </w:tblBorders>
        </w:tblPrEx>
        <w:trPr>
          <w:cantSplit/>
        </w:trPr>
        <w:tc>
          <w:tcPr>
            <w:tcW w:w="1510" w:type="pct"/>
            <w:shd w:val="clear" w:color="auto" w:fill="auto"/>
          </w:tcPr>
          <w:p w:rsidR="00303534" w:rsidRPr="004E278C" w:rsidRDefault="00D30277" w:rsidP="00D30277">
            <w:pPr>
              <w:pStyle w:val="ENoteTableText"/>
              <w:tabs>
                <w:tab w:val="center" w:leader="dot" w:pos="2268"/>
              </w:tabs>
            </w:pPr>
            <w:r w:rsidRPr="004E278C">
              <w:t xml:space="preserve">r </w:t>
            </w:r>
            <w:r w:rsidR="00303534" w:rsidRPr="004E278C">
              <w:t>4E</w:t>
            </w:r>
            <w:r w:rsidR="00303534" w:rsidRPr="004E278C">
              <w:tab/>
            </w:r>
          </w:p>
        </w:tc>
        <w:tc>
          <w:tcPr>
            <w:tcW w:w="3490" w:type="pct"/>
            <w:shd w:val="clear" w:color="auto" w:fill="auto"/>
          </w:tcPr>
          <w:p w:rsidR="00303534" w:rsidRPr="004E278C" w:rsidRDefault="00303534" w:rsidP="008C26A7">
            <w:pPr>
              <w:pStyle w:val="ENoteTableText"/>
            </w:pPr>
            <w:r w:rsidRPr="004E278C">
              <w:t>ad No</w:t>
            </w:r>
            <w:r w:rsidR="00690B37" w:rsidRPr="004E278C">
              <w:t> </w:t>
            </w:r>
            <w:r w:rsidRPr="004E278C">
              <w:t>232</w:t>
            </w:r>
            <w:r w:rsidR="008A0B4C" w:rsidRPr="004E278C">
              <w:t>, 2001</w:t>
            </w:r>
          </w:p>
        </w:tc>
      </w:tr>
      <w:tr w:rsidR="00303534" w:rsidRPr="004E278C" w:rsidTr="006C362A">
        <w:tblPrEx>
          <w:tblBorders>
            <w:top w:val="none" w:sz="0" w:space="0" w:color="auto"/>
            <w:bottom w:val="none" w:sz="0" w:space="0" w:color="auto"/>
          </w:tblBorders>
        </w:tblPrEx>
        <w:trPr>
          <w:cantSplit/>
        </w:trPr>
        <w:tc>
          <w:tcPr>
            <w:tcW w:w="1510" w:type="pct"/>
            <w:shd w:val="clear" w:color="auto" w:fill="auto"/>
          </w:tcPr>
          <w:p w:rsidR="00303534" w:rsidRPr="004E278C" w:rsidRDefault="00D30277" w:rsidP="00D30277">
            <w:pPr>
              <w:pStyle w:val="ENoteTableText"/>
              <w:tabs>
                <w:tab w:val="center" w:leader="dot" w:pos="2268"/>
              </w:tabs>
            </w:pPr>
            <w:r w:rsidRPr="004E278C">
              <w:t xml:space="preserve">r </w:t>
            </w:r>
            <w:r w:rsidR="00303534" w:rsidRPr="004E278C">
              <w:t>5</w:t>
            </w:r>
            <w:r w:rsidR="00303534" w:rsidRPr="004E278C">
              <w:tab/>
            </w:r>
          </w:p>
        </w:tc>
        <w:tc>
          <w:tcPr>
            <w:tcW w:w="3490" w:type="pct"/>
            <w:shd w:val="clear" w:color="auto" w:fill="auto"/>
          </w:tcPr>
          <w:p w:rsidR="00303534" w:rsidRPr="004E278C" w:rsidRDefault="00303534" w:rsidP="008C26A7">
            <w:pPr>
              <w:pStyle w:val="ENoteTableText"/>
            </w:pPr>
            <w:r w:rsidRPr="004E278C">
              <w:t>am No</w:t>
            </w:r>
            <w:r w:rsidR="00690B37" w:rsidRPr="004E278C">
              <w:t> </w:t>
            </w:r>
            <w:r w:rsidRPr="004E278C">
              <w:t>17</w:t>
            </w:r>
            <w:r w:rsidR="00E16E01" w:rsidRPr="004E278C">
              <w:t xml:space="preserve">, 1992; </w:t>
            </w:r>
            <w:r w:rsidR="00232805" w:rsidRPr="004E278C">
              <w:t xml:space="preserve">No </w:t>
            </w:r>
            <w:r w:rsidR="00E16E01" w:rsidRPr="004E278C">
              <w:t>93, 2015</w:t>
            </w:r>
          </w:p>
        </w:tc>
      </w:tr>
      <w:tr w:rsidR="00303534" w:rsidRPr="004E278C" w:rsidTr="006C362A">
        <w:tblPrEx>
          <w:tblBorders>
            <w:top w:val="none" w:sz="0" w:space="0" w:color="auto"/>
            <w:bottom w:val="none" w:sz="0" w:space="0" w:color="auto"/>
          </w:tblBorders>
        </w:tblPrEx>
        <w:trPr>
          <w:cantSplit/>
        </w:trPr>
        <w:tc>
          <w:tcPr>
            <w:tcW w:w="1510" w:type="pct"/>
            <w:tcBorders>
              <w:bottom w:val="single" w:sz="12" w:space="0" w:color="auto"/>
            </w:tcBorders>
            <w:shd w:val="clear" w:color="auto" w:fill="auto"/>
          </w:tcPr>
          <w:p w:rsidR="00303534" w:rsidRPr="004E278C" w:rsidRDefault="00D30277" w:rsidP="00D30277">
            <w:pPr>
              <w:pStyle w:val="ENoteTableText"/>
              <w:tabs>
                <w:tab w:val="center" w:leader="dot" w:pos="2268"/>
              </w:tabs>
            </w:pPr>
            <w:r w:rsidRPr="004E278C">
              <w:t xml:space="preserve">r </w:t>
            </w:r>
            <w:r w:rsidR="00303534" w:rsidRPr="004E278C">
              <w:t>6</w:t>
            </w:r>
            <w:r w:rsidR="00303534" w:rsidRPr="004E278C">
              <w:tab/>
            </w:r>
          </w:p>
        </w:tc>
        <w:tc>
          <w:tcPr>
            <w:tcW w:w="3490" w:type="pct"/>
            <w:tcBorders>
              <w:bottom w:val="single" w:sz="12" w:space="0" w:color="auto"/>
            </w:tcBorders>
            <w:shd w:val="clear" w:color="auto" w:fill="auto"/>
          </w:tcPr>
          <w:p w:rsidR="00303534" w:rsidRPr="004E278C" w:rsidRDefault="00303534" w:rsidP="008C26A7">
            <w:pPr>
              <w:pStyle w:val="ENoteTableText"/>
            </w:pPr>
            <w:r w:rsidRPr="004E278C">
              <w:t>am No</w:t>
            </w:r>
            <w:r w:rsidR="00690B37" w:rsidRPr="004E278C">
              <w:t> </w:t>
            </w:r>
            <w:r w:rsidRPr="004E278C">
              <w:t>17</w:t>
            </w:r>
            <w:r w:rsidR="008170B3" w:rsidRPr="004E278C">
              <w:t>, 1992</w:t>
            </w:r>
          </w:p>
        </w:tc>
      </w:tr>
    </w:tbl>
    <w:p w:rsidR="004B49F8" w:rsidRPr="009F7D66" w:rsidRDefault="004B49F8" w:rsidP="009F7D66">
      <w:pPr>
        <w:pStyle w:val="Tabletext"/>
      </w:pPr>
    </w:p>
    <w:p w:rsidR="00C02E8B" w:rsidRPr="004E278C" w:rsidRDefault="00C02E8B" w:rsidP="00C04118">
      <w:pPr>
        <w:sectPr w:rsidR="00C02E8B" w:rsidRPr="004E278C" w:rsidSect="00407681">
          <w:headerReference w:type="even" r:id="rId29"/>
          <w:headerReference w:type="default" r:id="rId30"/>
          <w:footerReference w:type="even" r:id="rId31"/>
          <w:footerReference w:type="default" r:id="rId32"/>
          <w:pgSz w:w="11907" w:h="16839"/>
          <w:pgMar w:top="2325" w:right="1797" w:bottom="1440" w:left="1797" w:header="720" w:footer="709" w:gutter="0"/>
          <w:cols w:space="708"/>
          <w:docGrid w:linePitch="360"/>
        </w:sectPr>
      </w:pPr>
    </w:p>
    <w:p w:rsidR="000A45F0" w:rsidRPr="004E278C" w:rsidRDefault="000A45F0" w:rsidP="004B49F8"/>
    <w:sectPr w:rsidR="000A45F0" w:rsidRPr="004E278C" w:rsidSect="00407681">
      <w:headerReference w:type="even" r:id="rId33"/>
      <w:headerReference w:type="default" r:id="rId34"/>
      <w:footerReference w:type="even" r:id="rId35"/>
      <w:footerReference w:type="default" r:id="rId36"/>
      <w:headerReference w:type="first" r:id="rId37"/>
      <w:type w:val="continuous"/>
      <w:pgSz w:w="11907" w:h="1683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14BC" w:rsidRDefault="00B814BC">
      <w:r>
        <w:separator/>
      </w:r>
    </w:p>
  </w:endnote>
  <w:endnote w:type="continuationSeparator" w:id="0">
    <w:p w:rsidR="00B814BC" w:rsidRDefault="00B81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4BC" w:rsidRDefault="00B814BC">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4BC" w:rsidRPr="007B3B51" w:rsidRDefault="00B814BC" w:rsidP="0096725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814BC" w:rsidRPr="007B3B51" w:rsidTr="006C362A">
      <w:tc>
        <w:tcPr>
          <w:tcW w:w="854" w:type="pct"/>
        </w:tcPr>
        <w:p w:rsidR="00B814BC" w:rsidRPr="007B3B51" w:rsidRDefault="00B814BC" w:rsidP="00967250">
          <w:pPr>
            <w:rPr>
              <w:i/>
              <w:sz w:val="16"/>
              <w:szCs w:val="16"/>
            </w:rPr>
          </w:pPr>
        </w:p>
      </w:tc>
      <w:tc>
        <w:tcPr>
          <w:tcW w:w="3688" w:type="pct"/>
          <w:gridSpan w:val="3"/>
        </w:tcPr>
        <w:p w:rsidR="00B814BC" w:rsidRPr="007B3B51" w:rsidRDefault="00B814BC" w:rsidP="0096725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07681">
            <w:rPr>
              <w:i/>
              <w:noProof/>
              <w:sz w:val="16"/>
              <w:szCs w:val="16"/>
            </w:rPr>
            <w:t>Fisheries Research and Development Corporation Regulations 1991</w:t>
          </w:r>
          <w:r w:rsidRPr="007B3B51">
            <w:rPr>
              <w:i/>
              <w:sz w:val="16"/>
              <w:szCs w:val="16"/>
            </w:rPr>
            <w:fldChar w:fldCharType="end"/>
          </w:r>
        </w:p>
      </w:tc>
      <w:tc>
        <w:tcPr>
          <w:tcW w:w="458" w:type="pct"/>
        </w:tcPr>
        <w:p w:rsidR="00B814BC" w:rsidRPr="007B3B51" w:rsidRDefault="00B814BC" w:rsidP="0096725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11</w:t>
          </w:r>
          <w:r w:rsidRPr="007B3B51">
            <w:rPr>
              <w:i/>
              <w:sz w:val="16"/>
              <w:szCs w:val="16"/>
            </w:rPr>
            <w:fldChar w:fldCharType="end"/>
          </w:r>
        </w:p>
      </w:tc>
    </w:tr>
    <w:tr w:rsidR="00B814BC" w:rsidRPr="00130F37" w:rsidTr="006C362A">
      <w:tc>
        <w:tcPr>
          <w:tcW w:w="1499" w:type="pct"/>
          <w:gridSpan w:val="2"/>
        </w:tcPr>
        <w:p w:rsidR="00B814BC" w:rsidRPr="00130F37" w:rsidRDefault="00B814BC" w:rsidP="0096725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94A83">
            <w:rPr>
              <w:sz w:val="16"/>
              <w:szCs w:val="16"/>
            </w:rPr>
            <w:t>23</w:t>
          </w:r>
          <w:r w:rsidRPr="00130F37">
            <w:rPr>
              <w:sz w:val="16"/>
              <w:szCs w:val="16"/>
            </w:rPr>
            <w:fldChar w:fldCharType="end"/>
          </w:r>
        </w:p>
      </w:tc>
      <w:tc>
        <w:tcPr>
          <w:tcW w:w="1999" w:type="pct"/>
        </w:tcPr>
        <w:p w:rsidR="00B814BC" w:rsidRPr="00130F37" w:rsidRDefault="00B814BC" w:rsidP="0096725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994A83">
            <w:rPr>
              <w:sz w:val="16"/>
              <w:szCs w:val="16"/>
            </w:rPr>
            <w:t>16/06/2021</w:t>
          </w:r>
          <w:r w:rsidRPr="00130F37">
            <w:rPr>
              <w:sz w:val="16"/>
              <w:szCs w:val="16"/>
            </w:rPr>
            <w:fldChar w:fldCharType="end"/>
          </w:r>
        </w:p>
      </w:tc>
      <w:tc>
        <w:tcPr>
          <w:tcW w:w="1502" w:type="pct"/>
          <w:gridSpan w:val="2"/>
        </w:tcPr>
        <w:p w:rsidR="00B814BC" w:rsidRPr="00130F37" w:rsidRDefault="00B814BC" w:rsidP="0096725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94A83">
            <w:rPr>
              <w:sz w:val="16"/>
              <w:szCs w:val="16"/>
            </w:rPr>
            <w:instrText>22/06/2021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994A83">
            <w:rPr>
              <w:sz w:val="16"/>
              <w:szCs w:val="16"/>
            </w:rPr>
            <w:instrText>22/06/2021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94A83">
            <w:rPr>
              <w:noProof/>
              <w:sz w:val="16"/>
              <w:szCs w:val="16"/>
            </w:rPr>
            <w:t>22/06/2021</w:t>
          </w:r>
          <w:r w:rsidRPr="00130F37">
            <w:rPr>
              <w:sz w:val="16"/>
              <w:szCs w:val="16"/>
            </w:rPr>
            <w:fldChar w:fldCharType="end"/>
          </w:r>
        </w:p>
      </w:tc>
    </w:tr>
  </w:tbl>
  <w:p w:rsidR="00B814BC" w:rsidRPr="005C4BBD" w:rsidRDefault="00B814BC" w:rsidP="005C4BB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4BC" w:rsidRPr="007B3B51" w:rsidRDefault="00B814BC" w:rsidP="0096725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814BC" w:rsidRPr="007B3B51" w:rsidTr="006C362A">
      <w:tc>
        <w:tcPr>
          <w:tcW w:w="854" w:type="pct"/>
        </w:tcPr>
        <w:p w:rsidR="00B814BC" w:rsidRPr="007B3B51" w:rsidRDefault="00B814BC" w:rsidP="0096725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12</w:t>
          </w:r>
          <w:r w:rsidRPr="007B3B51">
            <w:rPr>
              <w:i/>
              <w:sz w:val="16"/>
              <w:szCs w:val="16"/>
            </w:rPr>
            <w:fldChar w:fldCharType="end"/>
          </w:r>
        </w:p>
      </w:tc>
      <w:tc>
        <w:tcPr>
          <w:tcW w:w="3688" w:type="pct"/>
          <w:gridSpan w:val="3"/>
        </w:tcPr>
        <w:p w:rsidR="00B814BC" w:rsidRPr="007B3B51" w:rsidRDefault="00B814BC" w:rsidP="0096725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94A83">
            <w:rPr>
              <w:i/>
              <w:noProof/>
              <w:sz w:val="16"/>
              <w:szCs w:val="16"/>
            </w:rPr>
            <w:t>Fisheries Research and Development Corporation Regulations 1991</w:t>
          </w:r>
          <w:r w:rsidRPr="007B3B51">
            <w:rPr>
              <w:i/>
              <w:sz w:val="16"/>
              <w:szCs w:val="16"/>
            </w:rPr>
            <w:fldChar w:fldCharType="end"/>
          </w:r>
        </w:p>
      </w:tc>
      <w:tc>
        <w:tcPr>
          <w:tcW w:w="458" w:type="pct"/>
        </w:tcPr>
        <w:p w:rsidR="00B814BC" w:rsidRPr="007B3B51" w:rsidRDefault="00B814BC" w:rsidP="00967250">
          <w:pPr>
            <w:jc w:val="right"/>
            <w:rPr>
              <w:sz w:val="16"/>
              <w:szCs w:val="16"/>
            </w:rPr>
          </w:pPr>
        </w:p>
      </w:tc>
    </w:tr>
    <w:tr w:rsidR="00B814BC" w:rsidRPr="0055472E" w:rsidTr="006C362A">
      <w:tc>
        <w:tcPr>
          <w:tcW w:w="1499" w:type="pct"/>
          <w:gridSpan w:val="2"/>
        </w:tcPr>
        <w:p w:rsidR="00B814BC" w:rsidRPr="0055472E" w:rsidRDefault="00B814BC" w:rsidP="0096725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94A83">
            <w:rPr>
              <w:sz w:val="16"/>
              <w:szCs w:val="16"/>
            </w:rPr>
            <w:t>23</w:t>
          </w:r>
          <w:r w:rsidRPr="0055472E">
            <w:rPr>
              <w:sz w:val="16"/>
              <w:szCs w:val="16"/>
            </w:rPr>
            <w:fldChar w:fldCharType="end"/>
          </w:r>
        </w:p>
      </w:tc>
      <w:tc>
        <w:tcPr>
          <w:tcW w:w="1999" w:type="pct"/>
        </w:tcPr>
        <w:p w:rsidR="00B814BC" w:rsidRPr="0055472E" w:rsidRDefault="00B814BC" w:rsidP="0096725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994A83">
            <w:rPr>
              <w:sz w:val="16"/>
              <w:szCs w:val="16"/>
            </w:rPr>
            <w:t>16/06/2021</w:t>
          </w:r>
          <w:r w:rsidRPr="0055472E">
            <w:rPr>
              <w:sz w:val="16"/>
              <w:szCs w:val="16"/>
            </w:rPr>
            <w:fldChar w:fldCharType="end"/>
          </w:r>
        </w:p>
      </w:tc>
      <w:tc>
        <w:tcPr>
          <w:tcW w:w="1502" w:type="pct"/>
          <w:gridSpan w:val="2"/>
        </w:tcPr>
        <w:p w:rsidR="00B814BC" w:rsidRPr="0055472E" w:rsidRDefault="00B814BC" w:rsidP="0096725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94A83">
            <w:rPr>
              <w:sz w:val="16"/>
              <w:szCs w:val="16"/>
            </w:rPr>
            <w:instrText>22/06/2021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994A83">
            <w:rPr>
              <w:sz w:val="16"/>
              <w:szCs w:val="16"/>
            </w:rPr>
            <w:instrText>22/06/2021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94A83">
            <w:rPr>
              <w:noProof/>
              <w:sz w:val="16"/>
              <w:szCs w:val="16"/>
            </w:rPr>
            <w:t>22/06/2021</w:t>
          </w:r>
          <w:r w:rsidRPr="0055472E">
            <w:rPr>
              <w:sz w:val="16"/>
              <w:szCs w:val="16"/>
            </w:rPr>
            <w:fldChar w:fldCharType="end"/>
          </w:r>
        </w:p>
      </w:tc>
    </w:tr>
  </w:tbl>
  <w:p w:rsidR="00B814BC" w:rsidRPr="005C4BBD" w:rsidRDefault="00B814BC" w:rsidP="005C4BBD">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4BC" w:rsidRPr="007B3B51" w:rsidRDefault="00B814BC" w:rsidP="0096725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814BC" w:rsidRPr="007B3B51" w:rsidTr="006C362A">
      <w:tc>
        <w:tcPr>
          <w:tcW w:w="854" w:type="pct"/>
        </w:tcPr>
        <w:p w:rsidR="00B814BC" w:rsidRPr="007B3B51" w:rsidRDefault="00B814BC" w:rsidP="00967250">
          <w:pPr>
            <w:rPr>
              <w:i/>
              <w:sz w:val="16"/>
              <w:szCs w:val="16"/>
            </w:rPr>
          </w:pPr>
        </w:p>
      </w:tc>
      <w:tc>
        <w:tcPr>
          <w:tcW w:w="3688" w:type="pct"/>
          <w:gridSpan w:val="3"/>
        </w:tcPr>
        <w:p w:rsidR="00B814BC" w:rsidRPr="007B3B51" w:rsidRDefault="00B814BC" w:rsidP="0096725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94A83">
            <w:rPr>
              <w:i/>
              <w:noProof/>
              <w:sz w:val="16"/>
              <w:szCs w:val="16"/>
            </w:rPr>
            <w:t>Fisheries Research and Development Corporation Regulations 1991</w:t>
          </w:r>
          <w:r w:rsidRPr="007B3B51">
            <w:rPr>
              <w:i/>
              <w:sz w:val="16"/>
              <w:szCs w:val="16"/>
            </w:rPr>
            <w:fldChar w:fldCharType="end"/>
          </w:r>
        </w:p>
      </w:tc>
      <w:tc>
        <w:tcPr>
          <w:tcW w:w="458" w:type="pct"/>
        </w:tcPr>
        <w:p w:rsidR="00B814BC" w:rsidRPr="007B3B51" w:rsidRDefault="00B814BC" w:rsidP="0096725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12</w:t>
          </w:r>
          <w:r w:rsidRPr="007B3B51">
            <w:rPr>
              <w:i/>
              <w:sz w:val="16"/>
              <w:szCs w:val="16"/>
            </w:rPr>
            <w:fldChar w:fldCharType="end"/>
          </w:r>
        </w:p>
      </w:tc>
    </w:tr>
    <w:tr w:rsidR="00B814BC" w:rsidRPr="00130F37" w:rsidTr="006C362A">
      <w:tc>
        <w:tcPr>
          <w:tcW w:w="1499" w:type="pct"/>
          <w:gridSpan w:val="2"/>
        </w:tcPr>
        <w:p w:rsidR="00B814BC" w:rsidRPr="00130F37" w:rsidRDefault="00B814BC" w:rsidP="0096725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94A83">
            <w:rPr>
              <w:sz w:val="16"/>
              <w:szCs w:val="16"/>
            </w:rPr>
            <w:t>23</w:t>
          </w:r>
          <w:r w:rsidRPr="00130F37">
            <w:rPr>
              <w:sz w:val="16"/>
              <w:szCs w:val="16"/>
            </w:rPr>
            <w:fldChar w:fldCharType="end"/>
          </w:r>
        </w:p>
      </w:tc>
      <w:tc>
        <w:tcPr>
          <w:tcW w:w="1999" w:type="pct"/>
        </w:tcPr>
        <w:p w:rsidR="00B814BC" w:rsidRPr="00130F37" w:rsidRDefault="00B814BC" w:rsidP="0096725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994A83">
            <w:rPr>
              <w:sz w:val="16"/>
              <w:szCs w:val="16"/>
            </w:rPr>
            <w:t>16/06/2021</w:t>
          </w:r>
          <w:r w:rsidRPr="00130F37">
            <w:rPr>
              <w:sz w:val="16"/>
              <w:szCs w:val="16"/>
            </w:rPr>
            <w:fldChar w:fldCharType="end"/>
          </w:r>
        </w:p>
      </w:tc>
      <w:tc>
        <w:tcPr>
          <w:tcW w:w="1502" w:type="pct"/>
          <w:gridSpan w:val="2"/>
        </w:tcPr>
        <w:p w:rsidR="00B814BC" w:rsidRPr="00130F37" w:rsidRDefault="00B814BC" w:rsidP="0096725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94A83">
            <w:rPr>
              <w:sz w:val="16"/>
              <w:szCs w:val="16"/>
            </w:rPr>
            <w:instrText>22/06/2021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994A83">
            <w:rPr>
              <w:sz w:val="16"/>
              <w:szCs w:val="16"/>
            </w:rPr>
            <w:instrText>22/06/2021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94A83">
            <w:rPr>
              <w:noProof/>
              <w:sz w:val="16"/>
              <w:szCs w:val="16"/>
            </w:rPr>
            <w:t>22/06/2021</w:t>
          </w:r>
          <w:r w:rsidRPr="00130F37">
            <w:rPr>
              <w:sz w:val="16"/>
              <w:szCs w:val="16"/>
            </w:rPr>
            <w:fldChar w:fldCharType="end"/>
          </w:r>
        </w:p>
      </w:tc>
    </w:tr>
  </w:tbl>
  <w:p w:rsidR="00B814BC" w:rsidRPr="005C4BBD" w:rsidRDefault="00B814BC" w:rsidP="005C4B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4BC" w:rsidRDefault="00B814BC" w:rsidP="00D172BC">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4BC" w:rsidRPr="00ED79B6" w:rsidRDefault="00B814BC" w:rsidP="00D172BC">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4BC" w:rsidRPr="007B3B51" w:rsidRDefault="00B814BC" w:rsidP="0096725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814BC" w:rsidRPr="007B3B51" w:rsidTr="006C362A">
      <w:tc>
        <w:tcPr>
          <w:tcW w:w="854" w:type="pct"/>
        </w:tcPr>
        <w:p w:rsidR="00B814BC" w:rsidRPr="007B3B51" w:rsidRDefault="00B814BC" w:rsidP="0096725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xii</w:t>
          </w:r>
          <w:r w:rsidRPr="007B3B51">
            <w:rPr>
              <w:i/>
              <w:sz w:val="16"/>
              <w:szCs w:val="16"/>
            </w:rPr>
            <w:fldChar w:fldCharType="end"/>
          </w:r>
        </w:p>
      </w:tc>
      <w:tc>
        <w:tcPr>
          <w:tcW w:w="3688" w:type="pct"/>
          <w:gridSpan w:val="3"/>
        </w:tcPr>
        <w:p w:rsidR="00B814BC" w:rsidRPr="007B3B51" w:rsidRDefault="00B814BC" w:rsidP="0096725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94A83">
            <w:rPr>
              <w:i/>
              <w:noProof/>
              <w:sz w:val="16"/>
              <w:szCs w:val="16"/>
            </w:rPr>
            <w:t>Fisheries Research and Development Corporation Regulations 1991</w:t>
          </w:r>
          <w:r w:rsidRPr="007B3B51">
            <w:rPr>
              <w:i/>
              <w:sz w:val="16"/>
              <w:szCs w:val="16"/>
            </w:rPr>
            <w:fldChar w:fldCharType="end"/>
          </w:r>
        </w:p>
      </w:tc>
      <w:tc>
        <w:tcPr>
          <w:tcW w:w="458" w:type="pct"/>
        </w:tcPr>
        <w:p w:rsidR="00B814BC" w:rsidRPr="007B3B51" w:rsidRDefault="00B814BC" w:rsidP="00967250">
          <w:pPr>
            <w:jc w:val="right"/>
            <w:rPr>
              <w:sz w:val="16"/>
              <w:szCs w:val="16"/>
            </w:rPr>
          </w:pPr>
        </w:p>
      </w:tc>
    </w:tr>
    <w:tr w:rsidR="00B814BC" w:rsidRPr="0055472E" w:rsidTr="006C362A">
      <w:tc>
        <w:tcPr>
          <w:tcW w:w="1499" w:type="pct"/>
          <w:gridSpan w:val="2"/>
        </w:tcPr>
        <w:p w:rsidR="00B814BC" w:rsidRPr="0055472E" w:rsidRDefault="00B814BC" w:rsidP="0096725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94A83">
            <w:rPr>
              <w:sz w:val="16"/>
              <w:szCs w:val="16"/>
            </w:rPr>
            <w:t>23</w:t>
          </w:r>
          <w:r w:rsidRPr="0055472E">
            <w:rPr>
              <w:sz w:val="16"/>
              <w:szCs w:val="16"/>
            </w:rPr>
            <w:fldChar w:fldCharType="end"/>
          </w:r>
        </w:p>
      </w:tc>
      <w:tc>
        <w:tcPr>
          <w:tcW w:w="1999" w:type="pct"/>
        </w:tcPr>
        <w:p w:rsidR="00B814BC" w:rsidRPr="0055472E" w:rsidRDefault="00B814BC" w:rsidP="0096725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994A83">
            <w:rPr>
              <w:sz w:val="16"/>
              <w:szCs w:val="16"/>
            </w:rPr>
            <w:t>16/06/2021</w:t>
          </w:r>
          <w:r w:rsidRPr="0055472E">
            <w:rPr>
              <w:sz w:val="16"/>
              <w:szCs w:val="16"/>
            </w:rPr>
            <w:fldChar w:fldCharType="end"/>
          </w:r>
        </w:p>
      </w:tc>
      <w:tc>
        <w:tcPr>
          <w:tcW w:w="1502" w:type="pct"/>
          <w:gridSpan w:val="2"/>
        </w:tcPr>
        <w:p w:rsidR="00B814BC" w:rsidRPr="0055472E" w:rsidRDefault="00B814BC" w:rsidP="0096725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94A83">
            <w:rPr>
              <w:sz w:val="16"/>
              <w:szCs w:val="16"/>
            </w:rPr>
            <w:instrText>22/06/2021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994A83">
            <w:rPr>
              <w:sz w:val="16"/>
              <w:szCs w:val="16"/>
            </w:rPr>
            <w:instrText>22/06/2021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94A83">
            <w:rPr>
              <w:noProof/>
              <w:sz w:val="16"/>
              <w:szCs w:val="16"/>
            </w:rPr>
            <w:t>22/06/2021</w:t>
          </w:r>
          <w:r w:rsidRPr="0055472E">
            <w:rPr>
              <w:sz w:val="16"/>
              <w:szCs w:val="16"/>
            </w:rPr>
            <w:fldChar w:fldCharType="end"/>
          </w:r>
        </w:p>
      </w:tc>
    </w:tr>
  </w:tbl>
  <w:p w:rsidR="00B814BC" w:rsidRPr="005C4BBD" w:rsidRDefault="00B814BC" w:rsidP="005C4BB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4BC" w:rsidRPr="007B3B51" w:rsidRDefault="00B814BC" w:rsidP="0096725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814BC" w:rsidRPr="007B3B51" w:rsidTr="006C362A">
      <w:tc>
        <w:tcPr>
          <w:tcW w:w="854" w:type="pct"/>
        </w:tcPr>
        <w:p w:rsidR="00B814BC" w:rsidRPr="007B3B51" w:rsidRDefault="00B814BC" w:rsidP="00967250">
          <w:pPr>
            <w:rPr>
              <w:i/>
              <w:sz w:val="16"/>
              <w:szCs w:val="16"/>
            </w:rPr>
          </w:pPr>
        </w:p>
      </w:tc>
      <w:tc>
        <w:tcPr>
          <w:tcW w:w="3688" w:type="pct"/>
          <w:gridSpan w:val="3"/>
        </w:tcPr>
        <w:p w:rsidR="00B814BC" w:rsidRPr="007B3B51" w:rsidRDefault="00B814BC" w:rsidP="0096725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07681">
            <w:rPr>
              <w:i/>
              <w:noProof/>
              <w:sz w:val="16"/>
              <w:szCs w:val="16"/>
            </w:rPr>
            <w:t>Fisheries Research and Development Corporation Regulations 1991</w:t>
          </w:r>
          <w:r w:rsidRPr="007B3B51">
            <w:rPr>
              <w:i/>
              <w:sz w:val="16"/>
              <w:szCs w:val="16"/>
            </w:rPr>
            <w:fldChar w:fldCharType="end"/>
          </w:r>
        </w:p>
      </w:tc>
      <w:tc>
        <w:tcPr>
          <w:tcW w:w="458" w:type="pct"/>
        </w:tcPr>
        <w:p w:rsidR="00B814BC" w:rsidRPr="007B3B51" w:rsidRDefault="00B814BC" w:rsidP="0096725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B814BC" w:rsidRPr="00130F37" w:rsidTr="006C362A">
      <w:tc>
        <w:tcPr>
          <w:tcW w:w="1499" w:type="pct"/>
          <w:gridSpan w:val="2"/>
        </w:tcPr>
        <w:p w:rsidR="00B814BC" w:rsidRPr="00130F37" w:rsidRDefault="00B814BC" w:rsidP="0096725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94A83">
            <w:rPr>
              <w:sz w:val="16"/>
              <w:szCs w:val="16"/>
            </w:rPr>
            <w:t>23</w:t>
          </w:r>
          <w:r w:rsidRPr="00130F37">
            <w:rPr>
              <w:sz w:val="16"/>
              <w:szCs w:val="16"/>
            </w:rPr>
            <w:fldChar w:fldCharType="end"/>
          </w:r>
        </w:p>
      </w:tc>
      <w:tc>
        <w:tcPr>
          <w:tcW w:w="1999" w:type="pct"/>
        </w:tcPr>
        <w:p w:rsidR="00B814BC" w:rsidRPr="00130F37" w:rsidRDefault="00B814BC" w:rsidP="0096725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994A83">
            <w:rPr>
              <w:sz w:val="16"/>
              <w:szCs w:val="16"/>
            </w:rPr>
            <w:t>16/06/2021</w:t>
          </w:r>
          <w:r w:rsidRPr="00130F37">
            <w:rPr>
              <w:sz w:val="16"/>
              <w:szCs w:val="16"/>
            </w:rPr>
            <w:fldChar w:fldCharType="end"/>
          </w:r>
        </w:p>
      </w:tc>
      <w:tc>
        <w:tcPr>
          <w:tcW w:w="1502" w:type="pct"/>
          <w:gridSpan w:val="2"/>
        </w:tcPr>
        <w:p w:rsidR="00B814BC" w:rsidRPr="00130F37" w:rsidRDefault="00B814BC" w:rsidP="0096725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94A83">
            <w:rPr>
              <w:sz w:val="16"/>
              <w:szCs w:val="16"/>
            </w:rPr>
            <w:instrText>22/06/2021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994A83">
            <w:rPr>
              <w:sz w:val="16"/>
              <w:szCs w:val="16"/>
            </w:rPr>
            <w:instrText>22/06/2021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94A83">
            <w:rPr>
              <w:noProof/>
              <w:sz w:val="16"/>
              <w:szCs w:val="16"/>
            </w:rPr>
            <w:t>22/06/2021</w:t>
          </w:r>
          <w:r w:rsidRPr="00130F37">
            <w:rPr>
              <w:sz w:val="16"/>
              <w:szCs w:val="16"/>
            </w:rPr>
            <w:fldChar w:fldCharType="end"/>
          </w:r>
        </w:p>
      </w:tc>
    </w:tr>
  </w:tbl>
  <w:p w:rsidR="00B814BC" w:rsidRPr="005C4BBD" w:rsidRDefault="00B814BC" w:rsidP="005C4BB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4BC" w:rsidRPr="007B3B51" w:rsidRDefault="00B814BC" w:rsidP="0096725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814BC" w:rsidRPr="007B3B51" w:rsidTr="006C362A">
      <w:tc>
        <w:tcPr>
          <w:tcW w:w="854" w:type="pct"/>
        </w:tcPr>
        <w:p w:rsidR="00B814BC" w:rsidRPr="007B3B51" w:rsidRDefault="00B814BC" w:rsidP="0096725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rsidR="00B814BC" w:rsidRPr="007B3B51" w:rsidRDefault="00B814BC" w:rsidP="0096725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07681">
            <w:rPr>
              <w:i/>
              <w:noProof/>
              <w:sz w:val="16"/>
              <w:szCs w:val="16"/>
            </w:rPr>
            <w:t>Fisheries Research and Development Corporation Regulations 1991</w:t>
          </w:r>
          <w:r w:rsidRPr="007B3B51">
            <w:rPr>
              <w:i/>
              <w:sz w:val="16"/>
              <w:szCs w:val="16"/>
            </w:rPr>
            <w:fldChar w:fldCharType="end"/>
          </w:r>
        </w:p>
      </w:tc>
      <w:tc>
        <w:tcPr>
          <w:tcW w:w="458" w:type="pct"/>
        </w:tcPr>
        <w:p w:rsidR="00B814BC" w:rsidRPr="007B3B51" w:rsidRDefault="00B814BC" w:rsidP="00967250">
          <w:pPr>
            <w:jc w:val="right"/>
            <w:rPr>
              <w:sz w:val="16"/>
              <w:szCs w:val="16"/>
            </w:rPr>
          </w:pPr>
        </w:p>
      </w:tc>
    </w:tr>
    <w:tr w:rsidR="00B814BC" w:rsidRPr="0055472E" w:rsidTr="006C362A">
      <w:tc>
        <w:tcPr>
          <w:tcW w:w="1499" w:type="pct"/>
          <w:gridSpan w:val="2"/>
        </w:tcPr>
        <w:p w:rsidR="00B814BC" w:rsidRPr="0055472E" w:rsidRDefault="00B814BC" w:rsidP="0096725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94A83">
            <w:rPr>
              <w:sz w:val="16"/>
              <w:szCs w:val="16"/>
            </w:rPr>
            <w:t>23</w:t>
          </w:r>
          <w:r w:rsidRPr="0055472E">
            <w:rPr>
              <w:sz w:val="16"/>
              <w:szCs w:val="16"/>
            </w:rPr>
            <w:fldChar w:fldCharType="end"/>
          </w:r>
        </w:p>
      </w:tc>
      <w:tc>
        <w:tcPr>
          <w:tcW w:w="1999" w:type="pct"/>
        </w:tcPr>
        <w:p w:rsidR="00B814BC" w:rsidRPr="0055472E" w:rsidRDefault="00B814BC" w:rsidP="0096725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994A83">
            <w:rPr>
              <w:sz w:val="16"/>
              <w:szCs w:val="16"/>
            </w:rPr>
            <w:t>16/06/2021</w:t>
          </w:r>
          <w:r w:rsidRPr="0055472E">
            <w:rPr>
              <w:sz w:val="16"/>
              <w:szCs w:val="16"/>
            </w:rPr>
            <w:fldChar w:fldCharType="end"/>
          </w:r>
        </w:p>
      </w:tc>
      <w:tc>
        <w:tcPr>
          <w:tcW w:w="1502" w:type="pct"/>
          <w:gridSpan w:val="2"/>
        </w:tcPr>
        <w:p w:rsidR="00B814BC" w:rsidRPr="0055472E" w:rsidRDefault="00B814BC" w:rsidP="0096725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94A83">
            <w:rPr>
              <w:sz w:val="16"/>
              <w:szCs w:val="16"/>
            </w:rPr>
            <w:instrText>22/06/2021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994A83">
            <w:rPr>
              <w:sz w:val="16"/>
              <w:szCs w:val="16"/>
            </w:rPr>
            <w:instrText>22/06/2021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94A83">
            <w:rPr>
              <w:noProof/>
              <w:sz w:val="16"/>
              <w:szCs w:val="16"/>
            </w:rPr>
            <w:t>22/06/2021</w:t>
          </w:r>
          <w:r w:rsidRPr="0055472E">
            <w:rPr>
              <w:sz w:val="16"/>
              <w:szCs w:val="16"/>
            </w:rPr>
            <w:fldChar w:fldCharType="end"/>
          </w:r>
        </w:p>
      </w:tc>
    </w:tr>
  </w:tbl>
  <w:p w:rsidR="00B814BC" w:rsidRPr="005C4BBD" w:rsidRDefault="00B814BC" w:rsidP="005C4BB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4BC" w:rsidRPr="007B3B51" w:rsidRDefault="00B814BC" w:rsidP="0096725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814BC" w:rsidRPr="007B3B51" w:rsidTr="006C362A">
      <w:tc>
        <w:tcPr>
          <w:tcW w:w="854" w:type="pct"/>
        </w:tcPr>
        <w:p w:rsidR="00B814BC" w:rsidRPr="007B3B51" w:rsidRDefault="00B814BC" w:rsidP="00967250">
          <w:pPr>
            <w:rPr>
              <w:i/>
              <w:sz w:val="16"/>
              <w:szCs w:val="16"/>
            </w:rPr>
          </w:pPr>
        </w:p>
      </w:tc>
      <w:tc>
        <w:tcPr>
          <w:tcW w:w="3688" w:type="pct"/>
          <w:gridSpan w:val="3"/>
        </w:tcPr>
        <w:p w:rsidR="00B814BC" w:rsidRPr="007B3B51" w:rsidRDefault="00B814BC" w:rsidP="0096725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07681">
            <w:rPr>
              <w:i/>
              <w:noProof/>
              <w:sz w:val="16"/>
              <w:szCs w:val="16"/>
            </w:rPr>
            <w:t>Fisheries Research and Development Corporation Regulations 1991</w:t>
          </w:r>
          <w:r w:rsidRPr="007B3B51">
            <w:rPr>
              <w:i/>
              <w:sz w:val="16"/>
              <w:szCs w:val="16"/>
            </w:rPr>
            <w:fldChar w:fldCharType="end"/>
          </w:r>
        </w:p>
      </w:tc>
      <w:tc>
        <w:tcPr>
          <w:tcW w:w="458" w:type="pct"/>
        </w:tcPr>
        <w:p w:rsidR="00B814BC" w:rsidRPr="007B3B51" w:rsidRDefault="00B814BC" w:rsidP="0096725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B814BC" w:rsidRPr="00130F37" w:rsidTr="006C362A">
      <w:tc>
        <w:tcPr>
          <w:tcW w:w="1499" w:type="pct"/>
          <w:gridSpan w:val="2"/>
        </w:tcPr>
        <w:p w:rsidR="00B814BC" w:rsidRPr="00130F37" w:rsidRDefault="00B814BC" w:rsidP="0096725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94A83">
            <w:rPr>
              <w:sz w:val="16"/>
              <w:szCs w:val="16"/>
            </w:rPr>
            <w:t>23</w:t>
          </w:r>
          <w:r w:rsidRPr="00130F37">
            <w:rPr>
              <w:sz w:val="16"/>
              <w:szCs w:val="16"/>
            </w:rPr>
            <w:fldChar w:fldCharType="end"/>
          </w:r>
        </w:p>
      </w:tc>
      <w:tc>
        <w:tcPr>
          <w:tcW w:w="1999" w:type="pct"/>
        </w:tcPr>
        <w:p w:rsidR="00B814BC" w:rsidRPr="00130F37" w:rsidRDefault="00B814BC" w:rsidP="0096725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994A83">
            <w:rPr>
              <w:sz w:val="16"/>
              <w:szCs w:val="16"/>
            </w:rPr>
            <w:t>16/06/2021</w:t>
          </w:r>
          <w:r w:rsidRPr="00130F37">
            <w:rPr>
              <w:sz w:val="16"/>
              <w:szCs w:val="16"/>
            </w:rPr>
            <w:fldChar w:fldCharType="end"/>
          </w:r>
        </w:p>
      </w:tc>
      <w:tc>
        <w:tcPr>
          <w:tcW w:w="1502" w:type="pct"/>
          <w:gridSpan w:val="2"/>
        </w:tcPr>
        <w:p w:rsidR="00B814BC" w:rsidRPr="00130F37" w:rsidRDefault="00B814BC" w:rsidP="0096725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94A83">
            <w:rPr>
              <w:sz w:val="16"/>
              <w:szCs w:val="16"/>
            </w:rPr>
            <w:instrText>22/06/2021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994A83">
            <w:rPr>
              <w:sz w:val="16"/>
              <w:szCs w:val="16"/>
            </w:rPr>
            <w:instrText>22/06/2021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94A83">
            <w:rPr>
              <w:noProof/>
              <w:sz w:val="16"/>
              <w:szCs w:val="16"/>
            </w:rPr>
            <w:t>22/06/2021</w:t>
          </w:r>
          <w:r w:rsidRPr="00130F37">
            <w:rPr>
              <w:sz w:val="16"/>
              <w:szCs w:val="16"/>
            </w:rPr>
            <w:fldChar w:fldCharType="end"/>
          </w:r>
        </w:p>
      </w:tc>
    </w:tr>
  </w:tbl>
  <w:p w:rsidR="00B814BC" w:rsidRPr="005C4BBD" w:rsidRDefault="00B814BC" w:rsidP="005C4BB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4BC" w:rsidRPr="002B0EA5" w:rsidRDefault="00B814BC" w:rsidP="004B49F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B814BC" w:rsidTr="006C362A">
      <w:tc>
        <w:tcPr>
          <w:tcW w:w="947" w:type="pct"/>
        </w:tcPr>
        <w:p w:rsidR="00B814BC" w:rsidRDefault="00B814BC" w:rsidP="00967250">
          <w:pPr>
            <w:spacing w:line="0" w:lineRule="atLeast"/>
            <w:rPr>
              <w:sz w:val="18"/>
            </w:rPr>
          </w:pPr>
        </w:p>
      </w:tc>
      <w:tc>
        <w:tcPr>
          <w:tcW w:w="3688" w:type="pct"/>
        </w:tcPr>
        <w:p w:rsidR="00B814BC" w:rsidRDefault="00B814BC" w:rsidP="0096725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94A83">
            <w:rPr>
              <w:i/>
              <w:sz w:val="18"/>
            </w:rPr>
            <w:t>Fisheries Research and Development Corporation Regulations 1991</w:t>
          </w:r>
          <w:r w:rsidRPr="007A1328">
            <w:rPr>
              <w:i/>
              <w:sz w:val="18"/>
            </w:rPr>
            <w:fldChar w:fldCharType="end"/>
          </w:r>
        </w:p>
      </w:tc>
      <w:tc>
        <w:tcPr>
          <w:tcW w:w="365" w:type="pct"/>
        </w:tcPr>
        <w:p w:rsidR="00B814BC" w:rsidRDefault="00B814BC" w:rsidP="0096725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12</w:t>
          </w:r>
          <w:r w:rsidRPr="00ED79B6">
            <w:rPr>
              <w:i/>
              <w:sz w:val="18"/>
            </w:rPr>
            <w:fldChar w:fldCharType="end"/>
          </w:r>
        </w:p>
      </w:tc>
    </w:tr>
  </w:tbl>
  <w:p w:rsidR="00B814BC" w:rsidRPr="00ED79B6" w:rsidRDefault="00B814BC" w:rsidP="004B49F8">
    <w:pPr>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4BC" w:rsidRPr="007B3B51" w:rsidRDefault="00B814BC" w:rsidP="0096725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814BC" w:rsidRPr="007B3B51" w:rsidTr="006C362A">
      <w:tc>
        <w:tcPr>
          <w:tcW w:w="854" w:type="pct"/>
        </w:tcPr>
        <w:p w:rsidR="00B814BC" w:rsidRPr="007B3B51" w:rsidRDefault="00B814BC" w:rsidP="0096725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12</w:t>
          </w:r>
          <w:r w:rsidRPr="007B3B51">
            <w:rPr>
              <w:i/>
              <w:sz w:val="16"/>
              <w:szCs w:val="16"/>
            </w:rPr>
            <w:fldChar w:fldCharType="end"/>
          </w:r>
        </w:p>
      </w:tc>
      <w:tc>
        <w:tcPr>
          <w:tcW w:w="3688" w:type="pct"/>
          <w:gridSpan w:val="3"/>
        </w:tcPr>
        <w:p w:rsidR="00B814BC" w:rsidRPr="007B3B51" w:rsidRDefault="00B814BC" w:rsidP="0096725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07681">
            <w:rPr>
              <w:i/>
              <w:noProof/>
              <w:sz w:val="16"/>
              <w:szCs w:val="16"/>
            </w:rPr>
            <w:t>Fisheries Research and Development Corporation Regulations 1991</w:t>
          </w:r>
          <w:r w:rsidRPr="007B3B51">
            <w:rPr>
              <w:i/>
              <w:sz w:val="16"/>
              <w:szCs w:val="16"/>
            </w:rPr>
            <w:fldChar w:fldCharType="end"/>
          </w:r>
        </w:p>
      </w:tc>
      <w:tc>
        <w:tcPr>
          <w:tcW w:w="458" w:type="pct"/>
        </w:tcPr>
        <w:p w:rsidR="00B814BC" w:rsidRPr="007B3B51" w:rsidRDefault="00B814BC" w:rsidP="00967250">
          <w:pPr>
            <w:jc w:val="right"/>
            <w:rPr>
              <w:sz w:val="16"/>
              <w:szCs w:val="16"/>
            </w:rPr>
          </w:pPr>
        </w:p>
      </w:tc>
    </w:tr>
    <w:tr w:rsidR="00B814BC" w:rsidRPr="0055472E" w:rsidTr="006C362A">
      <w:tc>
        <w:tcPr>
          <w:tcW w:w="1499" w:type="pct"/>
          <w:gridSpan w:val="2"/>
        </w:tcPr>
        <w:p w:rsidR="00B814BC" w:rsidRPr="0055472E" w:rsidRDefault="00B814BC" w:rsidP="0096725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94A83">
            <w:rPr>
              <w:sz w:val="16"/>
              <w:szCs w:val="16"/>
            </w:rPr>
            <w:t>23</w:t>
          </w:r>
          <w:r w:rsidRPr="0055472E">
            <w:rPr>
              <w:sz w:val="16"/>
              <w:szCs w:val="16"/>
            </w:rPr>
            <w:fldChar w:fldCharType="end"/>
          </w:r>
        </w:p>
      </w:tc>
      <w:tc>
        <w:tcPr>
          <w:tcW w:w="1999" w:type="pct"/>
        </w:tcPr>
        <w:p w:rsidR="00B814BC" w:rsidRPr="0055472E" w:rsidRDefault="00B814BC" w:rsidP="0096725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994A83">
            <w:rPr>
              <w:sz w:val="16"/>
              <w:szCs w:val="16"/>
            </w:rPr>
            <w:t>16/06/2021</w:t>
          </w:r>
          <w:r w:rsidRPr="0055472E">
            <w:rPr>
              <w:sz w:val="16"/>
              <w:szCs w:val="16"/>
            </w:rPr>
            <w:fldChar w:fldCharType="end"/>
          </w:r>
        </w:p>
      </w:tc>
      <w:tc>
        <w:tcPr>
          <w:tcW w:w="1502" w:type="pct"/>
          <w:gridSpan w:val="2"/>
        </w:tcPr>
        <w:p w:rsidR="00B814BC" w:rsidRPr="0055472E" w:rsidRDefault="00B814BC" w:rsidP="0096725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94A83">
            <w:rPr>
              <w:sz w:val="16"/>
              <w:szCs w:val="16"/>
            </w:rPr>
            <w:instrText>22/06/2021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994A83">
            <w:rPr>
              <w:sz w:val="16"/>
              <w:szCs w:val="16"/>
            </w:rPr>
            <w:instrText>22/06/2021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94A83">
            <w:rPr>
              <w:noProof/>
              <w:sz w:val="16"/>
              <w:szCs w:val="16"/>
            </w:rPr>
            <w:t>22/06/2021</w:t>
          </w:r>
          <w:r w:rsidRPr="0055472E">
            <w:rPr>
              <w:sz w:val="16"/>
              <w:szCs w:val="16"/>
            </w:rPr>
            <w:fldChar w:fldCharType="end"/>
          </w:r>
        </w:p>
      </w:tc>
    </w:tr>
  </w:tbl>
  <w:p w:rsidR="00B814BC" w:rsidRPr="005C4BBD" w:rsidRDefault="00B814BC" w:rsidP="005C4B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14BC" w:rsidRDefault="00B814BC">
      <w:r>
        <w:separator/>
      </w:r>
    </w:p>
  </w:footnote>
  <w:footnote w:type="continuationSeparator" w:id="0">
    <w:p w:rsidR="00B814BC" w:rsidRDefault="00B81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4BC" w:rsidRDefault="00B814BC" w:rsidP="00D172BC">
    <w:pPr>
      <w:pStyle w:val="Header"/>
      <w:pBdr>
        <w:bottom w:val="single" w:sz="6" w:space="1" w:color="auto"/>
      </w:pBdr>
    </w:pPr>
  </w:p>
  <w:p w:rsidR="00B814BC" w:rsidRDefault="00B814BC" w:rsidP="00D172BC">
    <w:pPr>
      <w:pStyle w:val="Header"/>
      <w:pBdr>
        <w:bottom w:val="single" w:sz="6" w:space="1" w:color="auto"/>
      </w:pBdr>
    </w:pPr>
  </w:p>
  <w:p w:rsidR="00B814BC" w:rsidRPr="001E77D2" w:rsidRDefault="00B814BC" w:rsidP="00D172BC">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4BC" w:rsidRPr="00BE5CD2" w:rsidRDefault="00B814BC" w:rsidP="00967250">
    <w:pPr>
      <w:rPr>
        <w:sz w:val="26"/>
        <w:szCs w:val="26"/>
      </w:rPr>
    </w:pPr>
  </w:p>
  <w:p w:rsidR="00B814BC" w:rsidRPr="0020230A" w:rsidRDefault="00B814BC" w:rsidP="00967250">
    <w:pPr>
      <w:rPr>
        <w:b/>
        <w:sz w:val="20"/>
      </w:rPr>
    </w:pPr>
    <w:r w:rsidRPr="0020230A">
      <w:rPr>
        <w:b/>
        <w:sz w:val="20"/>
      </w:rPr>
      <w:t>Endnotes</w:t>
    </w:r>
  </w:p>
  <w:p w:rsidR="00B814BC" w:rsidRPr="007A1328" w:rsidRDefault="00B814BC" w:rsidP="00967250">
    <w:pPr>
      <w:rPr>
        <w:sz w:val="20"/>
      </w:rPr>
    </w:pPr>
  </w:p>
  <w:p w:rsidR="00B814BC" w:rsidRPr="007A1328" w:rsidRDefault="00B814BC" w:rsidP="00967250">
    <w:pPr>
      <w:rPr>
        <w:b/>
        <w:sz w:val="24"/>
      </w:rPr>
    </w:pPr>
  </w:p>
  <w:p w:rsidR="00B814BC" w:rsidRPr="00BE5CD2" w:rsidRDefault="00B814BC" w:rsidP="004B49F8">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407681">
      <w:rPr>
        <w:noProof/>
        <w:szCs w:val="22"/>
      </w:rPr>
      <w:t>Endnote 4—Amendment history</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4BC" w:rsidRPr="00BE5CD2" w:rsidRDefault="00B814BC" w:rsidP="00967250">
    <w:pPr>
      <w:jc w:val="right"/>
      <w:rPr>
        <w:sz w:val="26"/>
        <w:szCs w:val="26"/>
      </w:rPr>
    </w:pPr>
  </w:p>
  <w:p w:rsidR="00B814BC" w:rsidRPr="0020230A" w:rsidRDefault="00B814BC" w:rsidP="00967250">
    <w:pPr>
      <w:jc w:val="right"/>
      <w:rPr>
        <w:b/>
        <w:sz w:val="20"/>
      </w:rPr>
    </w:pPr>
    <w:r w:rsidRPr="0020230A">
      <w:rPr>
        <w:b/>
        <w:sz w:val="20"/>
      </w:rPr>
      <w:t>Endnotes</w:t>
    </w:r>
  </w:p>
  <w:p w:rsidR="00B814BC" w:rsidRPr="007A1328" w:rsidRDefault="00B814BC" w:rsidP="00967250">
    <w:pPr>
      <w:jc w:val="right"/>
      <w:rPr>
        <w:sz w:val="20"/>
      </w:rPr>
    </w:pPr>
  </w:p>
  <w:p w:rsidR="00B814BC" w:rsidRPr="007A1328" w:rsidRDefault="00B814BC" w:rsidP="00967250">
    <w:pPr>
      <w:jc w:val="right"/>
      <w:rPr>
        <w:b/>
        <w:sz w:val="24"/>
      </w:rPr>
    </w:pPr>
  </w:p>
  <w:p w:rsidR="00B814BC" w:rsidRPr="00BE5CD2" w:rsidRDefault="00B814BC" w:rsidP="004B49F8">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407681">
      <w:rPr>
        <w:noProof/>
        <w:szCs w:val="22"/>
      </w:rPr>
      <w:t>Endnote 3—Legislation history</w:t>
    </w:r>
    <w:r>
      <w:rPr>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4BC" w:rsidRPr="0031590B" w:rsidRDefault="00B814BC" w:rsidP="00B37A9B">
    <w:pPr>
      <w:rPr>
        <w:sz w:val="20"/>
      </w:rPr>
    </w:pPr>
  </w:p>
  <w:p w:rsidR="00B814BC" w:rsidRPr="0031590B" w:rsidRDefault="00B814BC" w:rsidP="00B37A9B">
    <w:pPr>
      <w:rPr>
        <w:b/>
        <w:sz w:val="20"/>
      </w:rPr>
    </w:pPr>
  </w:p>
  <w:p w:rsidR="00B814BC" w:rsidRPr="0031590B" w:rsidRDefault="00B814BC" w:rsidP="00B37A9B">
    <w:pPr>
      <w:rPr>
        <w:sz w:val="20"/>
      </w:rPr>
    </w:pPr>
  </w:p>
  <w:p w:rsidR="00B814BC" w:rsidRPr="0031590B" w:rsidRDefault="00B814BC" w:rsidP="00B37A9B">
    <w:pPr>
      <w:rPr>
        <w:b/>
      </w:rPr>
    </w:pPr>
  </w:p>
  <w:p w:rsidR="00B814BC" w:rsidRPr="0031590B" w:rsidRDefault="00B814BC" w:rsidP="00B37A9B">
    <w:pPr>
      <w:pBdr>
        <w:bottom w:val="single" w:sz="6" w:space="1" w:color="auto"/>
      </w:pBd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4BC" w:rsidRPr="0031590B" w:rsidRDefault="00B814BC" w:rsidP="00B37A9B">
    <w:pPr>
      <w:jc w:val="right"/>
      <w:rPr>
        <w:sz w:val="20"/>
      </w:rPr>
    </w:pPr>
  </w:p>
  <w:p w:rsidR="00B814BC" w:rsidRPr="0031590B" w:rsidRDefault="00B814BC" w:rsidP="00B37A9B">
    <w:pPr>
      <w:jc w:val="right"/>
      <w:rPr>
        <w:b/>
        <w:sz w:val="20"/>
      </w:rPr>
    </w:pPr>
  </w:p>
  <w:p w:rsidR="00B814BC" w:rsidRPr="0031590B" w:rsidRDefault="00B814BC" w:rsidP="00B37A9B">
    <w:pPr>
      <w:jc w:val="right"/>
      <w:rPr>
        <w:sz w:val="20"/>
      </w:rPr>
    </w:pPr>
  </w:p>
  <w:p w:rsidR="00B814BC" w:rsidRPr="0031590B" w:rsidRDefault="00B814BC" w:rsidP="00B37A9B">
    <w:pPr>
      <w:jc w:val="right"/>
      <w:rPr>
        <w:b/>
      </w:rPr>
    </w:pPr>
  </w:p>
  <w:p w:rsidR="00B814BC" w:rsidRPr="0031590B" w:rsidRDefault="00B814BC" w:rsidP="00B37A9B">
    <w:pPr>
      <w:pBdr>
        <w:bottom w:val="single" w:sz="6" w:space="1" w:color="auto"/>
      </w:pBdr>
      <w:jc w:val="righ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4BC" w:rsidRDefault="00B814BC" w:rsidP="00EA0056">
    <w:pPr>
      <w:pStyle w:val="Header"/>
    </w:pPr>
  </w:p>
  <w:p w:rsidR="00B814BC" w:rsidRPr="00EA0056" w:rsidRDefault="00B814BC" w:rsidP="00EA00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4BC" w:rsidRDefault="00B814BC" w:rsidP="00D172BC">
    <w:pPr>
      <w:pStyle w:val="Header"/>
      <w:pBdr>
        <w:bottom w:val="single" w:sz="4" w:space="1" w:color="auto"/>
      </w:pBdr>
    </w:pPr>
  </w:p>
  <w:p w:rsidR="00B814BC" w:rsidRDefault="00B814BC" w:rsidP="00D172BC">
    <w:pPr>
      <w:pStyle w:val="Header"/>
      <w:pBdr>
        <w:bottom w:val="single" w:sz="4" w:space="1" w:color="auto"/>
      </w:pBdr>
    </w:pPr>
  </w:p>
  <w:p w:rsidR="00B814BC" w:rsidRPr="001E77D2" w:rsidRDefault="00B814BC" w:rsidP="00D172BC">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4BC" w:rsidRPr="005F1388" w:rsidRDefault="00B814BC" w:rsidP="00D172BC">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4BC" w:rsidRPr="00ED79B6" w:rsidRDefault="00B814BC" w:rsidP="00967250">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4BC" w:rsidRPr="00ED79B6" w:rsidRDefault="00B814BC" w:rsidP="00967250">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4BC" w:rsidRPr="00ED79B6" w:rsidRDefault="00B814BC" w:rsidP="00967250">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4BC" w:rsidRDefault="00B814BC" w:rsidP="00967250">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B814BC" w:rsidRDefault="00B814BC" w:rsidP="00967250">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B814BC" w:rsidRPr="007A1328" w:rsidRDefault="00B814BC" w:rsidP="00967250">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B814BC" w:rsidRPr="007A1328" w:rsidRDefault="00B814BC" w:rsidP="00967250">
    <w:pPr>
      <w:rPr>
        <w:b/>
        <w:sz w:val="24"/>
      </w:rPr>
    </w:pPr>
  </w:p>
  <w:p w:rsidR="00B814BC" w:rsidRPr="007A1328" w:rsidRDefault="00B814BC" w:rsidP="004B49F8">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994A83">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07681">
      <w:rPr>
        <w:noProof/>
        <w:sz w:val="24"/>
      </w:rPr>
      <w:t>4C</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4BC" w:rsidRPr="007A1328" w:rsidRDefault="00B814BC" w:rsidP="00967250">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B814BC" w:rsidRPr="007A1328" w:rsidRDefault="00B814BC" w:rsidP="00967250">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B814BC" w:rsidRPr="007A1328" w:rsidRDefault="00B814BC" w:rsidP="0096725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B814BC" w:rsidRPr="007A1328" w:rsidRDefault="00B814BC" w:rsidP="00967250">
    <w:pPr>
      <w:jc w:val="right"/>
      <w:rPr>
        <w:b/>
        <w:sz w:val="24"/>
      </w:rPr>
    </w:pPr>
  </w:p>
  <w:p w:rsidR="00B814BC" w:rsidRPr="007A1328" w:rsidRDefault="00B814BC" w:rsidP="004B49F8">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994A83">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07681">
      <w:rPr>
        <w:noProof/>
        <w:sz w:val="24"/>
      </w:rPr>
      <w:t>4E</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4BC" w:rsidRPr="007A1328" w:rsidRDefault="00B814BC" w:rsidP="0096725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1"/>
  </w:num>
  <w:num w:numId="16">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ctiveWritingStyle w:appName="MSWord" w:lang="en-AU" w:vendorID="64" w:dllVersion="6" w:nlCheck="1" w:checkStyle="1"/>
  <w:activeWritingStyle w:appName="MSWord" w:lang="en-US" w:vendorID="64" w:dllVersion="6" w:nlCheck="1" w:checkStyle="1"/>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A71"/>
    <w:rsid w:val="00002328"/>
    <w:rsid w:val="0000439F"/>
    <w:rsid w:val="000047FD"/>
    <w:rsid w:val="000056EE"/>
    <w:rsid w:val="00006F3C"/>
    <w:rsid w:val="00010203"/>
    <w:rsid w:val="00012A4E"/>
    <w:rsid w:val="0001739E"/>
    <w:rsid w:val="00023FD2"/>
    <w:rsid w:val="000323E2"/>
    <w:rsid w:val="0003434D"/>
    <w:rsid w:val="0003498B"/>
    <w:rsid w:val="00043C69"/>
    <w:rsid w:val="0005260F"/>
    <w:rsid w:val="00054887"/>
    <w:rsid w:val="00055E25"/>
    <w:rsid w:val="00057967"/>
    <w:rsid w:val="00065A0E"/>
    <w:rsid w:val="00070CCC"/>
    <w:rsid w:val="000753EE"/>
    <w:rsid w:val="00075B3D"/>
    <w:rsid w:val="00092802"/>
    <w:rsid w:val="000A45F0"/>
    <w:rsid w:val="000B0A20"/>
    <w:rsid w:val="000B1873"/>
    <w:rsid w:val="000B26C3"/>
    <w:rsid w:val="000B52F3"/>
    <w:rsid w:val="000C0570"/>
    <w:rsid w:val="000C46D8"/>
    <w:rsid w:val="000C56FE"/>
    <w:rsid w:val="000D112D"/>
    <w:rsid w:val="000D12DB"/>
    <w:rsid w:val="000D12F1"/>
    <w:rsid w:val="000D363E"/>
    <w:rsid w:val="000E081D"/>
    <w:rsid w:val="000F140F"/>
    <w:rsid w:val="00105546"/>
    <w:rsid w:val="00106F5E"/>
    <w:rsid w:val="00111E48"/>
    <w:rsid w:val="00114286"/>
    <w:rsid w:val="00116842"/>
    <w:rsid w:val="00122CA1"/>
    <w:rsid w:val="00126C33"/>
    <w:rsid w:val="00126D00"/>
    <w:rsid w:val="00133419"/>
    <w:rsid w:val="001363F5"/>
    <w:rsid w:val="00145C33"/>
    <w:rsid w:val="0014660D"/>
    <w:rsid w:val="00152824"/>
    <w:rsid w:val="00153593"/>
    <w:rsid w:val="001544DD"/>
    <w:rsid w:val="001705B8"/>
    <w:rsid w:val="00170EA3"/>
    <w:rsid w:val="00176D3F"/>
    <w:rsid w:val="00180CD3"/>
    <w:rsid w:val="00191B57"/>
    <w:rsid w:val="00195953"/>
    <w:rsid w:val="001A25BD"/>
    <w:rsid w:val="001A7D67"/>
    <w:rsid w:val="001B2E52"/>
    <w:rsid w:val="001B4087"/>
    <w:rsid w:val="001B680B"/>
    <w:rsid w:val="001B7079"/>
    <w:rsid w:val="001C2D2D"/>
    <w:rsid w:val="001C3CFF"/>
    <w:rsid w:val="001C6896"/>
    <w:rsid w:val="001C6C78"/>
    <w:rsid w:val="001D1730"/>
    <w:rsid w:val="001D3EFA"/>
    <w:rsid w:val="001D49E7"/>
    <w:rsid w:val="001D53F8"/>
    <w:rsid w:val="001E0659"/>
    <w:rsid w:val="001E2AFB"/>
    <w:rsid w:val="001E551F"/>
    <w:rsid w:val="001E7DC4"/>
    <w:rsid w:val="001F0D4D"/>
    <w:rsid w:val="001F204C"/>
    <w:rsid w:val="001F2554"/>
    <w:rsid w:val="0020351D"/>
    <w:rsid w:val="0020488A"/>
    <w:rsid w:val="002060D2"/>
    <w:rsid w:val="002125DA"/>
    <w:rsid w:val="00220EDA"/>
    <w:rsid w:val="00222DA1"/>
    <w:rsid w:val="00223A7F"/>
    <w:rsid w:val="002250FB"/>
    <w:rsid w:val="00227554"/>
    <w:rsid w:val="002303A1"/>
    <w:rsid w:val="00230C4E"/>
    <w:rsid w:val="00232805"/>
    <w:rsid w:val="00236EB6"/>
    <w:rsid w:val="00241BBD"/>
    <w:rsid w:val="00250EF7"/>
    <w:rsid w:val="00254B2F"/>
    <w:rsid w:val="00254C12"/>
    <w:rsid w:val="00256BF4"/>
    <w:rsid w:val="00262431"/>
    <w:rsid w:val="00263A67"/>
    <w:rsid w:val="002644B8"/>
    <w:rsid w:val="002705A1"/>
    <w:rsid w:val="00270826"/>
    <w:rsid w:val="0027363B"/>
    <w:rsid w:val="00275A82"/>
    <w:rsid w:val="00277ACC"/>
    <w:rsid w:val="00277C73"/>
    <w:rsid w:val="0028717F"/>
    <w:rsid w:val="00296435"/>
    <w:rsid w:val="0029646C"/>
    <w:rsid w:val="00296E69"/>
    <w:rsid w:val="002A57A4"/>
    <w:rsid w:val="002C0E89"/>
    <w:rsid w:val="002C42F1"/>
    <w:rsid w:val="002C79E4"/>
    <w:rsid w:val="002C7F8D"/>
    <w:rsid w:val="002D35D3"/>
    <w:rsid w:val="002E5FEB"/>
    <w:rsid w:val="002F149C"/>
    <w:rsid w:val="002F5583"/>
    <w:rsid w:val="002F5A55"/>
    <w:rsid w:val="00300D9A"/>
    <w:rsid w:val="00303534"/>
    <w:rsid w:val="00303DA1"/>
    <w:rsid w:val="0030627F"/>
    <w:rsid w:val="00310852"/>
    <w:rsid w:val="0031356F"/>
    <w:rsid w:val="003208C6"/>
    <w:rsid w:val="003242D2"/>
    <w:rsid w:val="003256A2"/>
    <w:rsid w:val="003269CD"/>
    <w:rsid w:val="00327AAB"/>
    <w:rsid w:val="003328BD"/>
    <w:rsid w:val="00336768"/>
    <w:rsid w:val="00342578"/>
    <w:rsid w:val="00347380"/>
    <w:rsid w:val="00347ABE"/>
    <w:rsid w:val="00351600"/>
    <w:rsid w:val="0035244D"/>
    <w:rsid w:val="003567D5"/>
    <w:rsid w:val="003570F6"/>
    <w:rsid w:val="00357C56"/>
    <w:rsid w:val="00363AB9"/>
    <w:rsid w:val="00365485"/>
    <w:rsid w:val="00366209"/>
    <w:rsid w:val="003676F7"/>
    <w:rsid w:val="003776CE"/>
    <w:rsid w:val="00380704"/>
    <w:rsid w:val="00384534"/>
    <w:rsid w:val="00384739"/>
    <w:rsid w:val="00393A96"/>
    <w:rsid w:val="00396732"/>
    <w:rsid w:val="00396BF2"/>
    <w:rsid w:val="003972C8"/>
    <w:rsid w:val="003A3291"/>
    <w:rsid w:val="003B20C8"/>
    <w:rsid w:val="003B3EB7"/>
    <w:rsid w:val="003C0D11"/>
    <w:rsid w:val="003C1D3B"/>
    <w:rsid w:val="003C2916"/>
    <w:rsid w:val="003C700C"/>
    <w:rsid w:val="003D20DD"/>
    <w:rsid w:val="003D4044"/>
    <w:rsid w:val="003D6E43"/>
    <w:rsid w:val="003F1A97"/>
    <w:rsid w:val="003F1AF9"/>
    <w:rsid w:val="00405877"/>
    <w:rsid w:val="00407681"/>
    <w:rsid w:val="004207D7"/>
    <w:rsid w:val="00422576"/>
    <w:rsid w:val="00422614"/>
    <w:rsid w:val="004232EA"/>
    <w:rsid w:val="00424431"/>
    <w:rsid w:val="00427249"/>
    <w:rsid w:val="00434911"/>
    <w:rsid w:val="00441257"/>
    <w:rsid w:val="00442444"/>
    <w:rsid w:val="00442546"/>
    <w:rsid w:val="00454D0B"/>
    <w:rsid w:val="00456812"/>
    <w:rsid w:val="00457AC5"/>
    <w:rsid w:val="00466335"/>
    <w:rsid w:val="00470149"/>
    <w:rsid w:val="0047221D"/>
    <w:rsid w:val="004724CC"/>
    <w:rsid w:val="004808B5"/>
    <w:rsid w:val="00482B0A"/>
    <w:rsid w:val="00490956"/>
    <w:rsid w:val="00492AF6"/>
    <w:rsid w:val="0049476B"/>
    <w:rsid w:val="004B1E60"/>
    <w:rsid w:val="004B49F8"/>
    <w:rsid w:val="004B674A"/>
    <w:rsid w:val="004B717C"/>
    <w:rsid w:val="004C0267"/>
    <w:rsid w:val="004C2FA3"/>
    <w:rsid w:val="004C4116"/>
    <w:rsid w:val="004D25B2"/>
    <w:rsid w:val="004D276A"/>
    <w:rsid w:val="004D2CCB"/>
    <w:rsid w:val="004D5FCE"/>
    <w:rsid w:val="004E01BE"/>
    <w:rsid w:val="004E278C"/>
    <w:rsid w:val="004E3375"/>
    <w:rsid w:val="004E6672"/>
    <w:rsid w:val="004E7054"/>
    <w:rsid w:val="004E7AEA"/>
    <w:rsid w:val="004F0A32"/>
    <w:rsid w:val="004F303A"/>
    <w:rsid w:val="004F489D"/>
    <w:rsid w:val="004F586F"/>
    <w:rsid w:val="004F6526"/>
    <w:rsid w:val="004F6F63"/>
    <w:rsid w:val="004F7805"/>
    <w:rsid w:val="004F78AD"/>
    <w:rsid w:val="00500651"/>
    <w:rsid w:val="005107D8"/>
    <w:rsid w:val="00511AB9"/>
    <w:rsid w:val="00512F98"/>
    <w:rsid w:val="0051543A"/>
    <w:rsid w:val="00520B7F"/>
    <w:rsid w:val="00524BE1"/>
    <w:rsid w:val="00535BFA"/>
    <w:rsid w:val="00536C60"/>
    <w:rsid w:val="0054363D"/>
    <w:rsid w:val="00553BBD"/>
    <w:rsid w:val="00553CCE"/>
    <w:rsid w:val="005548F9"/>
    <w:rsid w:val="00561460"/>
    <w:rsid w:val="00564001"/>
    <w:rsid w:val="005721E8"/>
    <w:rsid w:val="0057249D"/>
    <w:rsid w:val="005773F1"/>
    <w:rsid w:val="00577475"/>
    <w:rsid w:val="00582A7F"/>
    <w:rsid w:val="00584A71"/>
    <w:rsid w:val="00584E3A"/>
    <w:rsid w:val="005867F2"/>
    <w:rsid w:val="00590B66"/>
    <w:rsid w:val="00594F6A"/>
    <w:rsid w:val="005A04A5"/>
    <w:rsid w:val="005A0F53"/>
    <w:rsid w:val="005A2A56"/>
    <w:rsid w:val="005A2FBD"/>
    <w:rsid w:val="005A6B73"/>
    <w:rsid w:val="005A6FAD"/>
    <w:rsid w:val="005B2BDF"/>
    <w:rsid w:val="005B58A6"/>
    <w:rsid w:val="005C20BB"/>
    <w:rsid w:val="005C4BBD"/>
    <w:rsid w:val="005C7760"/>
    <w:rsid w:val="005C7BB8"/>
    <w:rsid w:val="005D40F1"/>
    <w:rsid w:val="005D491C"/>
    <w:rsid w:val="005D5651"/>
    <w:rsid w:val="005D6B15"/>
    <w:rsid w:val="005D6F22"/>
    <w:rsid w:val="005E42DE"/>
    <w:rsid w:val="005E5309"/>
    <w:rsid w:val="005E6A58"/>
    <w:rsid w:val="005E6D7C"/>
    <w:rsid w:val="005F2341"/>
    <w:rsid w:val="005F38C6"/>
    <w:rsid w:val="005F4B4F"/>
    <w:rsid w:val="005F5365"/>
    <w:rsid w:val="005F69C0"/>
    <w:rsid w:val="00601331"/>
    <w:rsid w:val="0060499E"/>
    <w:rsid w:val="00606DAE"/>
    <w:rsid w:val="00610CB1"/>
    <w:rsid w:val="006133D2"/>
    <w:rsid w:val="006221EC"/>
    <w:rsid w:val="00624EA9"/>
    <w:rsid w:val="00630C62"/>
    <w:rsid w:val="006334F8"/>
    <w:rsid w:val="00633E7D"/>
    <w:rsid w:val="00645165"/>
    <w:rsid w:val="00645A49"/>
    <w:rsid w:val="00647421"/>
    <w:rsid w:val="006502F2"/>
    <w:rsid w:val="006503AC"/>
    <w:rsid w:val="006548E6"/>
    <w:rsid w:val="00657047"/>
    <w:rsid w:val="0065794A"/>
    <w:rsid w:val="00672003"/>
    <w:rsid w:val="00672979"/>
    <w:rsid w:val="00675602"/>
    <w:rsid w:val="00684B69"/>
    <w:rsid w:val="00686152"/>
    <w:rsid w:val="00686D9E"/>
    <w:rsid w:val="00690B37"/>
    <w:rsid w:val="006918F4"/>
    <w:rsid w:val="006A4BA5"/>
    <w:rsid w:val="006B0BD8"/>
    <w:rsid w:val="006B28EE"/>
    <w:rsid w:val="006C31CA"/>
    <w:rsid w:val="006C362A"/>
    <w:rsid w:val="006C4BED"/>
    <w:rsid w:val="006C53D2"/>
    <w:rsid w:val="006C795D"/>
    <w:rsid w:val="006D0603"/>
    <w:rsid w:val="006D18DE"/>
    <w:rsid w:val="006D34BF"/>
    <w:rsid w:val="006D4771"/>
    <w:rsid w:val="006D4B99"/>
    <w:rsid w:val="006E3B5A"/>
    <w:rsid w:val="006E4A3D"/>
    <w:rsid w:val="006E6AF8"/>
    <w:rsid w:val="006E6B15"/>
    <w:rsid w:val="006F2504"/>
    <w:rsid w:val="006F4850"/>
    <w:rsid w:val="007037DD"/>
    <w:rsid w:val="007067C6"/>
    <w:rsid w:val="00716CCA"/>
    <w:rsid w:val="00717563"/>
    <w:rsid w:val="00730AB3"/>
    <w:rsid w:val="007316C5"/>
    <w:rsid w:val="007318DA"/>
    <w:rsid w:val="00732425"/>
    <w:rsid w:val="00733D1E"/>
    <w:rsid w:val="00733ED9"/>
    <w:rsid w:val="00735B24"/>
    <w:rsid w:val="0073761F"/>
    <w:rsid w:val="0074264F"/>
    <w:rsid w:val="00742BE4"/>
    <w:rsid w:val="0074530F"/>
    <w:rsid w:val="0075029D"/>
    <w:rsid w:val="00750F54"/>
    <w:rsid w:val="00755755"/>
    <w:rsid w:val="00757042"/>
    <w:rsid w:val="007576E3"/>
    <w:rsid w:val="00757D9D"/>
    <w:rsid w:val="00761D75"/>
    <w:rsid w:val="007640FB"/>
    <w:rsid w:val="00770F63"/>
    <w:rsid w:val="00783E6A"/>
    <w:rsid w:val="00787D5F"/>
    <w:rsid w:val="00787E97"/>
    <w:rsid w:val="007916FB"/>
    <w:rsid w:val="007919D5"/>
    <w:rsid w:val="00792C57"/>
    <w:rsid w:val="00792D08"/>
    <w:rsid w:val="00795233"/>
    <w:rsid w:val="007952D3"/>
    <w:rsid w:val="0079643C"/>
    <w:rsid w:val="00796DC8"/>
    <w:rsid w:val="0079710F"/>
    <w:rsid w:val="00797C09"/>
    <w:rsid w:val="00797EDF"/>
    <w:rsid w:val="007A1349"/>
    <w:rsid w:val="007A18FD"/>
    <w:rsid w:val="007A3567"/>
    <w:rsid w:val="007A51B1"/>
    <w:rsid w:val="007C012A"/>
    <w:rsid w:val="007C0378"/>
    <w:rsid w:val="007C23A0"/>
    <w:rsid w:val="007C378E"/>
    <w:rsid w:val="007C49D9"/>
    <w:rsid w:val="007D1876"/>
    <w:rsid w:val="007D2042"/>
    <w:rsid w:val="007D2944"/>
    <w:rsid w:val="007E21C3"/>
    <w:rsid w:val="007E3424"/>
    <w:rsid w:val="007E62B4"/>
    <w:rsid w:val="007E7620"/>
    <w:rsid w:val="007E79C3"/>
    <w:rsid w:val="007F2EEB"/>
    <w:rsid w:val="007F6B43"/>
    <w:rsid w:val="00800EE9"/>
    <w:rsid w:val="00802015"/>
    <w:rsid w:val="00802693"/>
    <w:rsid w:val="008137FC"/>
    <w:rsid w:val="0081603A"/>
    <w:rsid w:val="008170B3"/>
    <w:rsid w:val="008200F1"/>
    <w:rsid w:val="00820E6A"/>
    <w:rsid w:val="00832D7A"/>
    <w:rsid w:val="008336E3"/>
    <w:rsid w:val="00834026"/>
    <w:rsid w:val="008421EA"/>
    <w:rsid w:val="00846BF7"/>
    <w:rsid w:val="008518F5"/>
    <w:rsid w:val="008529D0"/>
    <w:rsid w:val="00853B81"/>
    <w:rsid w:val="00855B7C"/>
    <w:rsid w:val="008614AF"/>
    <w:rsid w:val="008621D6"/>
    <w:rsid w:val="00872185"/>
    <w:rsid w:val="00872E0B"/>
    <w:rsid w:val="008767AE"/>
    <w:rsid w:val="00877F34"/>
    <w:rsid w:val="00880C33"/>
    <w:rsid w:val="00884A91"/>
    <w:rsid w:val="00890A16"/>
    <w:rsid w:val="008A0B4C"/>
    <w:rsid w:val="008A0D3A"/>
    <w:rsid w:val="008A3D32"/>
    <w:rsid w:val="008A5870"/>
    <w:rsid w:val="008A5DD5"/>
    <w:rsid w:val="008B2CF0"/>
    <w:rsid w:val="008B4B4C"/>
    <w:rsid w:val="008B5500"/>
    <w:rsid w:val="008B7DD7"/>
    <w:rsid w:val="008C1D70"/>
    <w:rsid w:val="008C26A7"/>
    <w:rsid w:val="008C2774"/>
    <w:rsid w:val="008C38FE"/>
    <w:rsid w:val="008D31B0"/>
    <w:rsid w:val="008D64ED"/>
    <w:rsid w:val="008E02E5"/>
    <w:rsid w:val="008E5E92"/>
    <w:rsid w:val="008E74ED"/>
    <w:rsid w:val="008E7D39"/>
    <w:rsid w:val="008F4001"/>
    <w:rsid w:val="008F5EC2"/>
    <w:rsid w:val="00901C25"/>
    <w:rsid w:val="00901D54"/>
    <w:rsid w:val="00901DA5"/>
    <w:rsid w:val="00902FB5"/>
    <w:rsid w:val="009070F5"/>
    <w:rsid w:val="00910C41"/>
    <w:rsid w:val="00914CC9"/>
    <w:rsid w:val="00927CA5"/>
    <w:rsid w:val="0093033C"/>
    <w:rsid w:val="009356C5"/>
    <w:rsid w:val="00935D30"/>
    <w:rsid w:val="009436E3"/>
    <w:rsid w:val="00944599"/>
    <w:rsid w:val="00946059"/>
    <w:rsid w:val="00952334"/>
    <w:rsid w:val="0095322A"/>
    <w:rsid w:val="009553F5"/>
    <w:rsid w:val="00957BCD"/>
    <w:rsid w:val="00967250"/>
    <w:rsid w:val="009676B9"/>
    <w:rsid w:val="00971CC8"/>
    <w:rsid w:val="00975B1D"/>
    <w:rsid w:val="009771AF"/>
    <w:rsid w:val="00980523"/>
    <w:rsid w:val="00982FFF"/>
    <w:rsid w:val="00987DF2"/>
    <w:rsid w:val="009914BD"/>
    <w:rsid w:val="00992087"/>
    <w:rsid w:val="00992710"/>
    <w:rsid w:val="00993114"/>
    <w:rsid w:val="00994659"/>
    <w:rsid w:val="00994A83"/>
    <w:rsid w:val="00996273"/>
    <w:rsid w:val="009A2AB4"/>
    <w:rsid w:val="009A595E"/>
    <w:rsid w:val="009A6E7B"/>
    <w:rsid w:val="009B5A58"/>
    <w:rsid w:val="009C21E0"/>
    <w:rsid w:val="009C2E7E"/>
    <w:rsid w:val="009C5419"/>
    <w:rsid w:val="009C54C4"/>
    <w:rsid w:val="009D150F"/>
    <w:rsid w:val="009D7EC8"/>
    <w:rsid w:val="009E0ED0"/>
    <w:rsid w:val="009E3171"/>
    <w:rsid w:val="009F3211"/>
    <w:rsid w:val="009F6352"/>
    <w:rsid w:val="009F7D66"/>
    <w:rsid w:val="00A01333"/>
    <w:rsid w:val="00A01FB2"/>
    <w:rsid w:val="00A03F84"/>
    <w:rsid w:val="00A0438E"/>
    <w:rsid w:val="00A05289"/>
    <w:rsid w:val="00A10798"/>
    <w:rsid w:val="00A1281A"/>
    <w:rsid w:val="00A17D1D"/>
    <w:rsid w:val="00A20966"/>
    <w:rsid w:val="00A26EC4"/>
    <w:rsid w:val="00A31BE9"/>
    <w:rsid w:val="00A35894"/>
    <w:rsid w:val="00A37AA0"/>
    <w:rsid w:val="00A40923"/>
    <w:rsid w:val="00A42621"/>
    <w:rsid w:val="00A44EB0"/>
    <w:rsid w:val="00A45750"/>
    <w:rsid w:val="00A5794C"/>
    <w:rsid w:val="00A70717"/>
    <w:rsid w:val="00A7238F"/>
    <w:rsid w:val="00A75659"/>
    <w:rsid w:val="00A91F48"/>
    <w:rsid w:val="00A939BC"/>
    <w:rsid w:val="00AA64FB"/>
    <w:rsid w:val="00AB3AB7"/>
    <w:rsid w:val="00AC189A"/>
    <w:rsid w:val="00AC2749"/>
    <w:rsid w:val="00AC372C"/>
    <w:rsid w:val="00AC5127"/>
    <w:rsid w:val="00AC7A77"/>
    <w:rsid w:val="00AD426B"/>
    <w:rsid w:val="00AD4C82"/>
    <w:rsid w:val="00AD5BFA"/>
    <w:rsid w:val="00AD5EB0"/>
    <w:rsid w:val="00AE0BF4"/>
    <w:rsid w:val="00AE2B14"/>
    <w:rsid w:val="00AE3BDB"/>
    <w:rsid w:val="00AE5649"/>
    <w:rsid w:val="00AF3C52"/>
    <w:rsid w:val="00B02301"/>
    <w:rsid w:val="00B06E26"/>
    <w:rsid w:val="00B11FF4"/>
    <w:rsid w:val="00B267A3"/>
    <w:rsid w:val="00B2730F"/>
    <w:rsid w:val="00B341F1"/>
    <w:rsid w:val="00B35369"/>
    <w:rsid w:val="00B37A9B"/>
    <w:rsid w:val="00B41A08"/>
    <w:rsid w:val="00B4372D"/>
    <w:rsid w:val="00B43E6B"/>
    <w:rsid w:val="00B440EB"/>
    <w:rsid w:val="00B50B2D"/>
    <w:rsid w:val="00B51C14"/>
    <w:rsid w:val="00B564FE"/>
    <w:rsid w:val="00B56B8D"/>
    <w:rsid w:val="00B61EC2"/>
    <w:rsid w:val="00B64636"/>
    <w:rsid w:val="00B64D46"/>
    <w:rsid w:val="00B659D4"/>
    <w:rsid w:val="00B65B18"/>
    <w:rsid w:val="00B6604D"/>
    <w:rsid w:val="00B66B48"/>
    <w:rsid w:val="00B709D6"/>
    <w:rsid w:val="00B74EBD"/>
    <w:rsid w:val="00B750D0"/>
    <w:rsid w:val="00B75420"/>
    <w:rsid w:val="00B76F60"/>
    <w:rsid w:val="00B779A9"/>
    <w:rsid w:val="00B814BC"/>
    <w:rsid w:val="00B82EAA"/>
    <w:rsid w:val="00BA20EC"/>
    <w:rsid w:val="00BA3AA3"/>
    <w:rsid w:val="00BA4CD6"/>
    <w:rsid w:val="00BA56DA"/>
    <w:rsid w:val="00BA5A9A"/>
    <w:rsid w:val="00BA61EE"/>
    <w:rsid w:val="00BA761C"/>
    <w:rsid w:val="00BC1A03"/>
    <w:rsid w:val="00BC2423"/>
    <w:rsid w:val="00BC2776"/>
    <w:rsid w:val="00BC27A5"/>
    <w:rsid w:val="00BC432E"/>
    <w:rsid w:val="00BC5961"/>
    <w:rsid w:val="00BC63F3"/>
    <w:rsid w:val="00BD0348"/>
    <w:rsid w:val="00BD12AB"/>
    <w:rsid w:val="00BD4B18"/>
    <w:rsid w:val="00BE15C8"/>
    <w:rsid w:val="00BE702F"/>
    <w:rsid w:val="00BE7291"/>
    <w:rsid w:val="00C02DBF"/>
    <w:rsid w:val="00C02E8B"/>
    <w:rsid w:val="00C03332"/>
    <w:rsid w:val="00C04118"/>
    <w:rsid w:val="00C13341"/>
    <w:rsid w:val="00C143E8"/>
    <w:rsid w:val="00C16437"/>
    <w:rsid w:val="00C16741"/>
    <w:rsid w:val="00C17668"/>
    <w:rsid w:val="00C2253D"/>
    <w:rsid w:val="00C24D82"/>
    <w:rsid w:val="00C321EA"/>
    <w:rsid w:val="00C33891"/>
    <w:rsid w:val="00C34B2A"/>
    <w:rsid w:val="00C42964"/>
    <w:rsid w:val="00C43B4A"/>
    <w:rsid w:val="00C452AC"/>
    <w:rsid w:val="00C501A7"/>
    <w:rsid w:val="00C50FB8"/>
    <w:rsid w:val="00C5685E"/>
    <w:rsid w:val="00C56C15"/>
    <w:rsid w:val="00C60409"/>
    <w:rsid w:val="00C65008"/>
    <w:rsid w:val="00C65016"/>
    <w:rsid w:val="00C6561B"/>
    <w:rsid w:val="00C663DA"/>
    <w:rsid w:val="00C70FAF"/>
    <w:rsid w:val="00C73529"/>
    <w:rsid w:val="00C73929"/>
    <w:rsid w:val="00C74E19"/>
    <w:rsid w:val="00C76DB1"/>
    <w:rsid w:val="00C82160"/>
    <w:rsid w:val="00C82911"/>
    <w:rsid w:val="00C82D38"/>
    <w:rsid w:val="00C85260"/>
    <w:rsid w:val="00C861D2"/>
    <w:rsid w:val="00C863A2"/>
    <w:rsid w:val="00C86812"/>
    <w:rsid w:val="00C86DCB"/>
    <w:rsid w:val="00C92281"/>
    <w:rsid w:val="00C92CDA"/>
    <w:rsid w:val="00C9472B"/>
    <w:rsid w:val="00C95A4E"/>
    <w:rsid w:val="00C96597"/>
    <w:rsid w:val="00C969F3"/>
    <w:rsid w:val="00CA1EB2"/>
    <w:rsid w:val="00CA2432"/>
    <w:rsid w:val="00CA798A"/>
    <w:rsid w:val="00CA7E5A"/>
    <w:rsid w:val="00CB1520"/>
    <w:rsid w:val="00CB6C43"/>
    <w:rsid w:val="00CC1FC2"/>
    <w:rsid w:val="00CC2D18"/>
    <w:rsid w:val="00CC48C1"/>
    <w:rsid w:val="00CC4A0A"/>
    <w:rsid w:val="00CC4EF4"/>
    <w:rsid w:val="00CC5A7E"/>
    <w:rsid w:val="00CC60E7"/>
    <w:rsid w:val="00CC7753"/>
    <w:rsid w:val="00CC7CA2"/>
    <w:rsid w:val="00CD01BB"/>
    <w:rsid w:val="00CD1161"/>
    <w:rsid w:val="00CD11C3"/>
    <w:rsid w:val="00CD237A"/>
    <w:rsid w:val="00CD7BE8"/>
    <w:rsid w:val="00CE233A"/>
    <w:rsid w:val="00D1019E"/>
    <w:rsid w:val="00D101B3"/>
    <w:rsid w:val="00D10555"/>
    <w:rsid w:val="00D11376"/>
    <w:rsid w:val="00D13D4B"/>
    <w:rsid w:val="00D172BC"/>
    <w:rsid w:val="00D17ED7"/>
    <w:rsid w:val="00D222D8"/>
    <w:rsid w:val="00D23277"/>
    <w:rsid w:val="00D30277"/>
    <w:rsid w:val="00D304D1"/>
    <w:rsid w:val="00D3105C"/>
    <w:rsid w:val="00D36966"/>
    <w:rsid w:val="00D43C47"/>
    <w:rsid w:val="00D4502B"/>
    <w:rsid w:val="00D45603"/>
    <w:rsid w:val="00D47851"/>
    <w:rsid w:val="00D50A88"/>
    <w:rsid w:val="00D50D04"/>
    <w:rsid w:val="00D510D6"/>
    <w:rsid w:val="00D75F1F"/>
    <w:rsid w:val="00D80D44"/>
    <w:rsid w:val="00D864A5"/>
    <w:rsid w:val="00D933D2"/>
    <w:rsid w:val="00D9415C"/>
    <w:rsid w:val="00D9574F"/>
    <w:rsid w:val="00D96FAA"/>
    <w:rsid w:val="00D97C6A"/>
    <w:rsid w:val="00D97F3C"/>
    <w:rsid w:val="00DB2833"/>
    <w:rsid w:val="00DB78AA"/>
    <w:rsid w:val="00DD3616"/>
    <w:rsid w:val="00DE0A50"/>
    <w:rsid w:val="00DE5486"/>
    <w:rsid w:val="00DF2A6F"/>
    <w:rsid w:val="00DF6399"/>
    <w:rsid w:val="00DF7A67"/>
    <w:rsid w:val="00E0170F"/>
    <w:rsid w:val="00E115EE"/>
    <w:rsid w:val="00E16E01"/>
    <w:rsid w:val="00E212D0"/>
    <w:rsid w:val="00E27B73"/>
    <w:rsid w:val="00E35FA3"/>
    <w:rsid w:val="00E371BB"/>
    <w:rsid w:val="00E476B6"/>
    <w:rsid w:val="00E62BED"/>
    <w:rsid w:val="00E63359"/>
    <w:rsid w:val="00E73371"/>
    <w:rsid w:val="00E73A1B"/>
    <w:rsid w:val="00E75BCA"/>
    <w:rsid w:val="00E76310"/>
    <w:rsid w:val="00E77E52"/>
    <w:rsid w:val="00E83CB5"/>
    <w:rsid w:val="00E84305"/>
    <w:rsid w:val="00E9042C"/>
    <w:rsid w:val="00E928BB"/>
    <w:rsid w:val="00E95A6B"/>
    <w:rsid w:val="00EA0056"/>
    <w:rsid w:val="00EA14B9"/>
    <w:rsid w:val="00EA1C76"/>
    <w:rsid w:val="00EA6735"/>
    <w:rsid w:val="00EB00FD"/>
    <w:rsid w:val="00EB31CA"/>
    <w:rsid w:val="00EC056B"/>
    <w:rsid w:val="00EC0BFB"/>
    <w:rsid w:val="00EC1685"/>
    <w:rsid w:val="00EC6938"/>
    <w:rsid w:val="00ED0F11"/>
    <w:rsid w:val="00ED0F5A"/>
    <w:rsid w:val="00ED310D"/>
    <w:rsid w:val="00EE164F"/>
    <w:rsid w:val="00EE1915"/>
    <w:rsid w:val="00EE1984"/>
    <w:rsid w:val="00EE7651"/>
    <w:rsid w:val="00EF028F"/>
    <w:rsid w:val="00EF4F03"/>
    <w:rsid w:val="00F00C4C"/>
    <w:rsid w:val="00F02EE4"/>
    <w:rsid w:val="00F03CB8"/>
    <w:rsid w:val="00F04553"/>
    <w:rsid w:val="00F06927"/>
    <w:rsid w:val="00F10548"/>
    <w:rsid w:val="00F1343A"/>
    <w:rsid w:val="00F21027"/>
    <w:rsid w:val="00F32162"/>
    <w:rsid w:val="00F33606"/>
    <w:rsid w:val="00F35714"/>
    <w:rsid w:val="00F35903"/>
    <w:rsid w:val="00F3623A"/>
    <w:rsid w:val="00F441AD"/>
    <w:rsid w:val="00F4594E"/>
    <w:rsid w:val="00F5332E"/>
    <w:rsid w:val="00F54B0B"/>
    <w:rsid w:val="00F57858"/>
    <w:rsid w:val="00F60524"/>
    <w:rsid w:val="00F72662"/>
    <w:rsid w:val="00F8464C"/>
    <w:rsid w:val="00F85736"/>
    <w:rsid w:val="00F86F66"/>
    <w:rsid w:val="00F91332"/>
    <w:rsid w:val="00F93450"/>
    <w:rsid w:val="00F949EC"/>
    <w:rsid w:val="00FA3575"/>
    <w:rsid w:val="00FA359E"/>
    <w:rsid w:val="00FA4A58"/>
    <w:rsid w:val="00FA61BD"/>
    <w:rsid w:val="00FB2A3E"/>
    <w:rsid w:val="00FB4619"/>
    <w:rsid w:val="00FB515C"/>
    <w:rsid w:val="00FB6188"/>
    <w:rsid w:val="00FC0D6A"/>
    <w:rsid w:val="00FC1CF1"/>
    <w:rsid w:val="00FD212A"/>
    <w:rsid w:val="00FD41B2"/>
    <w:rsid w:val="00FD4915"/>
    <w:rsid w:val="00FD4B3A"/>
    <w:rsid w:val="00FD4BBD"/>
    <w:rsid w:val="00FF16DD"/>
    <w:rsid w:val="00FF20D1"/>
    <w:rsid w:val="00FF5B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94A83"/>
    <w:pPr>
      <w:spacing w:line="260" w:lineRule="atLeast"/>
    </w:pPr>
    <w:rPr>
      <w:rFonts w:eastAsiaTheme="minorHAnsi" w:cstheme="minorBidi"/>
      <w:sz w:val="22"/>
      <w:lang w:eastAsia="en-US"/>
    </w:rPr>
  </w:style>
  <w:style w:type="paragraph" w:styleId="Heading1">
    <w:name w:val="heading 1"/>
    <w:basedOn w:val="Normal"/>
    <w:next w:val="Normal"/>
    <w:qFormat/>
    <w:rsid w:val="00F857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857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85736"/>
    <w:pPr>
      <w:keepNext/>
      <w:spacing w:before="240" w:after="60"/>
      <w:outlineLvl w:val="2"/>
    </w:pPr>
    <w:rPr>
      <w:rFonts w:ascii="Arial" w:hAnsi="Arial" w:cs="Arial"/>
      <w:b/>
      <w:bCs/>
      <w:sz w:val="26"/>
      <w:szCs w:val="26"/>
    </w:rPr>
  </w:style>
  <w:style w:type="paragraph" w:styleId="Heading4">
    <w:name w:val="heading 4"/>
    <w:basedOn w:val="Normal"/>
    <w:next w:val="Normal"/>
    <w:qFormat/>
    <w:rsid w:val="00F85736"/>
    <w:pPr>
      <w:keepNext/>
      <w:spacing w:before="240" w:after="60"/>
      <w:outlineLvl w:val="3"/>
    </w:pPr>
    <w:rPr>
      <w:b/>
      <w:bCs/>
      <w:sz w:val="28"/>
      <w:szCs w:val="28"/>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unhideWhenUsed/>
    <w:rsid w:val="00994A8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94A83"/>
  </w:style>
  <w:style w:type="character" w:customStyle="1" w:styleId="CharSubPartTextCASA">
    <w:name w:val="CharSubPartText(CASA)"/>
    <w:basedOn w:val="OPCCharBase"/>
    <w:uiPriority w:val="1"/>
    <w:rsid w:val="00994A83"/>
  </w:style>
  <w:style w:type="character" w:customStyle="1" w:styleId="CharSubPartNoCASA">
    <w:name w:val="CharSubPartNo(CASA)"/>
    <w:basedOn w:val="OPCCharBase"/>
    <w:uiPriority w:val="1"/>
    <w:rsid w:val="00994A83"/>
  </w:style>
  <w:style w:type="paragraph" w:styleId="Footer">
    <w:name w:val="footer"/>
    <w:link w:val="FooterChar"/>
    <w:rsid w:val="00994A83"/>
    <w:pPr>
      <w:tabs>
        <w:tab w:val="center" w:pos="4153"/>
        <w:tab w:val="right" w:pos="8306"/>
      </w:tabs>
    </w:pPr>
    <w:rPr>
      <w:sz w:val="22"/>
      <w:szCs w:val="24"/>
    </w:rPr>
  </w:style>
  <w:style w:type="paragraph" w:customStyle="1" w:styleId="ENoteTTIndentHeadingSub">
    <w:name w:val="ENoteTTIndentHeadingSub"/>
    <w:aliases w:val="enTTHis"/>
    <w:basedOn w:val="OPCParaBase"/>
    <w:rsid w:val="00994A83"/>
    <w:pPr>
      <w:keepNext/>
      <w:spacing w:before="60" w:line="240" w:lineRule="atLeast"/>
      <w:ind w:left="340"/>
    </w:pPr>
    <w:rPr>
      <w:b/>
      <w:sz w:val="16"/>
    </w:rPr>
  </w:style>
  <w:style w:type="paragraph" w:customStyle="1" w:styleId="ENoteTTiSub">
    <w:name w:val="ENoteTTiSub"/>
    <w:aliases w:val="enttis"/>
    <w:basedOn w:val="OPCParaBase"/>
    <w:rsid w:val="00994A83"/>
    <w:pPr>
      <w:keepNext/>
      <w:spacing w:before="60" w:line="240" w:lineRule="atLeast"/>
      <w:ind w:left="340"/>
    </w:pPr>
    <w:rPr>
      <w:sz w:val="16"/>
    </w:rPr>
  </w:style>
  <w:style w:type="paragraph" w:customStyle="1" w:styleId="SubDivisionMigration">
    <w:name w:val="SubDivisionMigration"/>
    <w:aliases w:val="sdm"/>
    <w:basedOn w:val="OPCParaBase"/>
    <w:rsid w:val="00994A8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94A83"/>
    <w:pPr>
      <w:keepNext/>
      <w:keepLines/>
      <w:spacing w:before="240" w:line="240" w:lineRule="auto"/>
      <w:ind w:left="1134" w:hanging="1134"/>
    </w:pPr>
    <w:rPr>
      <w:b/>
      <w:sz w:val="28"/>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994A83"/>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994A83"/>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tabs>
        <w:tab w:val="num" w:pos="360"/>
      </w:tabs>
      <w:ind w:left="360" w:hanging="360"/>
    </w:pPr>
  </w:style>
  <w:style w:type="paragraph" w:styleId="ListBullet2">
    <w:name w:val="List Bullet 2"/>
    <w:basedOn w:val="Normal"/>
    <w:autoRedefine/>
    <w:rsid w:val="00F85736"/>
    <w:pPr>
      <w:tabs>
        <w:tab w:val="num" w:pos="360"/>
      </w:tabs>
    </w:pPr>
  </w:style>
  <w:style w:type="paragraph" w:styleId="ListBullet3">
    <w:name w:val="List Bullet 3"/>
    <w:basedOn w:val="Normal"/>
    <w:autoRedefine/>
    <w:rsid w:val="00F85736"/>
    <w:pPr>
      <w:tabs>
        <w:tab w:val="num" w:pos="360"/>
      </w:tabs>
    </w:pPr>
  </w:style>
  <w:style w:type="paragraph" w:styleId="ListBullet4">
    <w:name w:val="List Bullet 4"/>
    <w:basedOn w:val="Normal"/>
    <w:autoRedefine/>
    <w:rsid w:val="00F85736"/>
    <w:pPr>
      <w:tabs>
        <w:tab w:val="num" w:pos="1209"/>
      </w:tabs>
      <w:ind w:left="1209" w:hanging="360"/>
    </w:pPr>
  </w:style>
  <w:style w:type="paragraph" w:styleId="ListBullet5">
    <w:name w:val="List Bullet 5"/>
    <w:basedOn w:val="Normal"/>
    <w:autoRedefine/>
    <w:rsid w:val="00F85736"/>
    <w:pPr>
      <w:tabs>
        <w:tab w:val="num" w:pos="1492"/>
      </w:tabs>
      <w:ind w:left="1492" w:hanging="360"/>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tabs>
        <w:tab w:val="num" w:pos="360"/>
      </w:tabs>
      <w:ind w:left="360" w:hanging="360"/>
    </w:pPr>
  </w:style>
  <w:style w:type="paragraph" w:styleId="ListNumber2">
    <w:name w:val="List Number 2"/>
    <w:basedOn w:val="Normal"/>
    <w:rsid w:val="00F85736"/>
    <w:pPr>
      <w:tabs>
        <w:tab w:val="num" w:pos="643"/>
      </w:tabs>
      <w:ind w:left="643" w:hanging="360"/>
    </w:pPr>
  </w:style>
  <w:style w:type="paragraph" w:styleId="ListNumber3">
    <w:name w:val="List Number 3"/>
    <w:basedOn w:val="Normal"/>
    <w:rsid w:val="00F85736"/>
    <w:pPr>
      <w:tabs>
        <w:tab w:val="num" w:pos="926"/>
      </w:tabs>
      <w:ind w:left="926" w:hanging="360"/>
    </w:pPr>
  </w:style>
  <w:style w:type="paragraph" w:styleId="ListNumber4">
    <w:name w:val="List Number 4"/>
    <w:basedOn w:val="Normal"/>
    <w:rsid w:val="00F85736"/>
    <w:pPr>
      <w:tabs>
        <w:tab w:val="num" w:pos="1209"/>
      </w:tabs>
      <w:ind w:left="1209" w:hanging="360"/>
    </w:pPr>
  </w:style>
  <w:style w:type="paragraph" w:styleId="ListNumber5">
    <w:name w:val="List Number 5"/>
    <w:basedOn w:val="Normal"/>
    <w:rsid w:val="00F85736"/>
    <w:pPr>
      <w:tabs>
        <w:tab w:val="num" w:pos="1492"/>
      </w:tabs>
      <w:ind w:left="1492" w:hanging="360"/>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994A83"/>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994A83"/>
  </w:style>
  <w:style w:type="character" w:customStyle="1" w:styleId="CharAmSchText">
    <w:name w:val="CharAmSchText"/>
    <w:basedOn w:val="OPCCharBase"/>
    <w:uiPriority w:val="1"/>
    <w:qFormat/>
    <w:rsid w:val="00994A83"/>
  </w:style>
  <w:style w:type="character" w:customStyle="1" w:styleId="CharChapNo">
    <w:name w:val="CharChapNo"/>
    <w:basedOn w:val="OPCCharBase"/>
    <w:qFormat/>
    <w:rsid w:val="00994A83"/>
  </w:style>
  <w:style w:type="character" w:customStyle="1" w:styleId="CharChapText">
    <w:name w:val="CharChapText"/>
    <w:basedOn w:val="OPCCharBase"/>
    <w:qFormat/>
    <w:rsid w:val="00994A83"/>
  </w:style>
  <w:style w:type="character" w:customStyle="1" w:styleId="CharDivNo">
    <w:name w:val="CharDivNo"/>
    <w:basedOn w:val="OPCCharBase"/>
    <w:qFormat/>
    <w:rsid w:val="00994A83"/>
  </w:style>
  <w:style w:type="character" w:customStyle="1" w:styleId="CharDivText">
    <w:name w:val="CharDivText"/>
    <w:basedOn w:val="OPCCharBase"/>
    <w:qFormat/>
    <w:rsid w:val="00994A83"/>
  </w:style>
  <w:style w:type="character" w:customStyle="1" w:styleId="CharPartNo">
    <w:name w:val="CharPartNo"/>
    <w:basedOn w:val="OPCCharBase"/>
    <w:qFormat/>
    <w:rsid w:val="00994A83"/>
  </w:style>
  <w:style w:type="character" w:customStyle="1" w:styleId="CharPartText">
    <w:name w:val="CharPartText"/>
    <w:basedOn w:val="OPCCharBase"/>
    <w:qFormat/>
    <w:rsid w:val="00994A83"/>
  </w:style>
  <w:style w:type="character" w:customStyle="1" w:styleId="OPCCharBase">
    <w:name w:val="OPCCharBase"/>
    <w:uiPriority w:val="1"/>
    <w:qFormat/>
    <w:rsid w:val="00994A83"/>
  </w:style>
  <w:style w:type="paragraph" w:customStyle="1" w:styleId="OPCParaBase">
    <w:name w:val="OPCParaBase"/>
    <w:qFormat/>
    <w:rsid w:val="00994A83"/>
    <w:pPr>
      <w:spacing w:line="260" w:lineRule="atLeast"/>
    </w:pPr>
    <w:rPr>
      <w:sz w:val="22"/>
    </w:rPr>
  </w:style>
  <w:style w:type="character" w:customStyle="1" w:styleId="CharSectno">
    <w:name w:val="CharSectno"/>
    <w:basedOn w:val="OPCCharBase"/>
    <w:qFormat/>
    <w:rsid w:val="00994A83"/>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994A83"/>
    <w:pPr>
      <w:spacing w:line="240" w:lineRule="auto"/>
      <w:ind w:left="1134"/>
    </w:pPr>
    <w:rPr>
      <w:sz w:val="20"/>
    </w:rPr>
  </w:style>
  <w:style w:type="paragraph" w:customStyle="1" w:styleId="ShortT">
    <w:name w:val="ShortT"/>
    <w:basedOn w:val="OPCParaBase"/>
    <w:next w:val="Normal"/>
    <w:qFormat/>
    <w:rsid w:val="00994A83"/>
    <w:pPr>
      <w:spacing w:line="240" w:lineRule="auto"/>
    </w:pPr>
    <w:rPr>
      <w:b/>
      <w:sz w:val="40"/>
    </w:rPr>
  </w:style>
  <w:style w:type="paragraph" w:customStyle="1" w:styleId="Penalty">
    <w:name w:val="Penalty"/>
    <w:basedOn w:val="OPCParaBase"/>
    <w:rsid w:val="00994A83"/>
    <w:pPr>
      <w:tabs>
        <w:tab w:val="left" w:pos="2977"/>
      </w:tabs>
      <w:spacing w:before="180" w:line="240" w:lineRule="auto"/>
      <w:ind w:left="1985" w:hanging="851"/>
    </w:pPr>
  </w:style>
  <w:style w:type="paragraph" w:styleId="TOC1">
    <w:name w:val="toc 1"/>
    <w:basedOn w:val="OPCParaBase"/>
    <w:next w:val="Normal"/>
    <w:uiPriority w:val="39"/>
    <w:unhideWhenUsed/>
    <w:rsid w:val="00994A8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94A8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94A8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94A8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94A8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94A8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94A8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994A8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94A83"/>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994A83"/>
    <w:pPr>
      <w:spacing w:line="240" w:lineRule="auto"/>
    </w:pPr>
    <w:rPr>
      <w:sz w:val="20"/>
    </w:rPr>
  </w:style>
  <w:style w:type="paragraph" w:customStyle="1" w:styleId="ActHead1">
    <w:name w:val="ActHead 1"/>
    <w:aliases w:val="c"/>
    <w:basedOn w:val="OPCParaBase"/>
    <w:next w:val="Normal"/>
    <w:qFormat/>
    <w:rsid w:val="00994A83"/>
    <w:pPr>
      <w:keepNext/>
      <w:keepLines/>
      <w:spacing w:line="240" w:lineRule="auto"/>
      <w:ind w:left="1134" w:hanging="1134"/>
      <w:outlineLvl w:val="0"/>
    </w:pPr>
    <w:rPr>
      <w:b/>
      <w:kern w:val="28"/>
      <w:sz w:val="36"/>
    </w:rPr>
  </w:style>
  <w:style w:type="paragraph" w:styleId="BalloonText">
    <w:name w:val="Balloon Text"/>
    <w:basedOn w:val="Normal"/>
    <w:link w:val="BalloonTextChar"/>
    <w:uiPriority w:val="99"/>
    <w:unhideWhenUsed/>
    <w:rsid w:val="00994A83"/>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ActHead2">
    <w:name w:val="ActHead 2"/>
    <w:aliases w:val="p"/>
    <w:basedOn w:val="OPCParaBase"/>
    <w:next w:val="ActHead3"/>
    <w:qFormat/>
    <w:rsid w:val="00994A8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94A8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94A8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94A8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94A8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94A8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94A8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94A8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94A83"/>
  </w:style>
  <w:style w:type="paragraph" w:customStyle="1" w:styleId="Blocks">
    <w:name w:val="Blocks"/>
    <w:aliases w:val="bb"/>
    <w:basedOn w:val="OPCParaBase"/>
    <w:qFormat/>
    <w:rsid w:val="00994A83"/>
    <w:pPr>
      <w:spacing w:line="240" w:lineRule="auto"/>
    </w:pPr>
    <w:rPr>
      <w:sz w:val="24"/>
    </w:rPr>
  </w:style>
  <w:style w:type="paragraph" w:customStyle="1" w:styleId="BoxText">
    <w:name w:val="BoxText"/>
    <w:aliases w:val="bt"/>
    <w:basedOn w:val="OPCParaBase"/>
    <w:qFormat/>
    <w:rsid w:val="00994A8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94A83"/>
    <w:rPr>
      <w:b/>
    </w:rPr>
  </w:style>
  <w:style w:type="paragraph" w:customStyle="1" w:styleId="BoxHeadItalic">
    <w:name w:val="BoxHeadItalic"/>
    <w:aliases w:val="bhi"/>
    <w:basedOn w:val="BoxText"/>
    <w:next w:val="BoxStep"/>
    <w:qFormat/>
    <w:rsid w:val="00994A83"/>
    <w:rPr>
      <w:i/>
    </w:rPr>
  </w:style>
  <w:style w:type="paragraph" w:customStyle="1" w:styleId="BoxList">
    <w:name w:val="BoxList"/>
    <w:aliases w:val="bl"/>
    <w:basedOn w:val="BoxText"/>
    <w:qFormat/>
    <w:rsid w:val="00994A83"/>
    <w:pPr>
      <w:ind w:left="1559" w:hanging="425"/>
    </w:pPr>
  </w:style>
  <w:style w:type="paragraph" w:customStyle="1" w:styleId="BoxNote">
    <w:name w:val="BoxNote"/>
    <w:aliases w:val="bn"/>
    <w:basedOn w:val="BoxText"/>
    <w:qFormat/>
    <w:rsid w:val="00994A83"/>
    <w:pPr>
      <w:tabs>
        <w:tab w:val="left" w:pos="1985"/>
      </w:tabs>
      <w:spacing w:before="122" w:line="198" w:lineRule="exact"/>
      <w:ind w:left="2948" w:hanging="1814"/>
    </w:pPr>
    <w:rPr>
      <w:sz w:val="18"/>
    </w:rPr>
  </w:style>
  <w:style w:type="paragraph" w:customStyle="1" w:styleId="BoxPara">
    <w:name w:val="BoxPara"/>
    <w:aliases w:val="bp"/>
    <w:basedOn w:val="BoxText"/>
    <w:qFormat/>
    <w:rsid w:val="00994A83"/>
    <w:pPr>
      <w:tabs>
        <w:tab w:val="right" w:pos="2268"/>
      </w:tabs>
      <w:ind w:left="2552" w:hanging="1418"/>
    </w:pPr>
  </w:style>
  <w:style w:type="paragraph" w:customStyle="1" w:styleId="BoxStep">
    <w:name w:val="BoxStep"/>
    <w:aliases w:val="bs"/>
    <w:basedOn w:val="BoxText"/>
    <w:qFormat/>
    <w:rsid w:val="00994A83"/>
    <w:pPr>
      <w:ind w:left="1985" w:hanging="851"/>
    </w:pPr>
  </w:style>
  <w:style w:type="character" w:customStyle="1" w:styleId="CharAmPartNo">
    <w:name w:val="CharAmPartNo"/>
    <w:basedOn w:val="OPCCharBase"/>
    <w:uiPriority w:val="1"/>
    <w:qFormat/>
    <w:rsid w:val="00994A83"/>
  </w:style>
  <w:style w:type="character" w:customStyle="1" w:styleId="CharAmPartText">
    <w:name w:val="CharAmPartText"/>
    <w:basedOn w:val="OPCCharBase"/>
    <w:uiPriority w:val="1"/>
    <w:qFormat/>
    <w:rsid w:val="00994A83"/>
  </w:style>
  <w:style w:type="character" w:customStyle="1" w:styleId="CharBoldItalic">
    <w:name w:val="CharBoldItalic"/>
    <w:basedOn w:val="OPCCharBase"/>
    <w:uiPriority w:val="1"/>
    <w:qFormat/>
    <w:rsid w:val="00994A83"/>
    <w:rPr>
      <w:b/>
      <w:i/>
    </w:rPr>
  </w:style>
  <w:style w:type="character" w:customStyle="1" w:styleId="CharItalic">
    <w:name w:val="CharItalic"/>
    <w:basedOn w:val="OPCCharBase"/>
    <w:uiPriority w:val="1"/>
    <w:qFormat/>
    <w:rsid w:val="00994A83"/>
    <w:rPr>
      <w:i/>
    </w:rPr>
  </w:style>
  <w:style w:type="character" w:customStyle="1" w:styleId="CharSubdNo">
    <w:name w:val="CharSubdNo"/>
    <w:basedOn w:val="OPCCharBase"/>
    <w:uiPriority w:val="1"/>
    <w:qFormat/>
    <w:rsid w:val="00994A83"/>
  </w:style>
  <w:style w:type="character" w:customStyle="1" w:styleId="CharSubdText">
    <w:name w:val="CharSubdText"/>
    <w:basedOn w:val="OPCCharBase"/>
    <w:uiPriority w:val="1"/>
    <w:qFormat/>
    <w:rsid w:val="00994A83"/>
  </w:style>
  <w:style w:type="paragraph" w:customStyle="1" w:styleId="CTA--">
    <w:name w:val="CTA --"/>
    <w:basedOn w:val="OPCParaBase"/>
    <w:next w:val="Normal"/>
    <w:rsid w:val="00994A83"/>
    <w:pPr>
      <w:spacing w:before="60" w:line="240" w:lineRule="atLeast"/>
      <w:ind w:left="142" w:hanging="142"/>
    </w:pPr>
    <w:rPr>
      <w:sz w:val="20"/>
    </w:rPr>
  </w:style>
  <w:style w:type="paragraph" w:customStyle="1" w:styleId="CTA-">
    <w:name w:val="CTA -"/>
    <w:basedOn w:val="OPCParaBase"/>
    <w:rsid w:val="00994A83"/>
    <w:pPr>
      <w:spacing w:before="60" w:line="240" w:lineRule="atLeast"/>
      <w:ind w:left="85" w:hanging="85"/>
    </w:pPr>
    <w:rPr>
      <w:sz w:val="20"/>
    </w:rPr>
  </w:style>
  <w:style w:type="paragraph" w:customStyle="1" w:styleId="CTA---">
    <w:name w:val="CTA ---"/>
    <w:basedOn w:val="OPCParaBase"/>
    <w:next w:val="Normal"/>
    <w:rsid w:val="00994A83"/>
    <w:pPr>
      <w:spacing w:before="60" w:line="240" w:lineRule="atLeast"/>
      <w:ind w:left="198" w:hanging="198"/>
    </w:pPr>
    <w:rPr>
      <w:sz w:val="20"/>
    </w:rPr>
  </w:style>
  <w:style w:type="paragraph" w:customStyle="1" w:styleId="CTA----">
    <w:name w:val="CTA ----"/>
    <w:basedOn w:val="OPCParaBase"/>
    <w:next w:val="Normal"/>
    <w:rsid w:val="00994A83"/>
    <w:pPr>
      <w:spacing w:before="60" w:line="240" w:lineRule="atLeast"/>
      <w:ind w:left="255" w:hanging="255"/>
    </w:pPr>
    <w:rPr>
      <w:sz w:val="20"/>
    </w:rPr>
  </w:style>
  <w:style w:type="paragraph" w:customStyle="1" w:styleId="CTA1a">
    <w:name w:val="CTA 1(a)"/>
    <w:basedOn w:val="OPCParaBase"/>
    <w:rsid w:val="00994A83"/>
    <w:pPr>
      <w:tabs>
        <w:tab w:val="right" w:pos="414"/>
      </w:tabs>
      <w:spacing w:before="40" w:line="240" w:lineRule="atLeast"/>
      <w:ind w:left="675" w:hanging="675"/>
    </w:pPr>
    <w:rPr>
      <w:sz w:val="20"/>
    </w:rPr>
  </w:style>
  <w:style w:type="paragraph" w:customStyle="1" w:styleId="CTA1ai">
    <w:name w:val="CTA 1(a)(i)"/>
    <w:basedOn w:val="OPCParaBase"/>
    <w:rsid w:val="00994A83"/>
    <w:pPr>
      <w:tabs>
        <w:tab w:val="right" w:pos="1004"/>
      </w:tabs>
      <w:spacing w:before="40" w:line="240" w:lineRule="atLeast"/>
      <w:ind w:left="1253" w:hanging="1253"/>
    </w:pPr>
    <w:rPr>
      <w:sz w:val="20"/>
    </w:rPr>
  </w:style>
  <w:style w:type="paragraph" w:customStyle="1" w:styleId="CTA2a">
    <w:name w:val="CTA 2(a)"/>
    <w:basedOn w:val="OPCParaBase"/>
    <w:rsid w:val="00994A83"/>
    <w:pPr>
      <w:tabs>
        <w:tab w:val="right" w:pos="482"/>
      </w:tabs>
      <w:spacing w:before="40" w:line="240" w:lineRule="atLeast"/>
      <w:ind w:left="748" w:hanging="748"/>
    </w:pPr>
    <w:rPr>
      <w:sz w:val="20"/>
    </w:rPr>
  </w:style>
  <w:style w:type="paragraph" w:customStyle="1" w:styleId="CTA2ai">
    <w:name w:val="CTA 2(a)(i)"/>
    <w:basedOn w:val="OPCParaBase"/>
    <w:rsid w:val="00994A83"/>
    <w:pPr>
      <w:tabs>
        <w:tab w:val="right" w:pos="1089"/>
      </w:tabs>
      <w:spacing w:before="40" w:line="240" w:lineRule="atLeast"/>
      <w:ind w:left="1327" w:hanging="1327"/>
    </w:pPr>
    <w:rPr>
      <w:sz w:val="20"/>
    </w:rPr>
  </w:style>
  <w:style w:type="paragraph" w:customStyle="1" w:styleId="CTA3a">
    <w:name w:val="CTA 3(a)"/>
    <w:basedOn w:val="OPCParaBase"/>
    <w:rsid w:val="00994A83"/>
    <w:pPr>
      <w:tabs>
        <w:tab w:val="right" w:pos="556"/>
      </w:tabs>
      <w:spacing w:before="40" w:line="240" w:lineRule="atLeast"/>
      <w:ind w:left="805" w:hanging="805"/>
    </w:pPr>
    <w:rPr>
      <w:sz w:val="20"/>
    </w:rPr>
  </w:style>
  <w:style w:type="paragraph" w:customStyle="1" w:styleId="CTA3ai">
    <w:name w:val="CTA 3(a)(i)"/>
    <w:basedOn w:val="OPCParaBase"/>
    <w:rsid w:val="00994A83"/>
    <w:pPr>
      <w:tabs>
        <w:tab w:val="right" w:pos="1140"/>
      </w:tabs>
      <w:spacing w:before="40" w:line="240" w:lineRule="atLeast"/>
      <w:ind w:left="1361" w:hanging="1361"/>
    </w:pPr>
    <w:rPr>
      <w:sz w:val="20"/>
    </w:rPr>
  </w:style>
  <w:style w:type="paragraph" w:customStyle="1" w:styleId="CTA4a">
    <w:name w:val="CTA 4(a)"/>
    <w:basedOn w:val="OPCParaBase"/>
    <w:rsid w:val="00994A83"/>
    <w:pPr>
      <w:tabs>
        <w:tab w:val="right" w:pos="624"/>
      </w:tabs>
      <w:spacing w:before="40" w:line="240" w:lineRule="atLeast"/>
      <w:ind w:left="873" w:hanging="873"/>
    </w:pPr>
    <w:rPr>
      <w:sz w:val="20"/>
    </w:rPr>
  </w:style>
  <w:style w:type="paragraph" w:customStyle="1" w:styleId="CTA4ai">
    <w:name w:val="CTA 4(a)(i)"/>
    <w:basedOn w:val="OPCParaBase"/>
    <w:rsid w:val="00994A83"/>
    <w:pPr>
      <w:tabs>
        <w:tab w:val="right" w:pos="1213"/>
      </w:tabs>
      <w:spacing w:before="40" w:line="240" w:lineRule="atLeast"/>
      <w:ind w:left="1452" w:hanging="1452"/>
    </w:pPr>
    <w:rPr>
      <w:sz w:val="20"/>
    </w:rPr>
  </w:style>
  <w:style w:type="paragraph" w:customStyle="1" w:styleId="CTACAPS">
    <w:name w:val="CTA CAPS"/>
    <w:basedOn w:val="OPCParaBase"/>
    <w:rsid w:val="00994A83"/>
    <w:pPr>
      <w:spacing w:before="60" w:line="240" w:lineRule="atLeast"/>
    </w:pPr>
    <w:rPr>
      <w:sz w:val="20"/>
    </w:rPr>
  </w:style>
  <w:style w:type="paragraph" w:customStyle="1" w:styleId="CTAright">
    <w:name w:val="CTA right"/>
    <w:basedOn w:val="OPCParaBase"/>
    <w:rsid w:val="00994A83"/>
    <w:pPr>
      <w:spacing w:before="60" w:line="240" w:lineRule="auto"/>
      <w:jc w:val="right"/>
    </w:pPr>
    <w:rPr>
      <w:sz w:val="20"/>
    </w:rPr>
  </w:style>
  <w:style w:type="paragraph" w:customStyle="1" w:styleId="subsection">
    <w:name w:val="subsection"/>
    <w:aliases w:val="ss"/>
    <w:basedOn w:val="OPCParaBase"/>
    <w:link w:val="subsectionChar"/>
    <w:rsid w:val="00994A83"/>
    <w:pPr>
      <w:tabs>
        <w:tab w:val="right" w:pos="1021"/>
      </w:tabs>
      <w:spacing w:before="180" w:line="240" w:lineRule="auto"/>
      <w:ind w:left="1134" w:hanging="1134"/>
    </w:pPr>
  </w:style>
  <w:style w:type="paragraph" w:customStyle="1" w:styleId="Definition">
    <w:name w:val="Definition"/>
    <w:aliases w:val="dd"/>
    <w:basedOn w:val="OPCParaBase"/>
    <w:rsid w:val="00994A83"/>
    <w:pPr>
      <w:spacing w:before="180" w:line="240" w:lineRule="auto"/>
      <w:ind w:left="1134"/>
    </w:pPr>
  </w:style>
  <w:style w:type="paragraph" w:customStyle="1" w:styleId="EndNotespara">
    <w:name w:val="EndNotes(para)"/>
    <w:aliases w:val="eta"/>
    <w:basedOn w:val="OPCParaBase"/>
    <w:next w:val="EndNotessubpara"/>
    <w:rsid w:val="00994A8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94A8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94A8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94A83"/>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994A83"/>
    <w:rPr>
      <w:sz w:val="16"/>
    </w:rPr>
  </w:style>
  <w:style w:type="paragraph" w:customStyle="1" w:styleId="House">
    <w:name w:val="House"/>
    <w:basedOn w:val="OPCParaBase"/>
    <w:rsid w:val="00994A83"/>
    <w:pPr>
      <w:spacing w:line="240" w:lineRule="auto"/>
    </w:pPr>
    <w:rPr>
      <w:sz w:val="28"/>
    </w:rPr>
  </w:style>
  <w:style w:type="paragraph" w:customStyle="1" w:styleId="Item">
    <w:name w:val="Item"/>
    <w:aliases w:val="i"/>
    <w:basedOn w:val="OPCParaBase"/>
    <w:next w:val="ItemHead"/>
    <w:rsid w:val="00994A83"/>
    <w:pPr>
      <w:keepLines/>
      <w:spacing w:before="80" w:line="240" w:lineRule="auto"/>
      <w:ind w:left="709"/>
    </w:pPr>
  </w:style>
  <w:style w:type="paragraph" w:customStyle="1" w:styleId="ItemHead">
    <w:name w:val="ItemHead"/>
    <w:aliases w:val="ih"/>
    <w:basedOn w:val="OPCParaBase"/>
    <w:next w:val="Item"/>
    <w:rsid w:val="00994A8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94A83"/>
    <w:pPr>
      <w:spacing w:line="240" w:lineRule="auto"/>
    </w:pPr>
    <w:rPr>
      <w:b/>
      <w:sz w:val="32"/>
    </w:rPr>
  </w:style>
  <w:style w:type="paragraph" w:customStyle="1" w:styleId="notedraft">
    <w:name w:val="note(draft)"/>
    <w:aliases w:val="nd"/>
    <w:basedOn w:val="OPCParaBase"/>
    <w:rsid w:val="00994A83"/>
    <w:pPr>
      <w:spacing w:before="240" w:line="240" w:lineRule="auto"/>
      <w:ind w:left="284" w:hanging="284"/>
    </w:pPr>
    <w:rPr>
      <w:i/>
      <w:sz w:val="24"/>
    </w:rPr>
  </w:style>
  <w:style w:type="paragraph" w:customStyle="1" w:styleId="notemargin">
    <w:name w:val="note(margin)"/>
    <w:aliases w:val="nm"/>
    <w:basedOn w:val="OPCParaBase"/>
    <w:rsid w:val="00994A83"/>
    <w:pPr>
      <w:tabs>
        <w:tab w:val="left" w:pos="709"/>
      </w:tabs>
      <w:spacing w:before="122" w:line="198" w:lineRule="exact"/>
      <w:ind w:left="709" w:hanging="709"/>
    </w:pPr>
    <w:rPr>
      <w:sz w:val="18"/>
    </w:rPr>
  </w:style>
  <w:style w:type="paragraph" w:customStyle="1" w:styleId="noteToPara">
    <w:name w:val="noteToPara"/>
    <w:aliases w:val="ntp"/>
    <w:basedOn w:val="OPCParaBase"/>
    <w:rsid w:val="00994A83"/>
    <w:pPr>
      <w:spacing w:before="122" w:line="198" w:lineRule="exact"/>
      <w:ind w:left="2353" w:hanging="709"/>
    </w:pPr>
    <w:rPr>
      <w:sz w:val="18"/>
    </w:rPr>
  </w:style>
  <w:style w:type="paragraph" w:customStyle="1" w:styleId="noteParlAmend">
    <w:name w:val="note(ParlAmend)"/>
    <w:aliases w:val="npp"/>
    <w:basedOn w:val="OPCParaBase"/>
    <w:next w:val="ParlAmend"/>
    <w:rsid w:val="00994A83"/>
    <w:pPr>
      <w:spacing w:line="240" w:lineRule="auto"/>
      <w:jc w:val="right"/>
    </w:pPr>
    <w:rPr>
      <w:rFonts w:ascii="Arial" w:hAnsi="Arial"/>
      <w:b/>
      <w:i/>
    </w:rPr>
  </w:style>
  <w:style w:type="paragraph" w:customStyle="1" w:styleId="notetext">
    <w:name w:val="note(text)"/>
    <w:aliases w:val="n"/>
    <w:basedOn w:val="OPCParaBase"/>
    <w:link w:val="notetextChar"/>
    <w:rsid w:val="00994A83"/>
    <w:pPr>
      <w:spacing w:before="122" w:line="240" w:lineRule="auto"/>
      <w:ind w:left="1985" w:hanging="851"/>
    </w:pPr>
    <w:rPr>
      <w:sz w:val="18"/>
    </w:rPr>
  </w:style>
  <w:style w:type="paragraph" w:customStyle="1" w:styleId="Page1">
    <w:name w:val="Page1"/>
    <w:basedOn w:val="OPCParaBase"/>
    <w:rsid w:val="00994A83"/>
    <w:pPr>
      <w:spacing w:before="5600" w:line="240" w:lineRule="auto"/>
    </w:pPr>
    <w:rPr>
      <w:b/>
      <w:sz w:val="32"/>
    </w:rPr>
  </w:style>
  <w:style w:type="paragraph" w:customStyle="1" w:styleId="paragraphsub">
    <w:name w:val="paragraph(sub)"/>
    <w:aliases w:val="aa"/>
    <w:basedOn w:val="OPCParaBase"/>
    <w:rsid w:val="00994A83"/>
    <w:pPr>
      <w:tabs>
        <w:tab w:val="right" w:pos="1985"/>
      </w:tabs>
      <w:spacing w:before="40" w:line="240" w:lineRule="auto"/>
      <w:ind w:left="2098" w:hanging="2098"/>
    </w:pPr>
  </w:style>
  <w:style w:type="paragraph" w:customStyle="1" w:styleId="paragraphsub-sub">
    <w:name w:val="paragraph(sub-sub)"/>
    <w:aliases w:val="aaa"/>
    <w:basedOn w:val="OPCParaBase"/>
    <w:rsid w:val="00994A83"/>
    <w:pPr>
      <w:tabs>
        <w:tab w:val="right" w:pos="2722"/>
      </w:tabs>
      <w:spacing w:before="40" w:line="240" w:lineRule="auto"/>
      <w:ind w:left="2835" w:hanging="2835"/>
    </w:pPr>
  </w:style>
  <w:style w:type="paragraph" w:customStyle="1" w:styleId="paragraph">
    <w:name w:val="paragraph"/>
    <w:aliases w:val="a"/>
    <w:basedOn w:val="OPCParaBase"/>
    <w:link w:val="paragraphChar"/>
    <w:rsid w:val="00994A83"/>
    <w:pPr>
      <w:tabs>
        <w:tab w:val="right" w:pos="1531"/>
      </w:tabs>
      <w:spacing w:before="40" w:line="240" w:lineRule="auto"/>
      <w:ind w:left="1644" w:hanging="1644"/>
    </w:pPr>
  </w:style>
  <w:style w:type="paragraph" w:customStyle="1" w:styleId="ParlAmend">
    <w:name w:val="ParlAmend"/>
    <w:aliases w:val="pp"/>
    <w:basedOn w:val="OPCParaBase"/>
    <w:rsid w:val="00994A83"/>
    <w:pPr>
      <w:spacing w:before="240" w:line="240" w:lineRule="atLeast"/>
      <w:ind w:hanging="567"/>
    </w:pPr>
    <w:rPr>
      <w:sz w:val="24"/>
    </w:rPr>
  </w:style>
  <w:style w:type="paragraph" w:customStyle="1" w:styleId="Portfolio">
    <w:name w:val="Portfolio"/>
    <w:basedOn w:val="OPCParaBase"/>
    <w:rsid w:val="00994A83"/>
    <w:pPr>
      <w:spacing w:line="240" w:lineRule="auto"/>
    </w:pPr>
    <w:rPr>
      <w:i/>
      <w:sz w:val="20"/>
    </w:rPr>
  </w:style>
  <w:style w:type="paragraph" w:customStyle="1" w:styleId="Preamble">
    <w:name w:val="Preamble"/>
    <w:basedOn w:val="OPCParaBase"/>
    <w:next w:val="Normal"/>
    <w:rsid w:val="00994A8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94A83"/>
    <w:pPr>
      <w:spacing w:line="240" w:lineRule="auto"/>
    </w:pPr>
    <w:rPr>
      <w:i/>
      <w:sz w:val="20"/>
    </w:rPr>
  </w:style>
  <w:style w:type="paragraph" w:customStyle="1" w:styleId="Session">
    <w:name w:val="Session"/>
    <w:basedOn w:val="OPCParaBase"/>
    <w:rsid w:val="00994A83"/>
    <w:pPr>
      <w:spacing w:line="240" w:lineRule="auto"/>
    </w:pPr>
    <w:rPr>
      <w:sz w:val="28"/>
    </w:rPr>
  </w:style>
  <w:style w:type="paragraph" w:customStyle="1" w:styleId="Sponsor">
    <w:name w:val="Sponsor"/>
    <w:basedOn w:val="OPCParaBase"/>
    <w:rsid w:val="00994A83"/>
    <w:pPr>
      <w:spacing w:line="240" w:lineRule="auto"/>
    </w:pPr>
    <w:rPr>
      <w:i/>
    </w:rPr>
  </w:style>
  <w:style w:type="paragraph" w:customStyle="1" w:styleId="Subitem">
    <w:name w:val="Subitem"/>
    <w:aliases w:val="iss"/>
    <w:basedOn w:val="OPCParaBase"/>
    <w:rsid w:val="00994A83"/>
    <w:pPr>
      <w:spacing w:before="180" w:line="240" w:lineRule="auto"/>
      <w:ind w:left="709" w:hanging="709"/>
    </w:pPr>
  </w:style>
  <w:style w:type="paragraph" w:customStyle="1" w:styleId="SubitemHead">
    <w:name w:val="SubitemHead"/>
    <w:aliases w:val="issh"/>
    <w:basedOn w:val="OPCParaBase"/>
    <w:rsid w:val="00994A8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94A83"/>
    <w:pPr>
      <w:spacing w:before="40" w:line="240" w:lineRule="auto"/>
      <w:ind w:left="1134"/>
    </w:pPr>
  </w:style>
  <w:style w:type="paragraph" w:customStyle="1" w:styleId="SubsectionHead">
    <w:name w:val="SubsectionHead"/>
    <w:aliases w:val="ssh"/>
    <w:basedOn w:val="OPCParaBase"/>
    <w:next w:val="subsection"/>
    <w:rsid w:val="00994A83"/>
    <w:pPr>
      <w:keepNext/>
      <w:keepLines/>
      <w:spacing w:before="240" w:line="240" w:lineRule="auto"/>
      <w:ind w:left="1134"/>
    </w:pPr>
    <w:rPr>
      <w:i/>
    </w:rPr>
  </w:style>
  <w:style w:type="paragraph" w:customStyle="1" w:styleId="Tablea">
    <w:name w:val="Table(a)"/>
    <w:aliases w:val="ta"/>
    <w:basedOn w:val="OPCParaBase"/>
    <w:rsid w:val="00994A83"/>
    <w:pPr>
      <w:spacing w:before="60" w:line="240" w:lineRule="auto"/>
      <w:ind w:left="284" w:hanging="284"/>
    </w:pPr>
    <w:rPr>
      <w:sz w:val="20"/>
    </w:rPr>
  </w:style>
  <w:style w:type="paragraph" w:customStyle="1" w:styleId="TableAA">
    <w:name w:val="Table(AA)"/>
    <w:aliases w:val="taaa"/>
    <w:basedOn w:val="OPCParaBase"/>
    <w:rsid w:val="00994A8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94A8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94A83"/>
    <w:pPr>
      <w:spacing w:before="60" w:line="240" w:lineRule="atLeast"/>
    </w:pPr>
    <w:rPr>
      <w:sz w:val="20"/>
    </w:rPr>
  </w:style>
  <w:style w:type="paragraph" w:customStyle="1" w:styleId="TLPBoxTextnote">
    <w:name w:val="TLPBoxText(note"/>
    <w:aliases w:val="right)"/>
    <w:basedOn w:val="OPCParaBase"/>
    <w:rsid w:val="00994A8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94A83"/>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94A83"/>
    <w:pPr>
      <w:spacing w:before="122" w:line="198" w:lineRule="exact"/>
      <w:ind w:left="1985" w:hanging="851"/>
      <w:jc w:val="right"/>
    </w:pPr>
    <w:rPr>
      <w:sz w:val="18"/>
    </w:rPr>
  </w:style>
  <w:style w:type="paragraph" w:customStyle="1" w:styleId="TLPTableBullet">
    <w:name w:val="TLPTableBullet"/>
    <w:aliases w:val="ttb"/>
    <w:basedOn w:val="OPCParaBase"/>
    <w:rsid w:val="00994A83"/>
    <w:pPr>
      <w:spacing w:line="240" w:lineRule="exact"/>
      <w:ind w:left="284" w:hanging="284"/>
    </w:pPr>
    <w:rPr>
      <w:sz w:val="20"/>
    </w:rPr>
  </w:style>
  <w:style w:type="paragraph" w:customStyle="1" w:styleId="TofSectsGroupHeading">
    <w:name w:val="TofSects(GroupHeading)"/>
    <w:basedOn w:val="OPCParaBase"/>
    <w:next w:val="TofSectsSection"/>
    <w:rsid w:val="00994A83"/>
    <w:pPr>
      <w:keepLines/>
      <w:spacing w:before="240" w:after="120" w:line="240" w:lineRule="auto"/>
      <w:ind w:left="794"/>
    </w:pPr>
    <w:rPr>
      <w:b/>
      <w:kern w:val="28"/>
      <w:sz w:val="20"/>
    </w:rPr>
  </w:style>
  <w:style w:type="paragraph" w:customStyle="1" w:styleId="TofSectsHeading">
    <w:name w:val="TofSects(Heading)"/>
    <w:basedOn w:val="OPCParaBase"/>
    <w:rsid w:val="00994A83"/>
    <w:pPr>
      <w:spacing w:before="240" w:after="120" w:line="240" w:lineRule="auto"/>
    </w:pPr>
    <w:rPr>
      <w:b/>
      <w:sz w:val="24"/>
    </w:rPr>
  </w:style>
  <w:style w:type="paragraph" w:customStyle="1" w:styleId="TofSectsSection">
    <w:name w:val="TofSects(Section)"/>
    <w:basedOn w:val="OPCParaBase"/>
    <w:rsid w:val="00994A83"/>
    <w:pPr>
      <w:keepLines/>
      <w:spacing w:before="40" w:line="240" w:lineRule="auto"/>
      <w:ind w:left="1588" w:hanging="794"/>
    </w:pPr>
    <w:rPr>
      <w:kern w:val="28"/>
      <w:sz w:val="18"/>
    </w:rPr>
  </w:style>
  <w:style w:type="paragraph" w:customStyle="1" w:styleId="TofSectsSubdiv">
    <w:name w:val="TofSects(Subdiv)"/>
    <w:basedOn w:val="OPCParaBase"/>
    <w:rsid w:val="00994A83"/>
    <w:pPr>
      <w:keepLines/>
      <w:spacing w:before="80" w:line="240" w:lineRule="auto"/>
      <w:ind w:left="1588" w:hanging="794"/>
    </w:pPr>
    <w:rPr>
      <w:kern w:val="28"/>
    </w:rPr>
  </w:style>
  <w:style w:type="paragraph" w:customStyle="1" w:styleId="WRStyle">
    <w:name w:val="WR Style"/>
    <w:aliases w:val="WR"/>
    <w:basedOn w:val="OPCParaBase"/>
    <w:rsid w:val="00994A83"/>
    <w:pPr>
      <w:spacing w:before="240" w:line="240" w:lineRule="auto"/>
      <w:ind w:left="284" w:hanging="284"/>
    </w:pPr>
    <w:rPr>
      <w:b/>
      <w:i/>
      <w:kern w:val="28"/>
      <w:sz w:val="24"/>
    </w:rPr>
  </w:style>
  <w:style w:type="paragraph" w:customStyle="1" w:styleId="notepara">
    <w:name w:val="note(para)"/>
    <w:aliases w:val="na"/>
    <w:basedOn w:val="OPCParaBase"/>
    <w:rsid w:val="00994A83"/>
    <w:pPr>
      <w:spacing w:before="40" w:line="198" w:lineRule="exact"/>
      <w:ind w:left="2354" w:hanging="369"/>
    </w:pPr>
    <w:rPr>
      <w:sz w:val="18"/>
    </w:rPr>
  </w:style>
  <w:style w:type="character" w:customStyle="1" w:styleId="FooterChar">
    <w:name w:val="Footer Char"/>
    <w:basedOn w:val="DefaultParagraphFont"/>
    <w:link w:val="Footer"/>
    <w:rsid w:val="00994A83"/>
    <w:rPr>
      <w:sz w:val="22"/>
      <w:szCs w:val="24"/>
    </w:rPr>
  </w:style>
  <w:style w:type="table" w:customStyle="1" w:styleId="CFlag">
    <w:name w:val="CFlag"/>
    <w:basedOn w:val="TableNormal"/>
    <w:uiPriority w:val="99"/>
    <w:rsid w:val="00994A83"/>
    <w:tblPr/>
  </w:style>
  <w:style w:type="character" w:customStyle="1" w:styleId="BalloonTextChar">
    <w:name w:val="Balloon Text Char"/>
    <w:basedOn w:val="DefaultParagraphFont"/>
    <w:link w:val="BalloonText"/>
    <w:uiPriority w:val="99"/>
    <w:rsid w:val="00994A83"/>
    <w:rPr>
      <w:rFonts w:ascii="Tahoma" w:eastAsiaTheme="minorHAnsi" w:hAnsi="Tahoma" w:cs="Tahoma"/>
      <w:sz w:val="16"/>
      <w:szCs w:val="16"/>
      <w:lang w:eastAsia="en-US"/>
    </w:rPr>
  </w:style>
  <w:style w:type="paragraph" w:customStyle="1" w:styleId="InstNo">
    <w:name w:val="InstNo"/>
    <w:basedOn w:val="OPCParaBase"/>
    <w:next w:val="Normal"/>
    <w:rsid w:val="00994A83"/>
    <w:rPr>
      <w:b/>
      <w:sz w:val="28"/>
      <w:szCs w:val="32"/>
    </w:rPr>
  </w:style>
  <w:style w:type="paragraph" w:customStyle="1" w:styleId="TerritoryT">
    <w:name w:val="TerritoryT"/>
    <w:basedOn w:val="OPCParaBase"/>
    <w:next w:val="Normal"/>
    <w:rsid w:val="00994A83"/>
    <w:rPr>
      <w:b/>
      <w:sz w:val="32"/>
    </w:rPr>
  </w:style>
  <w:style w:type="paragraph" w:customStyle="1" w:styleId="LegislationMadeUnder">
    <w:name w:val="LegislationMadeUnder"/>
    <w:basedOn w:val="OPCParaBase"/>
    <w:next w:val="Normal"/>
    <w:rsid w:val="00994A83"/>
    <w:rPr>
      <w:i/>
      <w:sz w:val="32"/>
      <w:szCs w:val="32"/>
    </w:rPr>
  </w:style>
  <w:style w:type="paragraph" w:customStyle="1" w:styleId="ActHead10">
    <w:name w:val="ActHead 10"/>
    <w:aliases w:val="sp"/>
    <w:basedOn w:val="OPCParaBase"/>
    <w:next w:val="ActHead3"/>
    <w:rsid w:val="00994A83"/>
    <w:pPr>
      <w:keepNext/>
      <w:spacing w:before="280" w:line="240" w:lineRule="auto"/>
      <w:outlineLvl w:val="1"/>
    </w:pPr>
    <w:rPr>
      <w:b/>
      <w:sz w:val="32"/>
      <w:szCs w:val="30"/>
    </w:rPr>
  </w:style>
  <w:style w:type="paragraph" w:customStyle="1" w:styleId="SignCoverPageEnd">
    <w:name w:val="SignCoverPageEnd"/>
    <w:basedOn w:val="OPCParaBase"/>
    <w:next w:val="Normal"/>
    <w:rsid w:val="00994A8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94A83"/>
    <w:pPr>
      <w:pBdr>
        <w:top w:val="single" w:sz="4" w:space="1" w:color="auto"/>
      </w:pBdr>
      <w:spacing w:before="360"/>
      <w:ind w:right="397"/>
      <w:jc w:val="both"/>
    </w:pPr>
  </w:style>
  <w:style w:type="paragraph" w:customStyle="1" w:styleId="NotesHeading2">
    <w:name w:val="NotesHeading 2"/>
    <w:basedOn w:val="OPCParaBase"/>
    <w:next w:val="Normal"/>
    <w:rsid w:val="00994A83"/>
    <w:rPr>
      <w:b/>
      <w:sz w:val="28"/>
      <w:szCs w:val="28"/>
    </w:rPr>
  </w:style>
  <w:style w:type="paragraph" w:customStyle="1" w:styleId="NotesHeading1">
    <w:name w:val="NotesHeading 1"/>
    <w:basedOn w:val="OPCParaBase"/>
    <w:next w:val="Normal"/>
    <w:rsid w:val="00994A83"/>
    <w:rPr>
      <w:b/>
      <w:sz w:val="28"/>
      <w:szCs w:val="28"/>
    </w:rPr>
  </w:style>
  <w:style w:type="paragraph" w:customStyle="1" w:styleId="CompiledActNo">
    <w:name w:val="CompiledActNo"/>
    <w:basedOn w:val="OPCParaBase"/>
    <w:next w:val="Normal"/>
    <w:rsid w:val="00994A83"/>
    <w:rPr>
      <w:b/>
      <w:sz w:val="24"/>
      <w:szCs w:val="24"/>
    </w:rPr>
  </w:style>
  <w:style w:type="paragraph" w:customStyle="1" w:styleId="ENotesText">
    <w:name w:val="ENotesText"/>
    <w:aliases w:val="Ent"/>
    <w:basedOn w:val="OPCParaBase"/>
    <w:next w:val="Normal"/>
    <w:rsid w:val="00994A83"/>
    <w:pPr>
      <w:spacing w:before="120"/>
    </w:pPr>
  </w:style>
  <w:style w:type="paragraph" w:customStyle="1" w:styleId="CompiledMadeUnder">
    <w:name w:val="CompiledMadeUnder"/>
    <w:basedOn w:val="OPCParaBase"/>
    <w:next w:val="Normal"/>
    <w:rsid w:val="00994A83"/>
    <w:rPr>
      <w:i/>
      <w:sz w:val="24"/>
      <w:szCs w:val="24"/>
    </w:rPr>
  </w:style>
  <w:style w:type="paragraph" w:customStyle="1" w:styleId="Paragraphsub-sub-sub">
    <w:name w:val="Paragraph(sub-sub-sub)"/>
    <w:aliases w:val="aaaa"/>
    <w:basedOn w:val="OPCParaBase"/>
    <w:rsid w:val="00994A83"/>
    <w:pPr>
      <w:tabs>
        <w:tab w:val="right" w:pos="3402"/>
      </w:tabs>
      <w:spacing w:before="40" w:line="240" w:lineRule="auto"/>
      <w:ind w:left="3402" w:hanging="3402"/>
    </w:pPr>
  </w:style>
  <w:style w:type="paragraph" w:customStyle="1" w:styleId="TableTextEndNotes">
    <w:name w:val="TableTextEndNotes"/>
    <w:aliases w:val="Tten"/>
    <w:basedOn w:val="Normal"/>
    <w:rsid w:val="00994A83"/>
    <w:pPr>
      <w:spacing w:before="60" w:line="240" w:lineRule="auto"/>
    </w:pPr>
    <w:rPr>
      <w:rFonts w:cs="Arial"/>
      <w:sz w:val="20"/>
      <w:szCs w:val="22"/>
    </w:rPr>
  </w:style>
  <w:style w:type="paragraph" w:customStyle="1" w:styleId="TableHeading">
    <w:name w:val="TableHeading"/>
    <w:aliases w:val="th"/>
    <w:basedOn w:val="OPCParaBase"/>
    <w:next w:val="Tabletext"/>
    <w:rsid w:val="00994A83"/>
    <w:pPr>
      <w:keepNext/>
      <w:spacing w:before="60" w:line="240" w:lineRule="atLeast"/>
    </w:pPr>
    <w:rPr>
      <w:b/>
      <w:sz w:val="20"/>
    </w:rPr>
  </w:style>
  <w:style w:type="paragraph" w:customStyle="1" w:styleId="NoteToSubpara">
    <w:name w:val="NoteToSubpara"/>
    <w:aliases w:val="nts"/>
    <w:basedOn w:val="OPCParaBase"/>
    <w:rsid w:val="00994A83"/>
    <w:pPr>
      <w:spacing w:before="40" w:line="198" w:lineRule="exact"/>
      <w:ind w:left="2835" w:hanging="709"/>
    </w:pPr>
    <w:rPr>
      <w:sz w:val="18"/>
    </w:rPr>
  </w:style>
  <w:style w:type="paragraph" w:customStyle="1" w:styleId="ENoteTableHeading">
    <w:name w:val="ENoteTableHeading"/>
    <w:aliases w:val="enth"/>
    <w:basedOn w:val="OPCParaBase"/>
    <w:rsid w:val="00994A83"/>
    <w:pPr>
      <w:keepNext/>
      <w:spacing w:before="60" w:line="240" w:lineRule="atLeast"/>
    </w:pPr>
    <w:rPr>
      <w:rFonts w:ascii="Arial" w:hAnsi="Arial"/>
      <w:b/>
      <w:sz w:val="16"/>
    </w:rPr>
  </w:style>
  <w:style w:type="paragraph" w:customStyle="1" w:styleId="ENoteTTi">
    <w:name w:val="ENoteTTi"/>
    <w:aliases w:val="entti"/>
    <w:basedOn w:val="OPCParaBase"/>
    <w:rsid w:val="00994A83"/>
    <w:pPr>
      <w:keepNext/>
      <w:spacing w:before="60" w:line="240" w:lineRule="atLeast"/>
      <w:ind w:left="170"/>
    </w:pPr>
    <w:rPr>
      <w:sz w:val="16"/>
    </w:rPr>
  </w:style>
  <w:style w:type="paragraph" w:customStyle="1" w:styleId="ENotesHeading1">
    <w:name w:val="ENotesHeading 1"/>
    <w:aliases w:val="Enh1"/>
    <w:basedOn w:val="OPCParaBase"/>
    <w:next w:val="Normal"/>
    <w:rsid w:val="00994A83"/>
    <w:pPr>
      <w:spacing w:before="120"/>
      <w:outlineLvl w:val="1"/>
    </w:pPr>
    <w:rPr>
      <w:b/>
      <w:sz w:val="28"/>
      <w:szCs w:val="28"/>
    </w:rPr>
  </w:style>
  <w:style w:type="paragraph" w:customStyle="1" w:styleId="ENotesHeading2">
    <w:name w:val="ENotesHeading 2"/>
    <w:aliases w:val="Enh2"/>
    <w:basedOn w:val="OPCParaBase"/>
    <w:next w:val="Normal"/>
    <w:rsid w:val="00994A83"/>
    <w:pPr>
      <w:spacing w:before="120" w:after="120"/>
      <w:outlineLvl w:val="2"/>
    </w:pPr>
    <w:rPr>
      <w:b/>
      <w:sz w:val="24"/>
      <w:szCs w:val="28"/>
    </w:rPr>
  </w:style>
  <w:style w:type="paragraph" w:customStyle="1" w:styleId="ENotesHeading3">
    <w:name w:val="ENotesHeading 3"/>
    <w:aliases w:val="Enh3"/>
    <w:basedOn w:val="OPCParaBase"/>
    <w:next w:val="Normal"/>
    <w:rsid w:val="00994A83"/>
    <w:pPr>
      <w:keepNext/>
      <w:spacing w:before="120" w:line="240" w:lineRule="auto"/>
      <w:outlineLvl w:val="4"/>
    </w:pPr>
    <w:rPr>
      <w:b/>
      <w:szCs w:val="24"/>
    </w:rPr>
  </w:style>
  <w:style w:type="paragraph" w:customStyle="1" w:styleId="ENoteTTIndentHeading">
    <w:name w:val="ENoteTTIndentHeading"/>
    <w:aliases w:val="enTTHi"/>
    <w:basedOn w:val="OPCParaBase"/>
    <w:rsid w:val="00994A8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94A83"/>
    <w:pPr>
      <w:spacing w:before="60" w:line="240" w:lineRule="atLeast"/>
    </w:pPr>
    <w:rPr>
      <w:sz w:val="16"/>
    </w:rPr>
  </w:style>
  <w:style w:type="paragraph" w:customStyle="1" w:styleId="MadeunderText">
    <w:name w:val="MadeunderText"/>
    <w:basedOn w:val="OPCParaBase"/>
    <w:next w:val="CompiledMadeUnder"/>
    <w:rsid w:val="00994A83"/>
    <w:pPr>
      <w:spacing w:before="240"/>
    </w:pPr>
    <w:rPr>
      <w:sz w:val="24"/>
      <w:szCs w:val="24"/>
    </w:rPr>
  </w:style>
  <w:style w:type="paragraph" w:customStyle="1" w:styleId="SubPartCASA">
    <w:name w:val="SubPart(CASA)"/>
    <w:aliases w:val="csp"/>
    <w:basedOn w:val="OPCParaBase"/>
    <w:next w:val="ActHead3"/>
    <w:rsid w:val="00994A83"/>
    <w:pPr>
      <w:keepNext/>
      <w:keepLines/>
      <w:spacing w:before="280"/>
      <w:ind w:left="1134" w:hanging="1134"/>
      <w:outlineLvl w:val="1"/>
    </w:pPr>
    <w:rPr>
      <w:b/>
      <w:kern w:val="28"/>
      <w:sz w:val="32"/>
    </w:rPr>
  </w:style>
  <w:style w:type="paragraph" w:customStyle="1" w:styleId="SOText">
    <w:name w:val="SO Text"/>
    <w:aliases w:val="sot"/>
    <w:link w:val="SOTextChar"/>
    <w:rsid w:val="00994A83"/>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994A83"/>
    <w:rPr>
      <w:rFonts w:eastAsiaTheme="minorHAnsi" w:cstheme="minorBidi"/>
      <w:sz w:val="22"/>
      <w:lang w:eastAsia="en-US"/>
    </w:rPr>
  </w:style>
  <w:style w:type="paragraph" w:customStyle="1" w:styleId="SOTextNote">
    <w:name w:val="SO TextNote"/>
    <w:aliases w:val="sont"/>
    <w:basedOn w:val="SOText"/>
    <w:qFormat/>
    <w:rsid w:val="00994A83"/>
    <w:pPr>
      <w:spacing w:before="122" w:line="198" w:lineRule="exact"/>
      <w:ind w:left="1843" w:hanging="709"/>
    </w:pPr>
    <w:rPr>
      <w:sz w:val="18"/>
    </w:rPr>
  </w:style>
  <w:style w:type="paragraph" w:customStyle="1" w:styleId="SOPara">
    <w:name w:val="SO Para"/>
    <w:aliases w:val="soa"/>
    <w:basedOn w:val="SOText"/>
    <w:link w:val="SOParaChar"/>
    <w:qFormat/>
    <w:rsid w:val="00994A83"/>
    <w:pPr>
      <w:tabs>
        <w:tab w:val="right" w:pos="1786"/>
      </w:tabs>
      <w:spacing w:before="40"/>
      <w:ind w:left="2070" w:hanging="936"/>
    </w:pPr>
  </w:style>
  <w:style w:type="character" w:customStyle="1" w:styleId="SOParaChar">
    <w:name w:val="SO Para Char"/>
    <w:aliases w:val="soa Char"/>
    <w:basedOn w:val="DefaultParagraphFont"/>
    <w:link w:val="SOPara"/>
    <w:rsid w:val="00994A83"/>
    <w:rPr>
      <w:rFonts w:eastAsiaTheme="minorHAnsi" w:cstheme="minorBidi"/>
      <w:sz w:val="22"/>
      <w:lang w:eastAsia="en-US"/>
    </w:rPr>
  </w:style>
  <w:style w:type="paragraph" w:customStyle="1" w:styleId="FileName">
    <w:name w:val="FileName"/>
    <w:basedOn w:val="Normal"/>
    <w:rsid w:val="00994A83"/>
  </w:style>
  <w:style w:type="paragraph" w:customStyle="1" w:styleId="SOHeadBold">
    <w:name w:val="SO HeadBold"/>
    <w:aliases w:val="sohb"/>
    <w:basedOn w:val="SOText"/>
    <w:next w:val="SOText"/>
    <w:link w:val="SOHeadBoldChar"/>
    <w:qFormat/>
    <w:rsid w:val="00994A83"/>
    <w:rPr>
      <w:b/>
    </w:rPr>
  </w:style>
  <w:style w:type="character" w:customStyle="1" w:styleId="SOHeadBoldChar">
    <w:name w:val="SO HeadBold Char"/>
    <w:aliases w:val="sohb Char"/>
    <w:basedOn w:val="DefaultParagraphFont"/>
    <w:link w:val="SOHeadBold"/>
    <w:rsid w:val="00994A83"/>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994A83"/>
    <w:rPr>
      <w:i/>
    </w:rPr>
  </w:style>
  <w:style w:type="character" w:customStyle="1" w:styleId="SOHeadItalicChar">
    <w:name w:val="SO HeadItalic Char"/>
    <w:aliases w:val="sohi Char"/>
    <w:basedOn w:val="DefaultParagraphFont"/>
    <w:link w:val="SOHeadItalic"/>
    <w:rsid w:val="00994A83"/>
    <w:rPr>
      <w:rFonts w:eastAsiaTheme="minorHAnsi" w:cstheme="minorBidi"/>
      <w:i/>
      <w:sz w:val="22"/>
      <w:lang w:eastAsia="en-US"/>
    </w:rPr>
  </w:style>
  <w:style w:type="paragraph" w:customStyle="1" w:styleId="SOBullet">
    <w:name w:val="SO Bullet"/>
    <w:aliases w:val="sotb"/>
    <w:basedOn w:val="SOText"/>
    <w:link w:val="SOBulletChar"/>
    <w:qFormat/>
    <w:rsid w:val="00994A83"/>
    <w:pPr>
      <w:ind w:left="1559" w:hanging="425"/>
    </w:pPr>
  </w:style>
  <w:style w:type="character" w:customStyle="1" w:styleId="SOBulletChar">
    <w:name w:val="SO Bullet Char"/>
    <w:aliases w:val="sotb Char"/>
    <w:basedOn w:val="DefaultParagraphFont"/>
    <w:link w:val="SOBullet"/>
    <w:rsid w:val="00994A83"/>
    <w:rPr>
      <w:rFonts w:eastAsiaTheme="minorHAnsi" w:cstheme="minorBidi"/>
      <w:sz w:val="22"/>
      <w:lang w:eastAsia="en-US"/>
    </w:rPr>
  </w:style>
  <w:style w:type="paragraph" w:customStyle="1" w:styleId="SOBulletNote">
    <w:name w:val="SO BulletNote"/>
    <w:aliases w:val="sonb"/>
    <w:basedOn w:val="SOTextNote"/>
    <w:link w:val="SOBulletNoteChar"/>
    <w:qFormat/>
    <w:rsid w:val="00994A83"/>
    <w:pPr>
      <w:tabs>
        <w:tab w:val="left" w:pos="1560"/>
      </w:tabs>
      <w:ind w:left="2268" w:hanging="1134"/>
    </w:pPr>
  </w:style>
  <w:style w:type="character" w:customStyle="1" w:styleId="SOBulletNoteChar">
    <w:name w:val="SO BulletNote Char"/>
    <w:aliases w:val="sonb Char"/>
    <w:basedOn w:val="DefaultParagraphFont"/>
    <w:link w:val="SOBulletNote"/>
    <w:rsid w:val="00994A83"/>
    <w:rPr>
      <w:rFonts w:eastAsiaTheme="minorHAnsi" w:cstheme="minorBidi"/>
      <w:sz w:val="18"/>
      <w:lang w:eastAsia="en-US"/>
    </w:rPr>
  </w:style>
  <w:style w:type="paragraph" w:customStyle="1" w:styleId="FreeForm">
    <w:name w:val="FreeForm"/>
    <w:rsid w:val="00994A83"/>
    <w:rPr>
      <w:rFonts w:ascii="Arial" w:eastAsiaTheme="minorHAnsi" w:hAnsi="Arial" w:cstheme="minorBidi"/>
      <w:sz w:val="22"/>
      <w:lang w:eastAsia="en-US"/>
    </w:rPr>
  </w:style>
  <w:style w:type="character" w:customStyle="1" w:styleId="charlegsubtitle1">
    <w:name w:val="charlegsubtitle1"/>
    <w:basedOn w:val="DefaultParagraphFont"/>
    <w:rsid w:val="005A6FAD"/>
    <w:rPr>
      <w:b/>
      <w:bCs/>
    </w:rPr>
  </w:style>
  <w:style w:type="paragraph" w:styleId="Revision">
    <w:name w:val="Revision"/>
    <w:hidden/>
    <w:uiPriority w:val="99"/>
    <w:semiHidden/>
    <w:rsid w:val="00A75659"/>
    <w:rPr>
      <w:rFonts w:eastAsiaTheme="minorHAnsi" w:cstheme="minorBidi"/>
      <w:sz w:val="22"/>
      <w:lang w:eastAsia="en-US"/>
    </w:rPr>
  </w:style>
  <w:style w:type="paragraph" w:customStyle="1" w:styleId="EnStatement">
    <w:name w:val="EnStatement"/>
    <w:basedOn w:val="Normal"/>
    <w:rsid w:val="00994A83"/>
    <w:pPr>
      <w:numPr>
        <w:numId w:val="16"/>
      </w:numPr>
    </w:pPr>
    <w:rPr>
      <w:rFonts w:eastAsia="Times New Roman" w:cs="Times New Roman"/>
      <w:lang w:eastAsia="en-AU"/>
    </w:rPr>
  </w:style>
  <w:style w:type="paragraph" w:customStyle="1" w:styleId="EnStatementHeading">
    <w:name w:val="EnStatementHeading"/>
    <w:basedOn w:val="Normal"/>
    <w:rsid w:val="00994A83"/>
    <w:rPr>
      <w:rFonts w:eastAsia="Times New Roman" w:cs="Times New Roman"/>
      <w:b/>
      <w:lang w:eastAsia="en-AU"/>
    </w:rPr>
  </w:style>
  <w:style w:type="paragraph" w:customStyle="1" w:styleId="Transitional">
    <w:name w:val="Transitional"/>
    <w:aliases w:val="tr"/>
    <w:basedOn w:val="Normal"/>
    <w:next w:val="Normal"/>
    <w:rsid w:val="00994A83"/>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subsectionChar">
    <w:name w:val="subsection Char"/>
    <w:aliases w:val="ss Char"/>
    <w:basedOn w:val="DefaultParagraphFont"/>
    <w:link w:val="subsection"/>
    <w:locked/>
    <w:rsid w:val="008336E3"/>
    <w:rPr>
      <w:sz w:val="22"/>
    </w:rPr>
  </w:style>
  <w:style w:type="character" w:customStyle="1" w:styleId="notetextChar">
    <w:name w:val="note(text) Char"/>
    <w:aliases w:val="n Char"/>
    <w:basedOn w:val="DefaultParagraphFont"/>
    <w:link w:val="notetext"/>
    <w:rsid w:val="008336E3"/>
    <w:rPr>
      <w:sz w:val="18"/>
    </w:rPr>
  </w:style>
  <w:style w:type="character" w:customStyle="1" w:styleId="ActHead5Char">
    <w:name w:val="ActHead 5 Char"/>
    <w:aliases w:val="s Char"/>
    <w:link w:val="ActHead5"/>
    <w:rsid w:val="008336E3"/>
    <w:rPr>
      <w:b/>
      <w:kern w:val="28"/>
      <w:sz w:val="24"/>
    </w:rPr>
  </w:style>
  <w:style w:type="character" w:customStyle="1" w:styleId="paragraphChar">
    <w:name w:val="paragraph Char"/>
    <w:aliases w:val="a Char"/>
    <w:link w:val="paragraph"/>
    <w:rsid w:val="008336E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7.xm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3.wmf"/><Relationship Id="rId34" Type="http://schemas.openxmlformats.org/officeDocument/2006/relationships/header" Target="header13.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6.xml"/><Relationship Id="rId33" Type="http://schemas.openxmlformats.org/officeDocument/2006/relationships/header" Target="header1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2.wmf"/><Relationship Id="rId29"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footer" Target="footer10.xml"/><Relationship Id="rId37" Type="http://schemas.openxmlformats.org/officeDocument/2006/relationships/header" Target="header14.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footer" Target="footer12.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wmf"/><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ConsolSLIS_NEW.DOTX</Template>
  <TotalTime>0</TotalTime>
  <Pages>16</Pages>
  <Words>3656</Words>
  <Characters>18235</Characters>
  <Application>Microsoft Office Word</Application>
  <DocSecurity>0</DocSecurity>
  <PresentationFormat/>
  <Lines>654</Lines>
  <Paragraphs>426</Paragraphs>
  <ScaleCrop>false</ScaleCrop>
  <HeadingPairs>
    <vt:vector size="2" baseType="variant">
      <vt:variant>
        <vt:lpstr>Title</vt:lpstr>
      </vt:variant>
      <vt:variant>
        <vt:i4>1</vt:i4>
      </vt:variant>
    </vt:vector>
  </HeadingPairs>
  <TitlesOfParts>
    <vt:vector size="1" baseType="lpstr">
      <vt:lpstr>Fisheries Research and Development Corporation Regulations 1991</vt:lpstr>
    </vt:vector>
  </TitlesOfParts>
  <Manager/>
  <Company/>
  <LinksUpToDate>false</LinksUpToDate>
  <CharactersWithSpaces>21546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Fisheries Research and Development Corporation Regulations 1991</dc:title>
  <dc:subject/>
  <dc:creator/>
  <cp:keywords/>
  <dc:description/>
  <cp:lastModifiedBy/>
  <cp:revision>1</cp:revision>
  <cp:lastPrinted>2013-07-18T03:07:00Z</cp:lastPrinted>
  <dcterms:created xsi:type="dcterms:W3CDTF">2021-06-22T05:47:00Z</dcterms:created>
  <dcterms:modified xsi:type="dcterms:W3CDTF">2021-06-22T05:47:00Z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false</vt:bool>
  </property>
  <property fmtid="{D5CDD505-2E9C-101B-9397-08002B2CF9AE}" pid="6" name="ShortT">
    <vt:lpwstr>Fisheries Research and Development Corporation Regulations 1991</vt:lpwstr>
  </property>
  <property fmtid="{D5CDD505-2E9C-101B-9397-08002B2CF9AE}" pid="7" name="ActNo">
    <vt:lpwstr/>
  </property>
  <property fmtid="{D5CDD505-2E9C-101B-9397-08002B2CF9AE}" pid="8" name="header">
    <vt:lpwstr>Regulation</vt:lpwstr>
  </property>
  <property fmtid="{D5CDD505-2E9C-101B-9397-08002B2CF9AE}" pid="9" name="Class">
    <vt:lpwstr/>
  </property>
  <property fmtid="{D5CDD505-2E9C-101B-9397-08002B2CF9AE}" pid="10" name="DateMade">
    <vt:lpwstr>2021</vt:lpwstr>
  </property>
  <property fmtid="{D5CDD505-2E9C-101B-9397-08002B2CF9AE}" pid="11" name="EXCO">
    <vt:lpwstr> </vt:lpwstr>
  </property>
  <property fmtid="{D5CDD505-2E9C-101B-9397-08002B2CF9AE}" pid="12" name="Authority">
    <vt:lpwstr> </vt:lpwstr>
  </property>
  <property fmtid="{D5CDD505-2E9C-101B-9397-08002B2CF9AE}" pid="13" name="DoNotAsk">
    <vt:lpwstr>1</vt:lpwstr>
  </property>
  <property fmtid="{D5CDD505-2E9C-101B-9397-08002B2CF9AE}" pid="14" name="ChangedTitle">
    <vt:lpwstr>Fisheries Research and Development Corporation Regulations 1991</vt:lpwstr>
  </property>
  <property fmtid="{D5CDD505-2E9C-101B-9397-08002B2CF9AE}" pid="15" name="Classification">
    <vt:lpwstr>OFFICIAL</vt:lpwstr>
  </property>
  <property fmtid="{D5CDD505-2E9C-101B-9397-08002B2CF9AE}" pid="16" name="DLM">
    <vt:lpwstr> </vt:lpwstr>
  </property>
  <property fmtid="{D5CDD505-2E9C-101B-9397-08002B2CF9AE}" pid="17" name="CompilationVersion">
    <vt:i4>3</vt:i4>
  </property>
  <property fmtid="{D5CDD505-2E9C-101B-9397-08002B2CF9AE}" pid="18" name="CompilationNumber">
    <vt:lpwstr>23</vt:lpwstr>
  </property>
  <property fmtid="{D5CDD505-2E9C-101B-9397-08002B2CF9AE}" pid="19" name="StartDate">
    <vt:filetime>2021-06-15T14:00:00Z</vt:filetime>
  </property>
  <property fmtid="{D5CDD505-2E9C-101B-9397-08002B2CF9AE}" pid="20" name="PreparedDate">
    <vt:filetime>2015-06-25T14:00:00Z</vt:filetime>
  </property>
  <property fmtid="{D5CDD505-2E9C-101B-9397-08002B2CF9AE}" pid="21" name="RegisteredDate">
    <vt:filetime>2021-06-21T14:00:00Z</vt:filetime>
  </property>
  <property fmtid="{D5CDD505-2E9C-101B-9397-08002B2CF9AE}" pid="22" name="IncludesUpTo">
    <vt:lpwstr>F2021L00756</vt:lpwstr>
  </property>
</Properties>
</file>